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32D583" w14:textId="77777777" w:rsidR="00E1234E" w:rsidRDefault="00E1234E" w:rsidP="00C44525">
      <w:pPr>
        <w:pBdr>
          <w:top w:val="nil"/>
          <w:left w:val="nil"/>
          <w:bottom w:val="nil"/>
          <w:right w:val="nil"/>
          <w:between w:val="nil"/>
        </w:pBdr>
        <w:spacing w:after="750" w:line="300" w:lineRule="auto"/>
        <w:rPr>
          <w:color w:val="1A365D"/>
        </w:rPr>
      </w:pPr>
    </w:p>
    <w:p w14:paraId="1332D584" w14:textId="77777777" w:rsidR="00E1234E" w:rsidRDefault="00E82562">
      <w:pPr>
        <w:pBdr>
          <w:top w:val="nil"/>
          <w:left w:val="nil"/>
          <w:bottom w:val="nil"/>
          <w:right w:val="nil"/>
          <w:between w:val="nil"/>
        </w:pBdr>
        <w:spacing w:before="75" w:after="75" w:line="300" w:lineRule="auto"/>
        <w:jc w:val="center"/>
        <w:rPr>
          <w:b/>
          <w:bCs/>
          <w:color w:val="000000"/>
          <w:sz w:val="38"/>
          <w:szCs w:val="38"/>
        </w:rPr>
      </w:pPr>
      <w:r>
        <w:rPr>
          <w:b/>
          <w:bCs/>
          <w:color w:val="000000"/>
          <w:sz w:val="38"/>
          <w:szCs w:val="38"/>
        </w:rPr>
        <w:t>Elaborado por: Miguel Adrián Rivera Jaime</w:t>
      </w:r>
    </w:p>
    <w:p w14:paraId="1332D585" w14:textId="77777777" w:rsidR="00E1234E" w:rsidRDefault="00E82562">
      <w:pPr>
        <w:pBdr>
          <w:top w:val="nil"/>
          <w:left w:val="nil"/>
          <w:bottom w:val="nil"/>
          <w:right w:val="nil"/>
          <w:between w:val="nil"/>
        </w:pBdr>
        <w:spacing w:after="75" w:line="300" w:lineRule="auto"/>
        <w:jc w:val="center"/>
        <w:rPr>
          <w:color w:val="4A5568"/>
        </w:rPr>
      </w:pPr>
      <w:r>
        <w:rPr>
          <w:color w:val="4A5568"/>
        </w:rPr>
        <w:t>Ingeniería en Sistemas Computacionales</w:t>
      </w:r>
    </w:p>
    <w:p w14:paraId="1332D586" w14:textId="77777777" w:rsidR="00E1234E" w:rsidRDefault="00E82562">
      <w:pPr>
        <w:pBdr>
          <w:top w:val="nil"/>
          <w:left w:val="nil"/>
          <w:bottom w:val="nil"/>
          <w:right w:val="nil"/>
          <w:between w:val="nil"/>
        </w:pBdr>
        <w:spacing w:after="75" w:line="300" w:lineRule="auto"/>
        <w:jc w:val="center"/>
        <w:rPr>
          <w:color w:val="4A5568"/>
        </w:rPr>
      </w:pPr>
      <w:r>
        <w:rPr>
          <w:color w:val="4A5568"/>
        </w:rPr>
        <w:t>Instituto Tecnológico Superior de Irapuato (ITESI)</w:t>
      </w:r>
    </w:p>
    <w:p w14:paraId="1332D587" w14:textId="77777777" w:rsidR="00E1234E" w:rsidRDefault="00E82562">
      <w:pPr>
        <w:pBdr>
          <w:top w:val="nil"/>
          <w:left w:val="nil"/>
          <w:bottom w:val="nil"/>
          <w:right w:val="nil"/>
          <w:between w:val="nil"/>
        </w:pBdr>
        <w:spacing w:after="75" w:line="300" w:lineRule="auto"/>
        <w:jc w:val="center"/>
        <w:rPr>
          <w:i/>
          <w:iCs/>
          <w:color w:val="4A5568"/>
        </w:rPr>
      </w:pPr>
      <w:r>
        <w:rPr>
          <w:i/>
          <w:iCs/>
          <w:color w:val="4A5568"/>
        </w:rPr>
        <w:t>Documentación Técnica - Reporte de Servicio Social</w:t>
      </w:r>
    </w:p>
    <w:p w14:paraId="1332D588" w14:textId="77777777" w:rsidR="00E1234E" w:rsidRDefault="00E82562">
      <w:pPr>
        <w:pBdr>
          <w:top w:val="nil"/>
          <w:left w:val="nil"/>
          <w:bottom w:val="nil"/>
          <w:right w:val="nil"/>
          <w:between w:val="nil"/>
        </w:pBdr>
        <w:spacing w:after="225" w:line="300" w:lineRule="auto"/>
        <w:rPr>
          <w:color w:val="000000"/>
        </w:rPr>
      </w:pPr>
      <w:r>
        <w:pict w14:anchorId="1332D5B4">
          <v:rect id="_x0000_i1025" style="width:0;height:1.5pt" o:hralign="center" o:hrstd="t" o:hr="t" fillcolor="#a0a0a0" stroked="f"/>
        </w:pict>
      </w:r>
      <w:r>
        <w:rPr>
          <w:b/>
          <w:bCs/>
          <w:color w:val="000000"/>
        </w:rPr>
        <w:t>Resumen Ejecutivo:</w:t>
      </w:r>
      <w:r>
        <w:rPr>
          <w:color w:val="000000"/>
        </w:rPr>
        <w:t xml:space="preserve"> El presente documento técnico detalla los fundamentos, la arquitectura y las mejores prácticas asociadas al renderizado condicional en la biblioteca React. Se aborda la transición del paradigma imperativo al declarativo, las limitaciones sintácticas impuestas por el proceso de transpilación de JSX, y las estrategias de optimización para garantizar la escalabilidad, mantenibilidad y rendimiento del código en proyectos de desarrollo de software a nivel profesional.</w:t>
      </w:r>
    </w:p>
    <w:p w14:paraId="1332D589" w14:textId="77777777" w:rsidR="00E1234E" w:rsidRDefault="00E1234E">
      <w:pPr>
        <w:pBdr>
          <w:top w:val="nil"/>
          <w:left w:val="nil"/>
          <w:bottom w:val="nil"/>
          <w:right w:val="nil"/>
          <w:between w:val="nil"/>
        </w:pBdr>
        <w:spacing w:after="225" w:line="300" w:lineRule="auto"/>
        <w:rPr>
          <w:color w:val="000000"/>
        </w:rPr>
      </w:pPr>
    </w:p>
    <w:p w14:paraId="1332D58A" w14:textId="77777777" w:rsidR="00E1234E" w:rsidRDefault="00E82562">
      <w:pPr>
        <w:pStyle w:val="Ttulo2"/>
        <w:spacing w:after="300" w:line="300" w:lineRule="auto"/>
        <w:rPr>
          <w:color w:val="2B6CB0"/>
        </w:rPr>
      </w:pPr>
      <w:r>
        <w:rPr>
          <w:color w:val="2B6CB0"/>
        </w:rPr>
        <w:t>1. El Paradigma Declarativo en Interfaces de Usuario</w:t>
      </w:r>
    </w:p>
    <w:p w14:paraId="1332D58B" w14:textId="77777777" w:rsidR="00E1234E" w:rsidRDefault="00E82562">
      <w:pPr>
        <w:pBdr>
          <w:top w:val="nil"/>
          <w:left w:val="nil"/>
          <w:bottom w:val="nil"/>
          <w:right w:val="nil"/>
          <w:between w:val="nil"/>
        </w:pBdr>
        <w:spacing w:after="225" w:line="300" w:lineRule="auto"/>
        <w:rPr>
          <w:color w:val="000000"/>
        </w:rPr>
      </w:pPr>
      <w:r>
        <w:rPr>
          <w:color w:val="000000"/>
        </w:rPr>
        <w:t>El desarrollo tradicional de interfaces (como la manipulación directa del DOM mediante JavaScript estándar) se fundamenta en un modelo imperativo: el desarrollador debe instruir al navegador, paso a paso, sobre cómo mutar el estado de la interfaz. React, por el contrario, implementa un paradigma declarativo. El ingeniero de software define cómo debe presentarse la interfaz de usuario (UI) para un estado de datos específico, delegando al motor de Reconciliación de React la responsabilidad de actualizar el DO</w:t>
      </w:r>
      <w:r>
        <w:rPr>
          <w:color w:val="000000"/>
        </w:rPr>
        <w:t>M de la forma más eficiente posible. El renderizado condicional es el mecanismo principal mediante el cual se articula este paradigma.</w:t>
      </w:r>
    </w:p>
    <w:p w14:paraId="1332D58C" w14:textId="77777777" w:rsidR="00E1234E" w:rsidRDefault="00E1234E">
      <w:pPr>
        <w:pBdr>
          <w:top w:val="nil"/>
          <w:left w:val="nil"/>
          <w:bottom w:val="nil"/>
          <w:right w:val="nil"/>
          <w:between w:val="nil"/>
        </w:pBdr>
        <w:spacing w:after="225" w:line="300" w:lineRule="auto"/>
        <w:rPr>
          <w:color w:val="000000"/>
        </w:rPr>
      </w:pPr>
    </w:p>
    <w:p w14:paraId="1332D58D" w14:textId="77777777" w:rsidR="00E1234E" w:rsidRDefault="00E82562">
      <w:pPr>
        <w:pStyle w:val="Ttulo2"/>
        <w:spacing w:after="300" w:line="300" w:lineRule="auto"/>
        <w:rPr>
          <w:color w:val="2B6CB0"/>
        </w:rPr>
      </w:pPr>
      <w:r>
        <w:rPr>
          <w:color w:val="2B6CB0"/>
        </w:rPr>
        <w:t>2. Limitaciones Sintácticas y el Árbol de Sintaxis Abstracta (AST)</w:t>
      </w:r>
    </w:p>
    <w:p w14:paraId="1332D58E" w14:textId="77777777" w:rsidR="00E1234E" w:rsidRDefault="00E82562">
      <w:pPr>
        <w:pBdr>
          <w:top w:val="nil"/>
          <w:left w:val="nil"/>
          <w:bottom w:val="nil"/>
          <w:right w:val="nil"/>
          <w:between w:val="nil"/>
        </w:pBdr>
        <w:spacing w:after="225" w:line="300" w:lineRule="auto"/>
        <w:rPr>
          <w:color w:val="000000"/>
        </w:rPr>
      </w:pPr>
      <w:r>
        <w:rPr>
          <w:color w:val="000000"/>
        </w:rPr>
        <w:t>Una de las barreras de entrada más comunes en la adopción de React es la restricción de estructuras de control clásicas (como if...else o ciclos for) directamente dentro del retorno de los componentes. Esta limitación obedece a la naturaleza intrínseca de JSX.</w:t>
      </w:r>
    </w:p>
    <w:p w14:paraId="1332D58F" w14:textId="77777777" w:rsidR="00E1234E" w:rsidRDefault="00E82562">
      <w:pPr>
        <w:pBdr>
          <w:top w:val="nil"/>
          <w:left w:val="nil"/>
          <w:bottom w:val="nil"/>
          <w:right w:val="nil"/>
          <w:between w:val="nil"/>
        </w:pBdr>
        <w:spacing w:after="225" w:line="300" w:lineRule="auto"/>
        <w:rPr>
          <w:color w:val="000000"/>
        </w:rPr>
      </w:pPr>
      <w:r>
        <w:rPr>
          <w:color w:val="000000"/>
        </w:rPr>
        <w:t xml:space="preserve">JSX no es un lenguaje de marcado procesado nativamente por el navegador; es una extensión </w:t>
      </w:r>
      <w:r>
        <w:rPr>
          <w:color w:val="000000"/>
        </w:rPr>
        <w:lastRenderedPageBreak/>
        <w:t xml:space="preserve">sintáctica que, durante la fase de construcción (a través de herramientas como Babel), se transpila a llamadas a la API de React, específicamente React.createElement(). En la especificación del lenguaje JavaScript, existe una separación estricta entre </w:t>
      </w:r>
      <w:r>
        <w:rPr>
          <w:b/>
          <w:bCs/>
          <w:color w:val="000000"/>
        </w:rPr>
        <w:t>sentencias</w:t>
      </w:r>
      <w:r>
        <w:rPr>
          <w:color w:val="000000"/>
        </w:rPr>
        <w:t xml:space="preserve"> (statements) y </w:t>
      </w:r>
      <w:r>
        <w:rPr>
          <w:b/>
          <w:bCs/>
          <w:color w:val="000000"/>
        </w:rPr>
        <w:t>expresiones</w:t>
      </w:r>
      <w:r>
        <w:rPr>
          <w:color w:val="000000"/>
        </w:rPr>
        <w:t xml:space="preserve"> (expressions).</w:t>
      </w:r>
    </w:p>
    <w:tbl>
      <w:tblPr>
        <w:tblStyle w:val="a"/>
        <w:tblW w:w="9360" w:type="dxa"/>
        <w:tblInd w:w="0" w:type="dxa"/>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ayout w:type="fixed"/>
        <w:tblLook w:val="0600" w:firstRow="0" w:lastRow="0" w:firstColumn="0" w:lastColumn="0" w:noHBand="1" w:noVBand="1"/>
      </w:tblPr>
      <w:tblGrid>
        <w:gridCol w:w="3120"/>
        <w:gridCol w:w="3120"/>
        <w:gridCol w:w="3120"/>
      </w:tblGrid>
      <w:tr w:rsidR="00E1234E" w14:paraId="1332D594" w14:textId="77777777">
        <w:trPr>
          <w:tblHeader/>
        </w:trPr>
        <w:tc>
          <w:tcPr>
            <w:tcW w:w="3120" w:type="dxa"/>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14:paraId="1332D590" w14:textId="77777777" w:rsidR="00E1234E" w:rsidRDefault="00E82562">
            <w:pPr>
              <w:pBdr>
                <w:top w:val="nil"/>
                <w:left w:val="nil"/>
                <w:bottom w:val="nil"/>
                <w:right w:val="nil"/>
                <w:between w:val="nil"/>
              </w:pBdr>
              <w:spacing w:before="180" w:after="180" w:line="300" w:lineRule="auto"/>
              <w:rPr>
                <w:b/>
                <w:bCs/>
                <w:color w:val="000000"/>
              </w:rPr>
            </w:pPr>
            <w:r>
              <w:rPr>
                <w:b/>
                <w:bCs/>
                <w:color w:val="000000"/>
              </w:rPr>
              <w:t>Clasificación Sintáctica</w:t>
            </w:r>
          </w:p>
        </w:tc>
        <w:tc>
          <w:tcPr>
            <w:tcW w:w="3120" w:type="dxa"/>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14:paraId="1332D591" w14:textId="77777777" w:rsidR="00E1234E" w:rsidRDefault="00E82562">
            <w:pPr>
              <w:pBdr>
                <w:top w:val="nil"/>
                <w:left w:val="nil"/>
                <w:bottom w:val="nil"/>
                <w:right w:val="nil"/>
                <w:between w:val="nil"/>
              </w:pBdr>
              <w:spacing w:before="180" w:after="180" w:line="300" w:lineRule="auto"/>
              <w:rPr>
                <w:b/>
                <w:bCs/>
                <w:color w:val="000000"/>
              </w:rPr>
            </w:pPr>
            <w:r>
              <w:rPr>
                <w:b/>
                <w:bCs/>
                <w:color w:val="000000"/>
              </w:rPr>
              <w:t>Descripción y Comportamiento</w:t>
            </w:r>
          </w:p>
        </w:tc>
        <w:tc>
          <w:tcPr>
            <w:tcW w:w="3120" w:type="dxa"/>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14:paraId="1332D592" w14:textId="77777777" w:rsidR="00E1234E" w:rsidRDefault="00E82562">
            <w:pPr>
              <w:pBdr>
                <w:top w:val="nil"/>
                <w:left w:val="nil"/>
                <w:bottom w:val="nil"/>
                <w:right w:val="nil"/>
                <w:between w:val="nil"/>
              </w:pBdr>
              <w:spacing w:before="180" w:after="180" w:line="300" w:lineRule="auto"/>
              <w:rPr>
                <w:b/>
                <w:bCs/>
                <w:color w:val="000000"/>
              </w:rPr>
            </w:pPr>
            <w:r>
              <w:rPr>
                <w:b/>
                <w:bCs/>
                <w:color w:val="000000"/>
              </w:rPr>
              <w:t>Comportamiento en JSX</w:t>
            </w:r>
          </w:p>
          <w:p w14:paraId="1332D593" w14:textId="77777777" w:rsidR="00E1234E" w:rsidRDefault="00E82562">
            <w:pPr>
              <w:pBdr>
                <w:top w:val="nil"/>
                <w:left w:val="nil"/>
                <w:bottom w:val="nil"/>
                <w:right w:val="nil"/>
                <w:between w:val="nil"/>
              </w:pBdr>
              <w:rPr>
                <w:color w:val="000000"/>
              </w:rPr>
            </w:pPr>
            <w:r>
              <w:rPr>
                <w:color w:val="000000"/>
              </w:rPr>
              <w:t xml:space="preserve"> </w:t>
            </w:r>
          </w:p>
        </w:tc>
      </w:tr>
      <w:tr w:rsidR="00E1234E" w14:paraId="1332D598" w14:textId="77777777">
        <w:tc>
          <w:tcPr>
            <w:tcW w:w="3120" w:type="dxa"/>
            <w:tcBorders>
              <w:top w:val="single" w:sz="6" w:space="0" w:color="CBD5E0"/>
              <w:left w:val="single" w:sz="6" w:space="0" w:color="CBD5E0"/>
              <w:bottom w:val="single" w:sz="6" w:space="0" w:color="CBD5E0"/>
              <w:right w:val="single" w:sz="6" w:space="0" w:color="CBD5E0"/>
            </w:tcBorders>
            <w:tcMar>
              <w:top w:w="180" w:type="dxa"/>
              <w:left w:w="180" w:type="dxa"/>
              <w:bottom w:w="180" w:type="dxa"/>
              <w:right w:w="180" w:type="dxa"/>
            </w:tcMar>
          </w:tcPr>
          <w:p w14:paraId="1332D595" w14:textId="77777777" w:rsidR="00E1234E" w:rsidRDefault="00E82562">
            <w:pPr>
              <w:pBdr>
                <w:top w:val="nil"/>
                <w:left w:val="nil"/>
                <w:bottom w:val="nil"/>
                <w:right w:val="nil"/>
                <w:between w:val="nil"/>
              </w:pBdr>
              <w:spacing w:before="180" w:after="180" w:line="300" w:lineRule="auto"/>
              <w:rPr>
                <w:b/>
                <w:bCs/>
                <w:color w:val="000000"/>
              </w:rPr>
            </w:pPr>
            <w:r>
              <w:rPr>
                <w:b/>
                <w:bCs/>
                <w:color w:val="000000"/>
              </w:rPr>
              <w:t>Sentencias (Statements)</w:t>
            </w:r>
          </w:p>
        </w:tc>
        <w:tc>
          <w:tcPr>
            <w:tcW w:w="3120" w:type="dxa"/>
            <w:tcBorders>
              <w:top w:val="single" w:sz="6" w:space="0" w:color="CBD5E0"/>
              <w:left w:val="single" w:sz="6" w:space="0" w:color="CBD5E0"/>
              <w:bottom w:val="single" w:sz="6" w:space="0" w:color="CBD5E0"/>
              <w:right w:val="single" w:sz="6" w:space="0" w:color="CBD5E0"/>
            </w:tcBorders>
            <w:tcMar>
              <w:top w:w="180" w:type="dxa"/>
              <w:left w:w="180" w:type="dxa"/>
              <w:bottom w:w="180" w:type="dxa"/>
              <w:right w:w="180" w:type="dxa"/>
            </w:tcMar>
          </w:tcPr>
          <w:p w14:paraId="1332D596" w14:textId="77777777" w:rsidR="00E1234E" w:rsidRDefault="00E82562">
            <w:pPr>
              <w:pBdr>
                <w:top w:val="nil"/>
                <w:left w:val="nil"/>
                <w:bottom w:val="nil"/>
                <w:right w:val="nil"/>
                <w:between w:val="nil"/>
              </w:pBdr>
              <w:spacing w:before="180" w:after="180" w:line="300" w:lineRule="auto"/>
              <w:rPr>
                <w:color w:val="000000"/>
              </w:rPr>
            </w:pPr>
            <w:r>
              <w:rPr>
                <w:color w:val="000000"/>
              </w:rPr>
              <w:t>Instrucciones que controlan el flujo de ejecución (ej. if, while, switch). No resuelven a un valor específico que pueda ser asignado a una variable.</w:t>
            </w:r>
          </w:p>
        </w:tc>
        <w:tc>
          <w:tcPr>
            <w:tcW w:w="3120" w:type="dxa"/>
            <w:tcBorders>
              <w:top w:val="single" w:sz="6" w:space="0" w:color="CBD5E0"/>
              <w:left w:val="single" w:sz="6" w:space="0" w:color="CBD5E0"/>
              <w:bottom w:val="single" w:sz="6" w:space="0" w:color="CBD5E0"/>
              <w:right w:val="single" w:sz="6" w:space="0" w:color="CBD5E0"/>
            </w:tcBorders>
            <w:tcMar>
              <w:top w:w="180" w:type="dxa"/>
              <w:left w:w="180" w:type="dxa"/>
              <w:bottom w:w="180" w:type="dxa"/>
              <w:right w:w="180" w:type="dxa"/>
            </w:tcMar>
          </w:tcPr>
          <w:p w14:paraId="1332D597" w14:textId="77777777" w:rsidR="00E1234E" w:rsidRDefault="00E82562">
            <w:pPr>
              <w:pBdr>
                <w:top w:val="nil"/>
                <w:left w:val="nil"/>
                <w:bottom w:val="nil"/>
                <w:right w:val="nil"/>
                <w:between w:val="nil"/>
              </w:pBdr>
              <w:spacing w:before="180" w:after="180" w:line="300" w:lineRule="auto"/>
              <w:rPr>
                <w:color w:val="000000"/>
              </w:rPr>
            </w:pPr>
            <w:r>
              <w:rPr>
                <w:color w:val="000000"/>
              </w:rPr>
              <w:t>Prohibidas como argumentos de inyección directa. Causan errores de sintaxis en el AST.</w:t>
            </w:r>
          </w:p>
        </w:tc>
      </w:tr>
      <w:tr w:rsidR="00E1234E" w14:paraId="1332D59C" w14:textId="77777777">
        <w:tc>
          <w:tcPr>
            <w:tcW w:w="3120" w:type="dxa"/>
            <w:tcBorders>
              <w:top w:val="single" w:sz="6" w:space="0" w:color="CBD5E0"/>
              <w:left w:val="single" w:sz="6" w:space="0" w:color="CBD5E0"/>
              <w:bottom w:val="single" w:sz="6" w:space="0" w:color="CBD5E0"/>
              <w:right w:val="single" w:sz="6" w:space="0" w:color="CBD5E0"/>
            </w:tcBorders>
            <w:tcMar>
              <w:top w:w="180" w:type="dxa"/>
              <w:left w:w="180" w:type="dxa"/>
              <w:bottom w:w="180" w:type="dxa"/>
              <w:right w:w="180" w:type="dxa"/>
            </w:tcMar>
          </w:tcPr>
          <w:p w14:paraId="1332D599" w14:textId="77777777" w:rsidR="00E1234E" w:rsidRDefault="00E82562">
            <w:pPr>
              <w:pBdr>
                <w:top w:val="nil"/>
                <w:left w:val="nil"/>
                <w:bottom w:val="nil"/>
                <w:right w:val="nil"/>
                <w:between w:val="nil"/>
              </w:pBdr>
              <w:spacing w:before="180" w:after="180" w:line="300" w:lineRule="auto"/>
              <w:rPr>
                <w:b/>
                <w:bCs/>
                <w:color w:val="000000"/>
              </w:rPr>
            </w:pPr>
            <w:r>
              <w:rPr>
                <w:b/>
                <w:bCs/>
                <w:color w:val="000000"/>
              </w:rPr>
              <w:t>Expresiones (Expressions)</w:t>
            </w:r>
          </w:p>
        </w:tc>
        <w:tc>
          <w:tcPr>
            <w:tcW w:w="3120" w:type="dxa"/>
            <w:tcBorders>
              <w:top w:val="single" w:sz="6" w:space="0" w:color="CBD5E0"/>
              <w:left w:val="single" w:sz="6" w:space="0" w:color="CBD5E0"/>
              <w:bottom w:val="single" w:sz="6" w:space="0" w:color="CBD5E0"/>
              <w:right w:val="single" w:sz="6" w:space="0" w:color="CBD5E0"/>
            </w:tcBorders>
            <w:tcMar>
              <w:top w:w="180" w:type="dxa"/>
              <w:left w:w="180" w:type="dxa"/>
              <w:bottom w:w="180" w:type="dxa"/>
              <w:right w:w="180" w:type="dxa"/>
            </w:tcMar>
          </w:tcPr>
          <w:p w14:paraId="1332D59A" w14:textId="77777777" w:rsidR="00E1234E" w:rsidRDefault="00E82562">
            <w:pPr>
              <w:pBdr>
                <w:top w:val="nil"/>
                <w:left w:val="nil"/>
                <w:bottom w:val="nil"/>
                <w:right w:val="nil"/>
                <w:between w:val="nil"/>
              </w:pBdr>
              <w:spacing w:before="180" w:after="180" w:line="300" w:lineRule="auto"/>
              <w:rPr>
                <w:color w:val="000000"/>
              </w:rPr>
            </w:pPr>
            <w:r>
              <w:rPr>
                <w:color w:val="000000"/>
              </w:rPr>
              <w:t>Fragmentos de código que tras su evaluación técnica, se reducen sistemáticamente a un valor único (ej. operadores ternarios, mapeos, evaluaciones lógicas).</w:t>
            </w:r>
          </w:p>
        </w:tc>
        <w:tc>
          <w:tcPr>
            <w:tcW w:w="3120" w:type="dxa"/>
            <w:tcBorders>
              <w:top w:val="single" w:sz="6" w:space="0" w:color="CBD5E0"/>
              <w:left w:val="single" w:sz="6" w:space="0" w:color="CBD5E0"/>
              <w:bottom w:val="single" w:sz="6" w:space="0" w:color="CBD5E0"/>
              <w:right w:val="single" w:sz="6" w:space="0" w:color="CBD5E0"/>
            </w:tcBorders>
            <w:tcMar>
              <w:top w:w="180" w:type="dxa"/>
              <w:left w:w="180" w:type="dxa"/>
              <w:bottom w:w="180" w:type="dxa"/>
              <w:right w:w="180" w:type="dxa"/>
            </w:tcMar>
          </w:tcPr>
          <w:p w14:paraId="1332D59B" w14:textId="77777777" w:rsidR="00E1234E" w:rsidRDefault="00E82562">
            <w:pPr>
              <w:pBdr>
                <w:top w:val="nil"/>
                <w:left w:val="nil"/>
                <w:bottom w:val="nil"/>
                <w:right w:val="nil"/>
                <w:between w:val="nil"/>
              </w:pBdr>
              <w:spacing w:before="180" w:after="180" w:line="300" w:lineRule="auto"/>
              <w:rPr>
                <w:color w:val="000000"/>
              </w:rPr>
            </w:pPr>
            <w:r>
              <w:rPr>
                <w:color w:val="000000"/>
              </w:rPr>
              <w:t>Totalmente soportadas. Su resultado es el que se inyecta y renderiza en el Virtual DOM.</w:t>
            </w:r>
          </w:p>
        </w:tc>
      </w:tr>
    </w:tbl>
    <w:p w14:paraId="1332D59D" w14:textId="77777777" w:rsidR="00E1234E" w:rsidRDefault="00E1234E">
      <w:pPr>
        <w:pBdr>
          <w:top w:val="nil"/>
          <w:left w:val="nil"/>
          <w:bottom w:val="nil"/>
          <w:right w:val="nil"/>
          <w:between w:val="nil"/>
        </w:pBdr>
        <w:spacing w:before="375" w:after="225" w:line="300" w:lineRule="auto"/>
        <w:rPr>
          <w:color w:val="000000"/>
        </w:rPr>
      </w:pPr>
    </w:p>
    <w:p w14:paraId="1332D59E" w14:textId="77777777" w:rsidR="00E1234E" w:rsidRDefault="00E82562">
      <w:pPr>
        <w:pStyle w:val="Ttulo2"/>
        <w:spacing w:after="315" w:line="300" w:lineRule="auto"/>
        <w:rPr>
          <w:color w:val="2B6CB0"/>
        </w:rPr>
      </w:pPr>
      <w:r>
        <w:rPr>
          <w:color w:val="2B6CB0"/>
        </w:rPr>
        <w:t>3. Evaluación de Operadores y Complejidad Ciclomática</w:t>
      </w:r>
    </w:p>
    <w:p w14:paraId="1332D59F" w14:textId="77777777" w:rsidR="00E1234E" w:rsidRDefault="00E82562">
      <w:pPr>
        <w:pStyle w:val="Ttulo3"/>
        <w:spacing w:before="0" w:line="300" w:lineRule="auto"/>
        <w:rPr>
          <w:color w:val="2C5282"/>
        </w:rPr>
      </w:pPr>
      <w:r>
        <w:rPr>
          <w:color w:val="2C5282"/>
        </w:rPr>
        <w:t>3.1. Operador Condicional Ternario</w:t>
      </w:r>
    </w:p>
    <w:p w14:paraId="1332D5A0" w14:textId="77777777" w:rsidR="00E1234E" w:rsidRDefault="00E82562">
      <w:pPr>
        <w:pBdr>
          <w:top w:val="nil"/>
          <w:left w:val="nil"/>
          <w:bottom w:val="nil"/>
          <w:right w:val="nil"/>
          <w:between w:val="nil"/>
        </w:pBdr>
        <w:spacing w:after="240" w:line="300" w:lineRule="auto"/>
        <w:rPr>
          <w:color w:val="000000"/>
        </w:rPr>
      </w:pPr>
      <w:r>
        <w:rPr>
          <w:color w:val="000000"/>
        </w:rPr>
        <w:t xml:space="preserve">El operador ternario (condición ? expresión_verdadera : expresión_falsa) provee una evaluación de complejidad O(1) idónea para bifurcaciones binarias. Sin embargo, en el contexto de la Ingeniería de Software, es imperativo vigilar la complejidad ciclomática del código. El anidamiento de operadores ternarios compromete severamente la legibilidad y mantenibilidad del sistema, constituyendo un antipatrón que debe ser detectado y mitigado en </w:t>
      </w:r>
      <w:r>
        <w:rPr>
          <w:color w:val="000000"/>
        </w:rPr>
        <w:lastRenderedPageBreak/>
        <w:t>las revisiones de código (Code Reviews).</w:t>
      </w:r>
    </w:p>
    <w:p w14:paraId="1332D5A1" w14:textId="77777777" w:rsidR="00E1234E" w:rsidRDefault="00E82562">
      <w:pPr>
        <w:pStyle w:val="Ttulo3"/>
        <w:spacing w:before="0" w:line="300" w:lineRule="auto"/>
        <w:rPr>
          <w:color w:val="2C5282"/>
        </w:rPr>
      </w:pPr>
      <w:r>
        <w:rPr>
          <w:color w:val="2C5282"/>
        </w:rPr>
        <w:t>3.2. Evaluación de Cortocircuito (Short-circuit Evaluation)</w:t>
      </w:r>
    </w:p>
    <w:p w14:paraId="1332D5A2" w14:textId="77777777" w:rsidR="00E1234E" w:rsidRDefault="00E82562">
      <w:pPr>
        <w:pBdr>
          <w:top w:val="nil"/>
          <w:left w:val="nil"/>
          <w:bottom w:val="nil"/>
          <w:right w:val="nil"/>
          <w:between w:val="nil"/>
        </w:pBdr>
        <w:spacing w:after="225" w:line="300" w:lineRule="auto"/>
        <w:rPr>
          <w:color w:val="000000"/>
        </w:rPr>
      </w:pPr>
      <w:r>
        <w:rPr>
          <w:color w:val="000000"/>
        </w:rPr>
        <w:t xml:space="preserve">Para flujos donde se requiere la inserción de un elemento condicionado a una sola premisa (renderizado inclusivo o nulo), se recurre al operador lógico AND (&amp;&amp;). La arquitectura del motor de JavaScript detiene la evaluación inmediatamente si el primer operando resulta en un valor </w:t>
      </w:r>
      <w:r>
        <w:rPr>
          <w:i/>
          <w:iCs/>
          <w:color w:val="000000"/>
        </w:rPr>
        <w:t>falsy</w:t>
      </w:r>
      <w:r>
        <w:rPr>
          <w:color w:val="000000"/>
        </w:rPr>
        <w:t>, optimizando los ciclos de procesamiento.</w:t>
      </w:r>
    </w:p>
    <w:p w14:paraId="1332D5A3" w14:textId="77777777" w:rsidR="00E1234E" w:rsidRDefault="00E82562">
      <w:pPr>
        <w:pBdr>
          <w:top w:val="nil"/>
          <w:left w:val="nil"/>
          <w:bottom w:val="nil"/>
          <w:right w:val="nil"/>
          <w:between w:val="nil"/>
        </w:pBdr>
        <w:spacing w:after="225" w:line="300" w:lineRule="auto"/>
        <w:rPr>
          <w:color w:val="000000"/>
        </w:rPr>
      </w:pPr>
      <w:r>
        <w:rPr>
          <w:b/>
          <w:bCs/>
          <w:color w:val="000000"/>
        </w:rPr>
        <w:t>Consideración Crítica: La Anomalía del Cero.</w:t>
      </w:r>
      <w:r>
        <w:rPr>
          <w:color w:val="000000"/>
        </w:rPr>
        <w:t xml:space="preserve"> Un riesgo documentado en la evaluación de cortocircuito ocurre al verificar la longitud de arreglos (ej. arreglo.length &amp;&amp; &lt;Componente /&gt;). Si la longitud es 0, siendo el número cero un valor </w:t>
      </w:r>
      <w:r>
        <w:rPr>
          <w:i/>
          <w:iCs/>
          <w:color w:val="000000"/>
        </w:rPr>
        <w:t>falsy</w:t>
      </w:r>
      <w:r>
        <w:rPr>
          <w:color w:val="000000"/>
        </w:rPr>
        <w:t>, React omitirá el componente, pero renderizará explícitamente el carácter "0" en el DOM. Para cumplir con los estándares de robustez, se exige forzar la evaluación a un tipo de dato booleano estricto (ej. arreglo.length &gt; 0).</w:t>
      </w:r>
    </w:p>
    <w:p w14:paraId="1332D5A4" w14:textId="77777777" w:rsidR="00E1234E" w:rsidRDefault="00E1234E">
      <w:pPr>
        <w:pBdr>
          <w:top w:val="nil"/>
          <w:left w:val="nil"/>
          <w:bottom w:val="nil"/>
          <w:right w:val="nil"/>
          <w:between w:val="nil"/>
        </w:pBdr>
        <w:spacing w:after="225" w:line="300" w:lineRule="auto"/>
        <w:rPr>
          <w:color w:val="000000"/>
        </w:rPr>
      </w:pPr>
    </w:p>
    <w:p w14:paraId="1332D5A5" w14:textId="77777777" w:rsidR="00E1234E" w:rsidRDefault="00E82562">
      <w:pPr>
        <w:pStyle w:val="Ttulo2"/>
        <w:spacing w:after="300" w:line="300" w:lineRule="auto"/>
        <w:rPr>
          <w:color w:val="2B6CB0"/>
        </w:rPr>
      </w:pPr>
      <w:r>
        <w:rPr>
          <w:color w:val="2B6CB0"/>
        </w:rPr>
        <w:t>4. Patrones Arquitectónicos de Mantenibilidad</w:t>
      </w:r>
    </w:p>
    <w:p w14:paraId="1332D5A6" w14:textId="77777777" w:rsidR="00E1234E" w:rsidRDefault="00E82562">
      <w:pPr>
        <w:pBdr>
          <w:top w:val="nil"/>
          <w:left w:val="nil"/>
          <w:bottom w:val="nil"/>
          <w:right w:val="nil"/>
          <w:between w:val="nil"/>
        </w:pBdr>
        <w:spacing w:after="225" w:line="300" w:lineRule="auto"/>
        <w:rPr>
          <w:color w:val="000000"/>
        </w:rPr>
      </w:pPr>
      <w:r>
        <w:rPr>
          <w:color w:val="000000"/>
        </w:rPr>
        <w:t>A medida que los componentes funcionales incrementan su responsabilidad lógica, se recomienda la implementación de los siguientes patrones arquitectónicos para modularizar la complejidad de la vista:</w:t>
      </w:r>
    </w:p>
    <w:p w14:paraId="1332D5A7" w14:textId="77777777" w:rsidR="00E1234E" w:rsidRDefault="00E82562">
      <w:pPr>
        <w:numPr>
          <w:ilvl w:val="0"/>
          <w:numId w:val="1"/>
        </w:numPr>
        <w:pBdr>
          <w:top w:val="nil"/>
          <w:left w:val="nil"/>
          <w:bottom w:val="nil"/>
          <w:right w:val="nil"/>
          <w:between w:val="nil"/>
        </w:pBdr>
        <w:spacing w:line="300" w:lineRule="auto"/>
      </w:pPr>
      <w:r>
        <w:rPr>
          <w:b/>
          <w:bCs/>
          <w:color w:val="000000"/>
        </w:rPr>
        <w:t>Cláusulas de Guarda (Early Returns):</w:t>
      </w:r>
      <w:r>
        <w:rPr>
          <w:color w:val="000000"/>
        </w:rPr>
        <w:t xml:space="preserve"> Patrón que intercepta condiciones de fallo o dependencias faltantes en las primeras líneas de la función (ej. if (!datos) return &lt;Cargando /&gt;;). Esto detiene la ejecución prematuramente, aplanando la jerarquía del código y focalizando la estructura principal en el flujo nominal esperado (Happy Path).</w:t>
      </w:r>
    </w:p>
    <w:p w14:paraId="1332D5A8" w14:textId="77777777" w:rsidR="00E1234E" w:rsidRDefault="00E82562">
      <w:pPr>
        <w:numPr>
          <w:ilvl w:val="0"/>
          <w:numId w:val="1"/>
        </w:numPr>
        <w:pBdr>
          <w:top w:val="nil"/>
          <w:left w:val="nil"/>
          <w:bottom w:val="nil"/>
          <w:right w:val="nil"/>
          <w:between w:val="nil"/>
        </w:pBdr>
        <w:spacing w:after="150" w:line="300" w:lineRule="auto"/>
      </w:pPr>
      <w:r>
        <w:rPr>
          <w:b/>
          <w:bCs/>
          <w:color w:val="000000"/>
        </w:rPr>
        <w:t>Mapas Estáticos (Object Dictionaries):</w:t>
      </w:r>
      <w:r>
        <w:rPr>
          <w:color w:val="000000"/>
        </w:rPr>
        <w:t xml:space="preserve"> Cuando un componente requiere renderizar múltiples interfaces condicionadas a una sola variable enumerada (como perfiles de acceso o tipos de visualización), se sustituyen las sentencias condicionales extensas por objetos literales que actúan como índices en memoria, garantizando una resolución en tiempo constante O(1).</w:t>
      </w:r>
    </w:p>
    <w:p w14:paraId="1332D5A9" w14:textId="77777777" w:rsidR="00E1234E" w:rsidRDefault="00E1234E">
      <w:pPr>
        <w:pBdr>
          <w:top w:val="nil"/>
          <w:left w:val="nil"/>
          <w:bottom w:val="nil"/>
          <w:right w:val="nil"/>
          <w:between w:val="nil"/>
        </w:pBdr>
        <w:spacing w:before="225" w:after="225" w:line="300" w:lineRule="auto"/>
        <w:rPr>
          <w:color w:val="000000"/>
        </w:rPr>
      </w:pPr>
    </w:p>
    <w:p w14:paraId="1332D5AA" w14:textId="77777777" w:rsidR="00E1234E" w:rsidRDefault="00E82562">
      <w:pPr>
        <w:pStyle w:val="Ttulo2"/>
        <w:spacing w:after="300" w:line="300" w:lineRule="auto"/>
        <w:rPr>
          <w:color w:val="2B6CB0"/>
        </w:rPr>
      </w:pPr>
      <w:r>
        <w:rPr>
          <w:color w:val="2B6CB0"/>
        </w:rPr>
        <w:t>5. Máquinas de Estado Finito (FSM) en la Capa de Vista</w:t>
      </w:r>
    </w:p>
    <w:p w14:paraId="1332D5AB" w14:textId="77777777" w:rsidR="00E1234E" w:rsidRDefault="00E82562">
      <w:pPr>
        <w:pBdr>
          <w:top w:val="nil"/>
          <w:left w:val="nil"/>
          <w:bottom w:val="nil"/>
          <w:right w:val="nil"/>
          <w:between w:val="nil"/>
        </w:pBdr>
        <w:spacing w:after="225" w:line="300" w:lineRule="auto"/>
        <w:rPr>
          <w:color w:val="000000"/>
        </w:rPr>
      </w:pPr>
      <w:r>
        <w:rPr>
          <w:color w:val="000000"/>
        </w:rPr>
        <w:t xml:space="preserve">El manejo de asincronía en el frontend (como el consumo de microservicios REST o APIs) requiere un control riguroso de estados. La dispersión de variables booleanas independientes </w:t>
      </w:r>
      <w:r>
        <w:rPr>
          <w:color w:val="000000"/>
        </w:rPr>
        <w:lastRenderedPageBreak/>
        <w:t>(ej. isFetching, hasError) frecuentemente origina colisiones lógicas, permitiendo la existencia de estados inconsistentes e imposibles en la interfaz.</w:t>
      </w:r>
    </w:p>
    <w:p w14:paraId="1332D5AC" w14:textId="77777777" w:rsidR="00E1234E" w:rsidRDefault="00E82562">
      <w:pPr>
        <w:pBdr>
          <w:top w:val="nil"/>
          <w:left w:val="nil"/>
          <w:bottom w:val="nil"/>
          <w:right w:val="nil"/>
          <w:between w:val="nil"/>
        </w:pBdr>
        <w:spacing w:after="225" w:line="300" w:lineRule="auto"/>
        <w:rPr>
          <w:color w:val="000000"/>
        </w:rPr>
      </w:pPr>
      <w:r>
        <w:rPr>
          <w:color w:val="000000"/>
        </w:rPr>
        <w:t>La recomendación técnica estándar es el modelado del componente basándose en los principios de las Máquinas de Estado Finito (FSM). Se define un único nodo de estado con transiciones estrictas y finitas (idle, loading, success, error). El renderizado condicional se supedita exclusivamente a este estado unificado, erradicando las condiciones de carrera (Race Conditions) y proveyendo un comportamiento determinista del sistema.</w:t>
      </w:r>
    </w:p>
    <w:p w14:paraId="1332D5AD" w14:textId="77777777" w:rsidR="00E1234E" w:rsidRDefault="00E1234E">
      <w:pPr>
        <w:pBdr>
          <w:top w:val="nil"/>
          <w:left w:val="nil"/>
          <w:bottom w:val="nil"/>
          <w:right w:val="nil"/>
          <w:between w:val="nil"/>
        </w:pBdr>
        <w:spacing w:after="225" w:line="300" w:lineRule="auto"/>
        <w:rPr>
          <w:color w:val="000000"/>
        </w:rPr>
      </w:pPr>
    </w:p>
    <w:p w14:paraId="1332D5AE" w14:textId="77777777" w:rsidR="00E1234E" w:rsidRDefault="00E82562">
      <w:pPr>
        <w:pStyle w:val="Ttulo2"/>
        <w:spacing w:after="300" w:line="300" w:lineRule="auto"/>
        <w:rPr>
          <w:color w:val="2B6CB0"/>
        </w:rPr>
      </w:pPr>
      <w:r>
        <w:rPr>
          <w:color w:val="2B6CB0"/>
        </w:rPr>
        <w:t>6. Impacto en el Virtual DOM y Optimización de Procesos</w:t>
      </w:r>
    </w:p>
    <w:p w14:paraId="1332D5AF" w14:textId="77777777" w:rsidR="00E1234E" w:rsidRDefault="00E82562">
      <w:pPr>
        <w:pBdr>
          <w:top w:val="nil"/>
          <w:left w:val="nil"/>
          <w:bottom w:val="nil"/>
          <w:right w:val="nil"/>
          <w:between w:val="nil"/>
        </w:pBdr>
        <w:spacing w:after="225" w:line="300" w:lineRule="auto"/>
        <w:rPr>
          <w:color w:val="000000"/>
        </w:rPr>
      </w:pPr>
      <w:r>
        <w:rPr>
          <w:color w:val="000000"/>
        </w:rPr>
        <w:t>Es fundamental comprender que el renderizado condicional interviene directamente en la asignación de memoria. Cuando un componente es excluido mediante operadores ternarios o lógicos, el motor de Reconciliación destruye completamente su respectivo nodo en el Virtual DOM (proceso de Unmounting), liberando sus estados internos.</w:t>
      </w:r>
    </w:p>
    <w:p w14:paraId="1332D5B0" w14:textId="77777777" w:rsidR="00E1234E" w:rsidRDefault="00E82562">
      <w:pPr>
        <w:pBdr>
          <w:top w:val="nil"/>
          <w:left w:val="nil"/>
          <w:bottom w:val="nil"/>
          <w:right w:val="nil"/>
          <w:between w:val="nil"/>
        </w:pBdr>
        <w:spacing w:after="225" w:line="300" w:lineRule="auto"/>
        <w:rPr>
          <w:color w:val="000000"/>
        </w:rPr>
      </w:pPr>
      <w:r>
        <w:rPr>
          <w:color w:val="000000"/>
        </w:rPr>
        <w:t>En escenarios donde componentes de alta exigencia computacional (como modelos 3D o gráficos analíticos masivos) deben alternar su visibilidad a altas frecuencias, el proceso continuo de montaje y desmontaje degrada severamente el rendimiento de la aplicación. En dichos casos, la estrategia óptima consiste en renderizar el componente de forma persistente e inyectar atributos CSS (display: none o visibility: hidden). Esta táctica delega la carga computacional de la ocultación directamente a la GPU del navegad</w:t>
      </w:r>
      <w:r>
        <w:rPr>
          <w:color w:val="000000"/>
        </w:rPr>
        <w:t>or, preservando el estado en la memoria de la aplicación sin bloquear el hilo principal (Main Thread).</w:t>
      </w:r>
    </w:p>
    <w:p w14:paraId="1332D5B1" w14:textId="77777777" w:rsidR="00E1234E" w:rsidRDefault="00E1234E">
      <w:pPr>
        <w:pBdr>
          <w:top w:val="nil"/>
          <w:left w:val="nil"/>
          <w:bottom w:val="nil"/>
          <w:right w:val="nil"/>
          <w:between w:val="nil"/>
        </w:pBdr>
        <w:spacing w:after="225" w:line="300" w:lineRule="auto"/>
        <w:rPr>
          <w:color w:val="000000"/>
        </w:rPr>
      </w:pPr>
    </w:p>
    <w:p w14:paraId="1332D5B2" w14:textId="77777777" w:rsidR="00E1234E" w:rsidRDefault="00E82562">
      <w:pPr>
        <w:pStyle w:val="Ttulo2"/>
        <w:spacing w:after="300" w:line="300" w:lineRule="auto"/>
        <w:rPr>
          <w:color w:val="2B6CB0"/>
        </w:rPr>
      </w:pPr>
      <w:r>
        <w:rPr>
          <w:color w:val="2B6CB0"/>
        </w:rPr>
        <w:t>7. Conclusión y Estándares del Entorno</w:t>
      </w:r>
    </w:p>
    <w:p w14:paraId="1332D5B3" w14:textId="77777777" w:rsidR="00E1234E" w:rsidRDefault="00E82562">
      <w:pPr>
        <w:pBdr>
          <w:top w:val="nil"/>
          <w:left w:val="nil"/>
          <w:bottom w:val="nil"/>
          <w:right w:val="nil"/>
          <w:between w:val="nil"/>
        </w:pBdr>
        <w:spacing w:after="225" w:line="300" w:lineRule="auto"/>
        <w:rPr>
          <w:color w:val="000000"/>
        </w:rPr>
      </w:pPr>
      <w:r>
        <w:rPr>
          <w:color w:val="000000"/>
        </w:rPr>
        <w:t xml:space="preserve">La implementación del renderizado condicional en la ingeniería frontend moderna trasciende la mera organización visual; es un ejercicio estricto de arquitectura de software que exige disciplina algorítmica. Para salvaguardar la integridad de estos patrones en entornos de producción, se establece como norma la configuración de herramientas de análisis de código estático (como ESLint). Estas herramientas automatizan la verificación de la complejidad estructural y aseguran el cumplimiento de los estándares de </w:t>
      </w:r>
      <w:r>
        <w:rPr>
          <w:color w:val="000000"/>
        </w:rPr>
        <w:t>calidad del software requeridos en el ámbito profesional.</w:t>
      </w:r>
    </w:p>
    <w:sectPr w:rsidR="00E1234E">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6EEA4609-F0FD-4542-BE13-BB5CFE503B9D}"/>
  </w:font>
  <w:font w:name="Calibri">
    <w:panose1 w:val="020F0502020204030204"/>
    <w:charset w:val="00"/>
    <w:family w:val="swiss"/>
    <w:pitch w:val="variable"/>
    <w:sig w:usb0="E4002EFF" w:usb1="C200247B" w:usb2="00000009" w:usb3="00000000" w:csb0="000001FF" w:csb1="00000000"/>
    <w:embedRegular r:id="rId2" w:fontKey="{19C45919-F816-48E1-82AA-11A9694783CB}"/>
  </w:font>
  <w:font w:name="Cambria">
    <w:panose1 w:val="02040503050406030204"/>
    <w:charset w:val="00"/>
    <w:family w:val="roman"/>
    <w:pitch w:val="variable"/>
    <w:sig w:usb0="E00006FF" w:usb1="420024FF" w:usb2="02000000" w:usb3="00000000" w:csb0="0000019F" w:csb1="00000000"/>
    <w:embedRegular r:id="rId3" w:fontKey="{F2ECFF6A-F143-4A88-8CAC-CB079252EFD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353EB7"/>
    <w:multiLevelType w:val="multilevel"/>
    <w:tmpl w:val="4B9C37F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1709441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7"/>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234E"/>
    <w:rsid w:val="00C44525"/>
    <w:rsid w:val="00E1234E"/>
    <w:rsid w:val="00F15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32D581"/>
  <w15:docId w15:val="{EDAD01DF-3DA5-4644-BFBF-8DD4228E94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Ttulo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Ttulo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Ttulo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Ttulo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tulo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C6C6C6"/>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1121</Words>
  <Characters>6391</Characters>
  <Application>Microsoft Office Word</Application>
  <DocSecurity>0</DocSecurity>
  <Lines>53</Lines>
  <Paragraphs>14</Paragraphs>
  <ScaleCrop>false</ScaleCrop>
  <Company/>
  <LinksUpToDate>false</LinksUpToDate>
  <CharactersWithSpaces>7498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Miguel Adrián Rivera Jaime</cp:lastModifiedBy>
  <cp:revision>2</cp:revision>
  <dcterms:created xsi:type="dcterms:W3CDTF">2026-08-22T20:20:00Z</dcterms:created>
  <dcterms:modified xsi:type="dcterms:W3CDTF">2026-08-22T20:21:00Z</dcterms:modified>
</cp:coreProperties>
</file>