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750" w:line="300" w:lineRule="auto"/>
        <w:jc w:val="left"/>
        <w:rPr>
          <w:rFonts w:ascii="Arial" w:cs="Arial" w:eastAsia="Arial" w:hAnsi="Arial"/>
          <w:color w:val="1a365d"/>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before="75" w:line="300" w:lineRule="auto"/>
        <w:jc w:val="center"/>
        <w:rPr>
          <w:rFonts w:ascii="Arial" w:cs="Arial" w:eastAsia="Arial" w:hAnsi="Arial"/>
          <w:b w:val="1"/>
          <w:bCs w:val="1"/>
          <w:color w:val="000000"/>
          <w:sz w:val="38"/>
          <w:szCs w:val="38"/>
        </w:rPr>
      </w:pPr>
      <w:r w:rsidDel="00000000" w:rsidR="00000000" w:rsidRPr="00000000">
        <w:rPr>
          <w:rFonts w:ascii="Arial" w:cs="Arial" w:eastAsia="Arial" w:hAnsi="Arial"/>
          <w:b w:val="1"/>
          <w:bCs w:val="1"/>
          <w:color w:val="000000"/>
          <w:sz w:val="38"/>
          <w:szCs w:val="38"/>
          <w:rtl w:val="0"/>
        </w:rPr>
        <w:t xml:space="preserve">Elaborado por: Miguel Adrián Rivera Jaime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color w:val="4a5568"/>
        </w:rPr>
      </w:pPr>
      <w:r w:rsidDel="00000000" w:rsidR="00000000" w:rsidRPr="00000000">
        <w:rPr>
          <w:rFonts w:ascii="Arial" w:cs="Arial" w:eastAsia="Arial" w:hAnsi="Arial"/>
          <w:color w:val="4a5568"/>
          <w:rtl w:val="0"/>
        </w:rPr>
        <w:t xml:space="preserve">Ingeniería en Sistemas Computacionales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color w:val="4a5568"/>
        </w:rPr>
      </w:pPr>
      <w:r w:rsidDel="00000000" w:rsidR="00000000" w:rsidRPr="00000000">
        <w:rPr>
          <w:rFonts w:ascii="Arial" w:cs="Arial" w:eastAsia="Arial" w:hAnsi="Arial"/>
          <w:color w:val="4a5568"/>
          <w:rtl w:val="0"/>
        </w:rPr>
        <w:t xml:space="preserve">Instituto Tecnológico Superior de Irapuato (ITESI)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Documentación Técnica - Reporte de Servicio Social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Resumen Ejecutivo:</w:t>
      </w:r>
      <w:r w:rsidDel="00000000" w:rsidR="00000000" w:rsidRPr="00000000">
        <w:rPr>
          <w:rFonts w:ascii="Arial" w:cs="Arial" w:eastAsia="Arial" w:hAnsi="Arial"/>
          <w:color w:val="000000"/>
          <w:rtl w:val="0"/>
        </w:rPr>
        <w:t xml:space="preserve"> El presente documento técnico define los lineamientos arquitectónicos para la organización espacial del código fuente en proyectos desarrollados con React. Se aborda la transición de modelos de desarrollo monolíticos (archivos únicos o directorios planos) hacia arquitecturas modulares basadas en la Separación de Responsabilidades (Separation of Concerns). Se detalla la tipología de los directorios estándar y su impacto directo en la escalabilidad, mantenibilidad y el trabajo colaborativo dentro de equipos de ingeniería de software.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La Problemática de la Arquitectura Monolítica Plana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 las etapas iniciales de aprendizaje, es habitual consolidar todos los componentes, estilos y lógicas de consumo de APIs en un solo archivo (como App.js) o en un único directorio raíz. Sin embargo, a medida que la entropía del sistema aumenta (mayor número de vistas, reglas de negocio complejas y múltiples fuentes de datos), esta estructura plana genera un acoplamiento extremo.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Técnicamente, este antipatrón incrementa la carga cognitiva para el desarrollador, dificulta la reutilización de código y propicia violaciones al principio de Responsabilidad Única (Single Responsibility Principle - SRP), donde un componente de interfaz termina siendo responsable de operaciones de red, manejo de caché y renderizado visual simultáneamente.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Topología de Directorios Estándar: Separación de Responsabilidades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Para proyectos de escala media y grande, la industria ha estandarizado una división por dominios técnicos. Cada directorio cumple un propósito específico dentro del ciclo de vida y la arquitectura del sistema:</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Directorio</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Propósito Arquitectónico</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Ejemplos de Contenido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components/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Alberga componentes visuales reutilizables y "tontos" (dumb components). No deben tener dependencias de contexto global ni realizar peticiones de red; su renderizado depende estrictamente de los </w:t>
            </w:r>
            <w:r w:rsidDel="00000000" w:rsidR="00000000" w:rsidRPr="00000000">
              <w:rPr>
                <w:rFonts w:ascii="Arial" w:cs="Arial" w:eastAsia="Arial" w:hAnsi="Arial"/>
                <w:i w:val="1"/>
                <w:iCs w:val="1"/>
                <w:color w:val="000000"/>
                <w:rtl w:val="0"/>
              </w:rPr>
              <w:t xml:space="preserve">props</w:t>
            </w:r>
            <w:r w:rsidDel="00000000" w:rsidR="00000000" w:rsidRPr="00000000">
              <w:rPr>
                <w:rFonts w:ascii="Arial" w:cs="Arial" w:eastAsia="Arial" w:hAnsi="Arial"/>
                <w:color w:val="000000"/>
                <w:rtl w:val="0"/>
              </w:rPr>
              <w:t xml:space="preserve"> que reciben.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BotonGlobal.jsx, TarjetaUsuario.jsx, BarraNavegacion.jsx, Modal.jsx</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pages/ (o views/)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Contiene los componentes "inteligentes" que representan una ruta o vista completa de la aplicación. Orquestan el estado, consumen servicios e instancian múltiples sub-componentes.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Inicio.jsx, PerfilUsuario.jsx, PanelControl.jsx (Dashboard)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hooks/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Directorio destinado a los </w:t>
            </w:r>
            <w:r w:rsidDel="00000000" w:rsidR="00000000" w:rsidRPr="00000000">
              <w:rPr>
                <w:rFonts w:ascii="Arial" w:cs="Arial" w:eastAsia="Arial" w:hAnsi="Arial"/>
                <w:i w:val="1"/>
                <w:iCs w:val="1"/>
                <w:color w:val="000000"/>
                <w:rtl w:val="0"/>
              </w:rPr>
              <w:t xml:space="preserve">Custom Hooks</w:t>
            </w:r>
            <w:r w:rsidDel="00000000" w:rsidR="00000000" w:rsidRPr="00000000">
              <w:rPr>
                <w:rFonts w:ascii="Arial" w:cs="Arial" w:eastAsia="Arial" w:hAnsi="Arial"/>
                <w:color w:val="000000"/>
                <w:rtl w:val="0"/>
              </w:rPr>
              <w:t xml:space="preserve"> de React. Extraen la lógica de estado y los ciclos de vida repetitivos fuera de los componentes, modularizando la funcionalidad pura.</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useAuth.js, useFetch.js, useFormulario.js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services/ (o api/)</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Aísla completamente la capa de comunicación externa. Aquí residen las funciones que interactúan con APIs (mediante fetch o Axios). Evita que los componentes sepan "cómo" se obtienen los datos.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authService.js, tareasApi.js</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before="37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Impacto Crítico en el Entorno Colaborativo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 integrar un ingeniero a un sistema de gran magnitud, la organización espacial del código no es una preferencia estética, sino una necesidad operativa:</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color w:val="000000"/>
          <w:rtl w:val="0"/>
        </w:rPr>
        <w:t xml:space="preserve">Mitigación de Conflictos de Control de Versiones:</w:t>
      </w:r>
      <w:r w:rsidDel="00000000" w:rsidR="00000000" w:rsidRPr="00000000">
        <w:rPr>
          <w:rFonts w:ascii="Arial" w:cs="Arial" w:eastAsia="Arial" w:hAnsi="Arial"/>
          <w:color w:val="000000"/>
          <w:rtl w:val="0"/>
        </w:rPr>
        <w:t xml:space="preserve"> Cuando varios desarrolladores trabajan sobre un archivo monolítico, la probabilidad de conflictos de integración (Merge Conflicts) en Git se dispara. Separar el código permite a diferentes ingenieros trabajar en servicios, páginas o componentes de forma concurrente sin sobrescribir el trabajo ajeno.</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color w:val="000000"/>
          <w:rtl w:val="0"/>
        </w:rPr>
        <w:t xml:space="preserve">Descubribilidad y Onboarding:</w:t>
      </w:r>
      <w:r w:rsidDel="00000000" w:rsidR="00000000" w:rsidRPr="00000000">
        <w:rPr>
          <w:rFonts w:ascii="Arial" w:cs="Arial" w:eastAsia="Arial" w:hAnsi="Arial"/>
          <w:color w:val="000000"/>
          <w:rtl w:val="0"/>
        </w:rPr>
        <w:t xml:space="preserve"> Una arquitectura predictiva reduce el tiempo de adaptación (onboarding) de nuevos elementos. Si un desarrollador necesita auditar la petición HTTP de autenticación, la estructura modular le indica que debe buscar instintivamente en el directorio services/, sin necesidad de rastrear dependencias a través de miles de líneas de código JSX.</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b w:val="1"/>
          <w:bCs w:val="1"/>
          <w:color w:val="000000"/>
          <w:rtl w:val="0"/>
        </w:rPr>
        <w:t xml:space="preserve">Revisión de Código (Code Review):</w:t>
      </w:r>
      <w:r w:rsidDel="00000000" w:rsidR="00000000" w:rsidRPr="00000000">
        <w:rPr>
          <w:rFonts w:ascii="Arial" w:cs="Arial" w:eastAsia="Arial" w:hAnsi="Arial"/>
          <w:color w:val="000000"/>
          <w:rtl w:val="0"/>
        </w:rPr>
        <w:t xml:space="preserve"> Facilita las auditorías, permitiendo a los líderes técnicos revisar ramas (branches) enfocadas en capas arquitectónicas específicas (ej. un </w:t>
      </w:r>
      <w:r w:rsidDel="00000000" w:rsidR="00000000" w:rsidRPr="00000000">
        <w:rPr>
          <w:rFonts w:ascii="Arial" w:cs="Arial" w:eastAsia="Arial" w:hAnsi="Arial"/>
          <w:i w:val="1"/>
          <w:iCs w:val="1"/>
          <w:color w:val="000000"/>
          <w:rtl w:val="0"/>
        </w:rPr>
        <w:t xml:space="preserve">Pull Request</w:t>
      </w:r>
      <w:r w:rsidDel="00000000" w:rsidR="00000000" w:rsidRPr="00000000">
        <w:rPr>
          <w:rFonts w:ascii="Arial" w:cs="Arial" w:eastAsia="Arial" w:hAnsi="Arial"/>
          <w:color w:val="000000"/>
          <w:rtl w:val="0"/>
        </w:rPr>
        <w:t xml:space="preserve"> que solo modifica la capa api/).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before="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Conclusión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estructuración jerárquica y semántica de directorios en React promueve un sistema predecible, testeable y tolerante al crecimiento. La abstracción de la lógica de red (services), la gestión de estado (hooks) y la presentación visual (components/pages) conforma el estándar de facto en la ingeniería de software frontend moderna.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