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profesor (#dni,nombre,titulacion,direccion,sueldo) siendo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dni es cadena,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sueldo es entero,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titulacion es cadena,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direccion es cadena,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PK(dni);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 (#cod_id, fecha_finalizacion,nombre,n_maximo,fecha_inicio,n_curso,dni) siendo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cod_id es cadena,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fecha_finalizacion es fecha no nulo,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fecha_inicio es fecha no nulo,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n_maximo es entero,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n_curso es entero,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dni es cadena no nulo,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PK(cod_id),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FK(dni/Profesor(dni));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Alumno (#DNI, nombre, apellidos,direccion,fecha_nacimiento,sexo,cod_Id) siendo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DNI es cadena,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apellidos es cadena no nulo,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direccion es cadena,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fecha_nacimiento es fecha,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sexo es cadena,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cod_Id es cadena,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PK(DNI),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FK(cod_Id/Curso(cod_Id));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Normalización: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saber si este modelo relacional cumple la 1FN, debemos asegurarnos de que todos sus datos son atómicos, es decir, que a todos sus atributos les correspondan un único valor, en este caso, nuestro modelo relacional cumple la 1FN de forma correctamente.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Acto seguido, tenemos que ver si nuestro modelo cumple la 2FN, para ello primero debe estar en 1FN, y a parte, ver si nuestros atributos no claves dependen completamente de la clave, en este caso en nuestro modelo relacional, se encuentra perfectamente en 2FN.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último debemos verificar si nuestro modelo se encuentra en 3FN, para ello primero debe estar en 1FN, y en 2FN, y a parte, cumplir que los atributos no claves, no dependen a su misma vez de otros atributos no clave, en nuestro modelo relacional, esta forma normal se cumple completamente.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