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Calibri" w:cs="Calibri" w:eastAsia="Calibri" w:hAnsi="Calibri"/>
          <w:b/>
          <w:bCs/>
          <w:color w:val="6B7A90"/>
          <w:spacing w:val="24"/>
          <w:sz w:val="18"/>
          <w:szCs w:val="18"/>
        </w:rPr>
        <w:t xml:space="preserve">GERENCIA REGIONAL DE EDUCACIÓN LA LIBERTAD</w:t>
      </w:r>
    </w:p>
    <w:p>
      <w:pPr>
        <w:spacing w:after="0" w:before="60"/>
        <w:jc w:val="center"/>
      </w:pPr>
      <w:r>
        <w:rPr>
          <w:rFonts w:ascii="Cambria" w:cs="Cambria" w:eastAsia="Cambria" w:hAnsi="Cambria"/>
          <w:color w:val="44546A"/>
          <w:sz w:val="20"/>
          <w:szCs w:val="20"/>
        </w:rPr>
        <w:t xml:space="preserve">INSTITUTO DE EDUCACIÓN SUPERIOR TECNOLÓGICO PÚBLICO</w:t>
      </w:r>
    </w:p>
    <w:p>
      <w:pPr>
        <w:spacing w:after="100" w:before="2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“PAIJÁN”</w:t>
      </w:r>
    </w:p>
    <w:p>
      <w:pPr>
        <w:pBdr>
          <w:bottom w:val="single" w:color="C9D3E0" w:sz="8" w:space="2"/>
        </w:pBdr>
        <w:spacing w:after="60" w:before="60"/>
      </w:pPr>
    </w:p>
    <w:p>
      <w:pPr>
        <w:spacing w:after="70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5090"/>
          <w:spacing w:val="40"/>
          <w:sz w:val="19"/>
          <w:szCs w:val="19"/>
        </w:rPr>
        <w:t xml:space="preserve">ANEXO DE MODELADO VISUAL</w:t>
      </w:r>
    </w:p>
    <w:p>
      <w:pPr>
        <w:spacing w:after="160"/>
      </w:pPr>
    </w:p>
    <w:p>
      <w:pPr>
        <w:spacing w:after="80" w:line="250" w:lineRule="auto"/>
        <w:jc w:val="center"/>
      </w:pPr>
      <w:r>
        <w:rPr>
          <w:rFonts w:ascii="Cambria" w:cs="Cambria" w:eastAsia="Cambria" w:hAnsi="Cambria"/>
          <w:b/>
          <w:bCs/>
          <w:color w:val="1F3864"/>
          <w:sz w:val="44"/>
          <w:szCs w:val="44"/>
        </w:rPr>
        <w:t xml:space="preserve">DIAGRAMAS UML DEL SISTEMA DE GESTIÓN DE VEHÍCULOS</w:t>
      </w:r>
    </w:p>
    <w:p>
      <w:pPr>
        <w:spacing w:after="140" w:line="250" w:lineRule="auto"/>
        <w:jc w:val="center"/>
      </w:pPr>
      <w:r>
        <w:rPr>
          <w:rFonts w:ascii="Cambria" w:cs="Cambria" w:eastAsia="Cambria" w:hAnsi="Cambria"/>
          <w:b/>
          <w:bCs/>
          <w:color w:val="2E5090"/>
          <w:sz w:val="30"/>
          <w:szCs w:val="30"/>
        </w:rPr>
        <w:t xml:space="preserve">PARA EMPRESA MINERA</w:t>
      </w:r>
    </w:p>
    <w:p>
      <w:pPr>
        <w:pBdr>
          <w:bottom w:val="single" w:color="1F3864" w:sz="14" w:space="2"/>
        </w:pBdr>
        <w:spacing w:after="60" w:before="60"/>
      </w:pPr>
    </w:p>
    <w:p>
      <w:pPr>
        <w:spacing w:after="40" w:before="200"/>
        <w:jc w:val="center"/>
      </w:pPr>
      <w:r>
        <w:rPr>
          <w:rFonts w:ascii="Calibri" w:cs="Calibri" w:eastAsia="Calibri" w:hAnsi="Calibri"/>
          <w:i/>
          <w:iCs/>
          <w:color w:val="44546A"/>
          <w:sz w:val="23"/>
          <w:szCs w:val="23"/>
        </w:rPr>
        <w:t xml:space="preserve">Casos de uso, modelo conceptual de clases y modelo extendido del dominio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B7A90"/>
          <w:sz w:val="19"/>
          <w:szCs w:val="19"/>
        </w:rPr>
        <w:t xml:space="preserve">Los diagramas de este anexo se construyeron a partir de las entidades, actores, procesos y requerimientos descritos en el caso de estudio.</w:t>
      </w:r>
    </w:p>
    <w:p>
      <w:pPr>
        <w:spacing w:after="70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49"/>
      </w:tblGrid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Unidad didáctica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Programación Orientada a Objetos (POO)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Semana / Sesión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Semana 02 · SA2-POO-S2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Indicador de logro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C4.I1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Docente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Ing. Carlos Abilio Angulo Zegarra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Notación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UML 2.x — diagramas de casos de uso y de clases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Contenido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diagramas a página completa con su guía de lectura</w:t>
            </w:r>
          </w:p>
        </w:tc>
      </w:tr>
    </w:tbl>
    <w:p>
      <w:pPr>
        <w:spacing w:after="420"/>
      </w:pPr>
    </w:p>
    <w:p>
      <w:pPr>
        <w:spacing w:after="0"/>
        <w:jc w:val="center"/>
      </w:pPr>
      <w:r>
        <w:rPr>
          <w:rFonts w:ascii="Calibri" w:cs="Calibri" w:eastAsia="Calibri" w:hAnsi="Calibri"/>
          <w:color w:val="6B7A90"/>
          <w:sz w:val="19"/>
          <w:szCs w:val="19"/>
        </w:rPr>
        <w:t xml:space="preserve">Paiján — La Libertad, Perú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6B7A90"/>
          <w:sz w:val="19"/>
          <w:szCs w:val="19"/>
        </w:rPr>
        <w:t xml:space="preserve">Septiembre de 2026</w:t>
      </w:r>
    </w:p>
    <w:p>
      <w:pPr>
        <w:sectPr>
          <w:pgSz w:w="11906" w:h="16838" w:orient="portrait"/>
          <w:pgMar w:top="1276" w:right="1418" w:bottom="1276" w:left="1418" w:header="708" w:footer="624" w:gutter="0"/>
          <w:pgNumType/>
          <w:docGrid w:linePitch="360"/>
        </w:sectPr>
      </w:pPr>
    </w:p>
    <w:p>
      <w:pPr>
        <w:pStyle w:val="Heading1"/>
      </w:pPr>
      <w:r>
        <w:t xml:space="preserve">Tabla de contenido</w:t>
      </w:r>
    </w:p>
    <w:p>
      <w:pPr>
        <w:spacing w:after="160"/>
      </w:pPr>
      <w:r>
        <w:rPr>
          <w:i/>
          <w:iCs/>
          <w:color w:val="6B7A90"/>
          <w:sz w:val="17"/>
          <w:szCs w:val="17"/>
        </w:rPr>
        <w:t xml:space="preserve">Para actualizar el índice en Word: seleccionarlo y pulsar F9.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Propósito del anexo</w:t>
      </w:r>
    </w:p>
    <w:p>
      <w:pPr>
        <w:pStyle w:val="Lead"/>
      </w:pPr>
      <w:r>
        <w:t xml:space="preserve">Este anexo reúne los diagramas UML que representan visualmente el Sistema de Gestión de Vehículos para una empresa minera. Cada diagrama se presenta a página completa y va acompañado de una guía de lectura que identifica sus elementos, la notación empleada y la información que aporta al análisis.</w:t>
      </w:r>
    </w:p>
    <w:p>
      <w:pPr>
        <w:pStyle w:val="Bodytext"/>
      </w:pPr>
      <w:r>
        <w:t xml:space="preserve">Los diagramas no sustituyen a la especificación escrita: la complementan. El diagrama de casos de uso delimita qué hace el sistema y para quién; el modelo conceptual de clases define qué información gestiona; y el modelo extendido muestra hasta dónde puede crecer el sistema sin alterar su estructura.</w:t>
      </w:r>
    </w:p>
    <w:p>
      <w:pPr>
        <w:pStyle w:val="Heading2"/>
      </w:pPr>
      <w:r>
        <w:t xml:space="preserve">1.1 Convenciones de notación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3"/>
        <w:gridCol w:w="2721"/>
        <w:gridCol w:w="4716"/>
      </w:tblGrid>
      <w:tr>
        <w:trPr>
          <w:tblHeader/>
        </w:trPr>
        <w:tc>
          <w:tcPr>
            <w:tcW w:type="dxa" w:w="16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Representación</w:t>
            </w:r>
          </w:p>
        </w:tc>
        <w:tc>
          <w:tcPr>
            <w:tcW w:type="dxa" w:w="47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Actor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Figura humana fuera del marco del sistema</w:t>
            </w:r>
          </w:p>
        </w:tc>
        <w:tc>
          <w:tcPr>
            <w:tcW w:type="dxa" w:w="47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 externo que interactúa con el sistema (no es una persona concreta, sino un perfil).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Caso de uso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Óvalo dentro del marco del sistema</w:t>
            </w:r>
          </w:p>
        </w:tc>
        <w:tc>
          <w:tcPr>
            <w:tcW w:type="dxa" w:w="47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Función completa que el sistema ofrece a un actor y que produce un resultado observable.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Clase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Rectángulo con nombre, atributos y operaciones</w:t>
            </w:r>
          </w:p>
        </w:tc>
        <w:tc>
          <w:tcPr>
            <w:tcW w:type="dxa" w:w="47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Entidad del dominio con datos y responsabilidades propias.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PK / FK / U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Etiqueta junto al atributo</w:t>
            </w:r>
          </w:p>
        </w:tc>
        <w:tc>
          <w:tcPr>
            <w:tcW w:type="dxa" w:w="47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Clave primaria, clave foránea y restricción de unicidad.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Asociación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Línea continua con cardinalidad</w:t>
            </w:r>
          </w:p>
        </w:tc>
        <w:tc>
          <w:tcPr>
            <w:tcW w:type="dxa" w:w="47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Relación estructural entre dos clases (1, 0..*, 1..*).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Dependencia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Línea discontinua con punta de flecha</w:t>
            </w:r>
          </w:p>
        </w:tc>
        <w:tc>
          <w:tcPr>
            <w:tcW w:type="dxa" w:w="47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Una clase usa o alimenta a otra sin contenerla.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Generalización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Línea con punta triangular hueca</w:t>
            </w:r>
          </w:p>
        </w:tc>
        <w:tc>
          <w:tcPr>
            <w:tcW w:type="dxa" w:w="47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Herencia: la clase hija especializa a la clase padre.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«enumeración»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Rectángulo con lista de valores</w:t>
            </w:r>
          </w:p>
        </w:tc>
        <w:tc>
          <w:tcPr>
            <w:tcW w:type="dxa" w:w="47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Conjunto cerrado de valores admitidos por un atributo.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Marco de color que agrupa clases</w:t>
            </w:r>
          </w:p>
        </w:tc>
        <w:tc>
          <w:tcPr>
            <w:tcW w:type="dxa" w:w="47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Agrupación funcional; no es un elemento formal de UML, se usa como ayuda de lectura.</w:t>
            </w:r>
          </w:p>
        </w:tc>
      </w:tr>
    </w:tbl>
    <w:p>
      <w:pPr>
        <w:spacing w:after="18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rPr>
          <w:cantSplit/>
        </w:trPr>
        <w:tc>
          <w:tcPr>
            <w:tcW w:type="dxa" w:w="9070"/>
            <w:tcBorders>
              <w:top w:val="none" w:color="FFFFFF" w:sz="0"/>
              <w:left w:val="single" w:color="2E5090" w:sz="18"/>
              <w:bottom w:val="none" w:color="FFFFFF" w:sz="0"/>
              <w:right w:val="none" w:color="FFFFFF" w:sz="0"/>
            </w:tcBorders>
            <w:shd w:fill="EAEF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Cómo leer los diagramas</w:t>
            </w:r>
          </w:p>
          <w:p>
            <w:pPr>
              <w:spacing w:after="40" w:line="264" w:lineRule="auto"/>
              <w:jc w:val="both"/>
            </w:pPr>
            <w:r>
              <w:rPr>
                <w:rFonts w:ascii="Calibri" w:cs="Calibri" w:eastAsia="Calibri" w:hAnsi="Calibri"/>
                <w:color w:val="1A2436"/>
                <w:sz w:val="20"/>
                <w:szCs w:val="20"/>
              </w:rPr>
              <w:t xml:space="preserve">Los tres diagramas describen el mismo sistema con distinto nivel de detalle. Se recomienda leerlos en el orden en que aparecen: primero el alcance funcional (casos de uso), después la estructura mínima de información (modelo conceptual) y por último la estructura ampliada (modelo extendido).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2. Diagrama de casos de uso</w:t>
      </w:r>
    </w:p>
    <w:p>
      <w:pPr>
        <w:pStyle w:val="Bodytext"/>
      </w:pPr>
      <w:r>
        <w:t xml:space="preserve">El diagrama de casos de uso delimita el alcance funcional del sistema: qué puede hacer cada perfil de usuario. Los actores se ubican fuera del marco del sistema y las funciones dentro de él. El color de cada caso de uso indica el actor responsable principal.</w:t>
      </w:r>
    </w:p>
    <w:p>
      <w:pPr>
        <w:pStyle w:val="Heading2"/>
      </w:pPr>
      <w:r>
        <w:t xml:space="preserve">2.1 Actores del sistema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2721"/>
        <w:gridCol w:w="4354"/>
      </w:tblGrid>
      <w:tr>
        <w:trPr>
          <w:tblHeader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Participación en el sistema</w:t>
            </w:r>
          </w:p>
        </w:tc>
        <w:tc>
          <w:tcPr>
            <w:tcW w:type="dxa" w:w="435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Casos de uso principales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Gestiona la información maestra y los accesos.</w:t>
            </w:r>
          </w:p>
        </w:tc>
        <w:tc>
          <w:tcPr>
            <w:tcW w:type="dxa" w:w="435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Iniciar sesión · Gestionar usuarios y roles · Registrar vehículo · Registrar conductor.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Encargado de transporte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Controla las operaciones de la flota.</w:t>
            </w:r>
          </w:p>
        </w:tc>
        <w:tc>
          <w:tcPr>
            <w:tcW w:type="dxa" w:w="435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Asignar vehículo a conductor · Gestionar alquileres.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Encargado de mantenimiento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Controla las intervenciones técnicas y los documentos.</w:t>
            </w:r>
          </w:p>
        </w:tc>
        <w:tc>
          <w:tcPr>
            <w:tcW w:type="dxa" w:w="435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mantenimiento · Gestionar documentos y vencimientos · Consultar historial del vehículo.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Supervisor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 y supervisa la información de gestión.</w:t>
            </w:r>
          </w:p>
        </w:tc>
        <w:tc>
          <w:tcPr>
            <w:tcW w:type="dxa" w:w="435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Consultar disponibilidad de la flota · Generar reportes e indicadores.</w:t>
            </w:r>
          </w:p>
        </w:tc>
      </w:tr>
    </w:tbl>
    <w:p>
      <w:pPr>
        <w:spacing w:after="140"/>
      </w:pPr>
    </w:p>
    <w:p>
      <w:pPr>
        <w:pStyle w:val="Bodytext"/>
      </w:pPr>
      <w:r>
        <w:t xml:space="preserve">Todos los actores acceden al sistema mediante autenticación; las funciones disponibles para cada uno dependen exclusivamente del rol asignado.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276" w:right="1418" w:bottom="1276" w:left="1418" w:header="708" w:footer="624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9620250" cy="525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t xml:space="preserve">Figura 1. Diagrama de casos de uso del Sistema de Gestión de Vehículos para empresa minera.</w:t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720" w:right="720" w:bottom="720" w:left="720" w:header="360" w:footer="360" w:gutter="0"/>
          <w:pgNumType/>
          <w:docGrid w:linePitch="360"/>
        </w:sectPr>
      </w:pPr>
    </w:p>
    <w:p>
      <w:pPr>
        <w:pStyle w:val="Heading1"/>
      </w:pPr>
      <w:r>
        <w:t xml:space="preserve">3. Diagrama de clases — modelo conceptual</w:t>
      </w:r>
    </w:p>
    <w:p>
      <w:pPr>
        <w:pStyle w:val="Bodytext"/>
      </w:pPr>
      <w:r>
        <w:t xml:space="preserve">El modelo conceptual representa el conjunto mínimo de clases necesario para cubrir el caso de estudio: flota, personal, operación, mantenimiento, documentación, trazabilidad y seguridad de acceso. Cada clase muestra sus atributos con la indicación de clave primaria, clave foránea y restricciones de unicidad, de modo que el diagrama sirve directamente como base del modelo de base de datos.</w:t>
      </w:r>
    </w:p>
    <w:p>
      <w:pPr>
        <w:pStyle w:val="Heading2"/>
      </w:pPr>
      <w:r>
        <w:t xml:space="preserve">3.1 Clases del modelo conceptual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3"/>
        <w:gridCol w:w="4082"/>
        <w:gridCol w:w="3175"/>
      </w:tblGrid>
      <w:tr>
        <w:trPr>
          <w:tblHeader/>
        </w:trPr>
        <w:tc>
          <w:tcPr>
            <w:tcW w:type="dxa" w:w="18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 principal</w:t>
            </w:r>
          </w:p>
        </w:tc>
        <w:tc>
          <w:tcPr>
            <w:tcW w:type="dxa" w:w="31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 relaciona con</w:t>
            </w:r>
          </w:p>
        </w:tc>
      </w:tr>
      <w:tr>
        <w:trPr>
          <w:cantSplit/>
        </w:trPr>
        <w:tc>
          <w:tcPr>
            <w:tcW w:type="dxa" w:w="18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Vehiculo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Concentra la información de cada unidad y su estado operativo.</w:t>
            </w:r>
          </w:p>
        </w:tc>
        <w:tc>
          <w:tcPr>
            <w:tcW w:type="dxa" w:w="31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Asignacion, Alquiler, Mantenimiento, DocumentoVehiculo, HistorialVehiculo</w:t>
            </w:r>
          </w:p>
        </w:tc>
      </w:tr>
      <w:tr>
        <w:trPr>
          <w:cantSplit/>
        </w:trPr>
        <w:tc>
          <w:tcPr>
            <w:tcW w:type="dxa" w:w="18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Conductor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 al personal habilitado y controla la vigencia de su licencia.</w:t>
            </w:r>
          </w:p>
        </w:tc>
        <w:tc>
          <w:tcPr>
            <w:tcW w:type="dxa" w:w="31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Asignacion, Alquiler</w:t>
            </w:r>
          </w:p>
        </w:tc>
      </w:tr>
      <w:tr>
        <w:trPr>
          <w:cantSplit/>
        </w:trPr>
        <w:tc>
          <w:tcPr>
            <w:tcW w:type="dxa" w:w="18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Asignacion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Vincula un vehículo disponible con un conductor y un responsable.</w:t>
            </w:r>
          </w:p>
        </w:tc>
        <w:tc>
          <w:tcPr>
            <w:tcW w:type="dxa" w:w="31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Vehiculo, Conductor; origina Alquiler</w:t>
            </w:r>
          </w:p>
        </w:tc>
      </w:tr>
      <w:tr>
        <w:trPr>
          <w:cantSplit/>
        </w:trPr>
        <w:tc>
          <w:tcPr>
            <w:tcW w:type="dxa" w:w="18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Alquiler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 el uso operativo por periodo, con destino y motivo.</w:t>
            </w:r>
          </w:p>
        </w:tc>
        <w:tc>
          <w:tcPr>
            <w:tcW w:type="dxa" w:w="31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Vehiculo, Conductor, HistorialVehiculo</w:t>
            </w:r>
          </w:p>
        </w:tc>
      </w:tr>
      <w:tr>
        <w:trPr>
          <w:cantSplit/>
        </w:trPr>
        <w:tc>
          <w:tcPr>
            <w:tcW w:type="dxa" w:w="18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Mantenimiento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 intervenciones preventivas y correctivas y programa la siguiente.</w:t>
            </w:r>
          </w:p>
        </w:tc>
        <w:tc>
          <w:tcPr>
            <w:tcW w:type="dxa" w:w="31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Vehiculo, HistorialVehiculo</w:t>
            </w:r>
          </w:p>
        </w:tc>
      </w:tr>
      <w:tr>
        <w:trPr>
          <w:cantSplit/>
        </w:trPr>
        <w:tc>
          <w:tcPr>
            <w:tcW w:type="dxa" w:w="18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DocumentoVehiculo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Almacena documentos de la unidad y controla sus vencimientos.</w:t>
            </w:r>
          </w:p>
        </w:tc>
        <w:tc>
          <w:tcPr>
            <w:tcW w:type="dxa" w:w="31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Vehiculo</w:t>
            </w:r>
          </w:p>
        </w:tc>
      </w:tr>
      <w:tr>
        <w:trPr>
          <w:cantSplit/>
        </w:trPr>
        <w:tc>
          <w:tcPr>
            <w:tcW w:type="dxa" w:w="18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HistorialVehiculo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Consolida cronológicamente los eventos de cada unidad.</w:t>
            </w:r>
          </w:p>
        </w:tc>
        <w:tc>
          <w:tcPr>
            <w:tcW w:type="dxa" w:w="31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Vehiculo, Usuario</w:t>
            </w:r>
          </w:p>
        </w:tc>
      </w:tr>
      <w:tr>
        <w:trPr>
          <w:cantSplit/>
        </w:trPr>
        <w:tc>
          <w:tcPr>
            <w:tcW w:type="dxa" w:w="18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Usuario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Controla el acceso al sistema y registra al responsable de cada operación.</w:t>
            </w:r>
          </w:p>
        </w:tc>
        <w:tc>
          <w:tcPr>
            <w:tcW w:type="dxa" w:w="31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Rol, HistorialVehiculo</w:t>
            </w:r>
          </w:p>
        </w:tc>
      </w:tr>
      <w:tr>
        <w:trPr>
          <w:cantSplit/>
        </w:trPr>
        <w:tc>
          <w:tcPr>
            <w:tcW w:type="dxa" w:w="18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Define las funciones y los accesos permitidos.</w:t>
            </w:r>
          </w:p>
        </w:tc>
        <w:tc>
          <w:tcPr>
            <w:tcW w:type="dxa" w:w="31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Usuario</w:t>
            </w:r>
          </w:p>
        </w:tc>
      </w:tr>
    </w:tbl>
    <w:p>
      <w:pPr>
        <w:spacing w:after="14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rPr>
          <w:cantSplit/>
        </w:trPr>
        <w:tc>
          <w:tcPr>
            <w:tcW w:type="dxa" w:w="9070"/>
            <w:tcBorders>
              <w:top w:val="none" w:color="FFFFFF" w:sz="0"/>
              <w:left w:val="single" w:color="B06E12" w:sz="18"/>
              <w:bottom w:val="none" w:color="FFFFFF" w:sz="0"/>
              <w:right w:val="none" w:color="FFFFFF" w:sz="0"/>
            </w:tcBorders>
            <w:shd w:fill="FFFB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4E08"/>
                <w:sz w:val="20"/>
                <w:szCs w:val="20"/>
              </w:rPr>
              <w:t xml:space="preserve">Detalle de lectura</w:t>
            </w:r>
          </w:p>
          <w:p>
            <w:pPr>
              <w:spacing w:after="40" w:line="264" w:lineRule="auto"/>
              <w:jc w:val="both"/>
            </w:pPr>
            <w:r>
              <w:rPr>
                <w:rFonts w:ascii="Calibri" w:cs="Calibri" w:eastAsia="Calibri" w:hAnsi="Calibri"/>
                <w:color w:val="1A2436"/>
                <w:sz w:val="20"/>
                <w:szCs w:val="20"/>
              </w:rPr>
              <w:t xml:space="preserve">Las líneas discontinuas etiquetadas como “alimenta” indican dependencias: los registros de asignación, alquiler y mantenimiento generan automáticamente entradas en HistorialVehiculo, que se comporta como una bitácora de solo inserción.</w:t>
            </w:r>
          </w:p>
        </w:tc>
      </w:tr>
    </w:tbl>
    <w:p>
      <w:pPr>
        <w:sectPr>
          <w:headerReference w:type="default" r:id="rId11"/>
          <w:footerReference w:type="default" r:id="rId12"/>
          <w:pgSz w:w="11906" w:h="16838" w:orient="portrait"/>
          <w:pgMar w:top="1276" w:right="1418" w:bottom="1276" w:left="1418" w:header="708" w:footer="624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9620250" cy="610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t xml:space="preserve">Figura 2. Diagrama de clases UML — modelo conceptual del Sistema de Gestión de Vehículos.</w:t>
      </w:r>
    </w:p>
    <w:p>
      <w:pPr>
        <w:sectPr>
          <w:headerReference w:type="default" r:id="rId13"/>
          <w:footerReference w:type="default" r:id="rId14"/>
          <w:pgSz w:w="16838" w:h="11906" w:orient="landscape"/>
          <w:pgMar w:top="720" w:right="720" w:bottom="720" w:left="720" w:header="360" w:footer="360" w:gutter="0"/>
          <w:pgNumType/>
          <w:docGrid w:linePitch="360"/>
        </w:sectPr>
      </w:pPr>
    </w:p>
    <w:p>
      <w:pPr>
        <w:pStyle w:val="Heading1"/>
      </w:pPr>
      <w:r>
        <w:t xml:space="preserve">4. Diagrama de clases — modelo extendido</w:t>
      </w:r>
    </w:p>
    <w:p>
      <w:pPr>
        <w:pStyle w:val="Bodytext"/>
      </w:pPr>
      <w:r>
        <w:t xml:space="preserve">El modelo extendido muestra hasta dónde puede crecer el sistema conservando la misma estructura de base. Añade los módulos de proveedores, seguimiento GPS, costos operativos y reportes, y desagrega catálogos que en el modelo conceptual estaban simplificados (marca, modelo, repuestos, tipos de documento).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rPr>
          <w:cantSplit/>
        </w:trPr>
        <w:tc>
          <w:tcPr>
            <w:tcW w:type="dxa" w:w="9070"/>
            <w:tcBorders>
              <w:top w:val="none" w:color="FFFFFF" w:sz="0"/>
              <w:left w:val="single" w:color="B06E12" w:sz="18"/>
              <w:bottom w:val="none" w:color="FFFFFF" w:sz="0"/>
              <w:right w:val="none" w:color="FFFFFF" w:sz="0"/>
            </w:tcBorders>
            <w:shd w:fill="FFFB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4E08"/>
                <w:sz w:val="20"/>
                <w:szCs w:val="20"/>
              </w:rPr>
              <w:t xml:space="preserve">Alcance</w:t>
            </w:r>
          </w:p>
          <w:p>
            <w:pPr>
              <w:spacing w:after="40" w:line="264" w:lineRule="auto"/>
              <w:jc w:val="both"/>
            </w:pPr>
            <w:r>
              <w:rPr>
                <w:rFonts w:ascii="Calibri" w:cs="Calibri" w:eastAsia="Calibri" w:hAnsi="Calibri"/>
                <w:color w:val="1A2436"/>
                <w:sz w:val="20"/>
                <w:szCs w:val="20"/>
              </w:rPr>
              <w:t xml:space="preserve">Los módulos de seguimiento GPS, costos operativos, proveedores y reportes se presentan como capacidades previstas en el roadmap del sistema. El alcance inicial de implementación se concentra en flota, personal, mantenimiento, documentación y combustible.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4.1 Módulos del modelo extendido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2993"/>
        <w:gridCol w:w="4082"/>
      </w:tblGrid>
      <w:tr>
        <w:trPr>
          <w:tblHeader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Clases que lo componen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Aporte al sistema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Seguridad y usuarios</w:t>
            </w:r>
          </w:p>
        </w:tc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Rol, Permiso, Usuario, Sesion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 granular de accesos por módulo y acción, con trazabilidad de sesiones.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Flota vehicular</w:t>
            </w:r>
          </w:p>
        </w:tc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TipoVehiculo, Marca, Modelo, Vehiculo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Catálogos normalizados que evitan texto libre y habilitan búsquedas por categoría.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Personal y asignaciones</w:t>
            </w:r>
          </w:p>
        </w:tc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Conductor, LicenciaConductor, AsignacionVehiculo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Separa al conductor de sus licencias, permitiendo varias categorías y su control de vigencia.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Organización y proveedores</w:t>
            </w:r>
          </w:p>
        </w:tc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EmpresaMinera, Proveedor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Vincula cada unidad con su proveedor y centraliza la configuración de la empresa.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Mantenimiento</w:t>
            </w:r>
          </w:p>
        </w:tc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Mantenimiento, DetalleMantenimiento, Repuesto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Desglosa el costo de cada intervención entre mano de obra y repuestos consumidos.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Documentación y alertas</w:t>
            </w:r>
          </w:p>
        </w:tc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TipoDocumento, DocumentoVehiculo, AlertaDocumento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Convierte los vencimientos en alertas gestionables con estado de lectura.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Gestión de combustible</w:t>
            </w:r>
          </w:p>
        </w:tc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EstacionServicio, CargaCombustible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 cada abastecimiento con odómetro y comprobante para calcular el rendimiento.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Seguimiento GPS</w:t>
            </w:r>
          </w:p>
        </w:tc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DispositivoGPS, UbicacionGPS, Geocerca, AlertaGPS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Habilita el monitoreo de posición y las alertas por geocerca o exceso de velocidad.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Costos operativos</w:t>
            </w:r>
          </w:p>
        </w:tc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CostoOperativo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Consolida el costo total de propiedad por unidad y por periodo.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Reportes e indicadores</w:t>
            </w:r>
          </w:p>
        </w:tc>
        <w:tc>
          <w:tcPr>
            <w:tcW w:type="dxa" w:w="299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Reporte</w:t>
            </w:r>
          </w:p>
        </w:tc>
        <w:tc>
          <w:tcPr>
            <w:tcW w:type="dxa" w:w="40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 los reportes generados, sus parámetros y el usuario que los solicitó.</w:t>
            </w:r>
          </w:p>
        </w:tc>
      </w:tr>
    </w:tbl>
    <w:p>
      <w:pPr>
        <w:sectPr>
          <w:headerReference w:type="default" r:id="rId15"/>
          <w:footerReference w:type="default" r:id="rId16"/>
          <w:pgSz w:w="11906" w:h="16838" w:orient="portrait"/>
          <w:pgMar w:top="1276" w:right="1418" w:bottom="1276" w:left="1418" w:header="708" w:footer="624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7353300" cy="614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33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t xml:space="preserve">Figura 3. Diagrama de clases UML — modelo extendido del sistema, con los módulos previstos en el roadmap.</w:t>
      </w:r>
    </w:p>
    <w:p>
      <w:pPr>
        <w:sectPr>
          <w:headerReference w:type="default" r:id="rId17"/>
          <w:footerReference w:type="default" r:id="rId18"/>
          <w:pgSz w:w="16838" w:h="11906" w:orient="landscape"/>
          <w:pgMar w:top="720" w:right="720" w:bottom="720" w:left="720" w:header="360" w:footer="360" w:gutter="0"/>
          <w:pgNumType/>
          <w:docGrid w:linePitch="360"/>
        </w:sectPr>
      </w:pPr>
    </w:p>
    <w:p>
      <w:pPr>
        <w:pStyle w:val="Heading1"/>
      </w:pPr>
      <w:r>
        <w:t xml:space="preserve">5. Correspondencia entre los tres diagramas</w:t>
      </w:r>
    </w:p>
    <w:p>
      <w:pPr>
        <w:pStyle w:val="Bodytext"/>
      </w:pPr>
      <w:r>
        <w:t xml:space="preserve">Los tres diagramas describen el mismo sistema desde perspectivas distintas. La siguiente tabla muestra cómo se corresponden sus elementos, de modo que el lector pueda recorrerlos de forma coherente.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2"/>
        <w:gridCol w:w="2358"/>
        <w:gridCol w:w="2358"/>
        <w:gridCol w:w="2902"/>
      </w:tblGrid>
      <w:tr>
        <w:trPr>
          <w:tblHeader/>
        </w:trPr>
        <w:tc>
          <w:tcPr>
            <w:tcW w:type="dxa" w:w="14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Casos de uso (Fig. 1)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 conceptual (Fig. 2)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 extendido (Fig. 3)</w:t>
            </w:r>
          </w:p>
        </w:tc>
      </w:tr>
      <w:tr>
        <w:trPr>
          <w:cantSplit/>
        </w:trPr>
        <w:tc>
          <w:tcPr>
            <w:tcW w:type="dxa" w:w="14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Acceso al sistema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Iniciar sesión · Gestionar usuarios y roles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Usuario, Rol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Usuario, Rol, Permiso, Sesion</w:t>
            </w:r>
          </w:p>
        </w:tc>
      </w:tr>
      <w:tr>
        <w:trPr>
          <w:cantSplit/>
        </w:trPr>
        <w:tc>
          <w:tcPr>
            <w:tcW w:type="dxa" w:w="14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Alta de la flota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vehículo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Vehiculo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Vehiculo, TipoVehiculo, Marca, Modelo, Proveedor</w:t>
            </w:r>
          </w:p>
        </w:tc>
      </w:tr>
      <w:tr>
        <w:trPr>
          <w:cantSplit/>
        </w:trPr>
        <w:tc>
          <w:tcPr>
            <w:tcW w:type="dxa" w:w="14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Personal habilitado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conductor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Conductor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Conductor, LicenciaConductor</w:t>
            </w:r>
          </w:p>
        </w:tc>
      </w:tr>
      <w:tr>
        <w:trPr>
          <w:cantSplit/>
        </w:trPr>
        <w:tc>
          <w:tcPr>
            <w:tcW w:type="dxa" w:w="14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Operación diaria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Asignar vehículo · Gestionar alquileres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Asignacion, Alquiler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AsignacionVehiculo</w:t>
            </w:r>
          </w:p>
        </w:tc>
      </w:tr>
      <w:tr>
        <w:trPr>
          <w:cantSplit/>
        </w:trPr>
        <w:tc>
          <w:tcPr>
            <w:tcW w:type="dxa" w:w="14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Mantenimiento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mantenimiento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Mantenimiento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Mantenimiento, DetalleMantenimiento, Repuesto</w:t>
            </w:r>
          </w:p>
        </w:tc>
      </w:tr>
      <w:tr>
        <w:trPr>
          <w:cantSplit/>
        </w:trPr>
        <w:tc>
          <w:tcPr>
            <w:tcW w:type="dxa" w:w="14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Documentación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Gestionar documentos y vencimientos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DocumentoVehiculo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TipoDocumento, DocumentoVehiculo, AlertaDocumento</w:t>
            </w:r>
          </w:p>
        </w:tc>
      </w:tr>
      <w:tr>
        <w:trPr>
          <w:cantSplit/>
        </w:trPr>
        <w:tc>
          <w:tcPr>
            <w:tcW w:type="dxa" w:w="14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Trazabilidad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Consultar historial del vehículo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HistorialVehiculo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HistorialVehiculo (+ UbicacionGPS)</w:t>
            </w:r>
          </w:p>
        </w:tc>
      </w:tr>
      <w:tr>
        <w:trPr>
          <w:cantSplit/>
        </w:trPr>
        <w:tc>
          <w:tcPr>
            <w:tcW w:type="dxa" w:w="14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Gestión y análisis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Consultar disponibilidad · Generar reportes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 sobre todas las clases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Reporte, CostoOperativo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6. Criterios de calidad del modelado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Cada clase del modelo corresponde a una entidad identificada en el caso de estudio; no se añadieron clases para ampliar artificialmente el diagrama.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Los catálogos (tipo de vehículo, tipo de mantenimiento, tipo de documento) se modelan como clases propias para evitar texto libre y facilitar los filtros.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Las cardinalidades se indican explícitamente en cada asociación, lo que permite derivar directamente las claves foráneas del modelo de base de datos.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Las restricciones de unicidad (placa, código interno, DNI, licencia) se señalan en el diagrama porque son reglas de negocio, no decisiones técnicas.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Los módulos previstos para fases posteriores están identificados como tales y no se presentan como funcionalidad implementada.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En una etapa posterior de diseño, los diagramas podrán ampliarse con tipos de datos definitivos, operaciones detalladas, asociaciones de navegabilidad y restricciones técnicas específicas.</w:t>
      </w:r>
    </w:p>
    <w:p>
      <w:pPr>
        <w:spacing w:after="18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rPr>
          <w:cantSplit/>
        </w:trPr>
        <w:tc>
          <w:tcPr>
            <w:tcW w:type="dxa" w:w="9070"/>
            <w:tcBorders>
              <w:top w:val="none" w:color="FFFFFF" w:sz="0"/>
              <w:left w:val="single" w:color="2E5090" w:sz="18"/>
              <w:bottom w:val="none" w:color="FFFFFF" w:sz="0"/>
              <w:right w:val="none" w:color="FFFFFF" w:sz="0"/>
            </w:tcBorders>
            <w:shd w:fill="EAEF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Nota sobre los nombres y datos de ejemplo</w:t>
            </w:r>
          </w:p>
          <w:p>
            <w:pPr>
              <w:spacing w:after="40" w:line="264" w:lineRule="auto"/>
              <w:jc w:val="both"/>
            </w:pPr>
            <w:r>
              <w:rPr>
                <w:rFonts w:ascii="Calibri" w:cs="Calibri" w:eastAsia="Calibri" w:hAnsi="Calibri"/>
                <w:color w:val="1A2436"/>
                <w:sz w:val="20"/>
                <w:szCs w:val="20"/>
              </w:rPr>
              <w:t xml:space="preserve">Las empresas, unidades mineras, placas y nombres que aparecen en los diagramas y tablas son ejemplos didácticos construidos para el caso de estudio y no corresponden a organizaciones ni personas reales.</w:t>
            </w:r>
          </w:p>
        </w:tc>
      </w:tr>
    </w:tbl>
    <w:sectPr>
      <w:headerReference w:type="default" r:id="rId19"/>
      <w:footerReference w:type="default" r:id="rId20"/>
      <w:pgSz w:w="11906" w:h="16838" w:orient="portrait"/>
      <w:pgMar w:top="1276" w:right="1418" w:bottom="1276" w:left="1418" w:header="708" w:footer="62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Anexo de modelado visual — Diagramas UML del sistema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Anexo de modelado visual — Diagramas UML del sistema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Anexo de modelado visual — Diagramas UML del sistema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Anexo de modelado visual — Diagramas UML del sistema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Anexo de modelado visual — Diagramas UML del sistema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Anexo de modelado visual — Diagramas UML del sistema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Anexo de modelado visual — Diagramas UML del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40"/>
      </w:pPr>
      <w:rPr>
        <w:color w:val="2E5090"/>
      </w:rPr>
    </w:lvl>
    <w:lvl w:ilvl="1" w15:tentative="1">
      <w:start w:val="1"/>
      <w:numFmt w:val="bullet"/>
      <w:lvlText w:val="–"/>
      <w:lvlJc w:val="left"/>
      <w:pPr>
        <w:ind w:left="860" w:hanging="240"/>
      </w:pPr>
      <w:rPr>
        <w:color w:val="6B7A9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  <w:rPr>
        <w:b/>
        <w:bCs/>
        <w:color w:val="2E509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436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3E0" w:sz="10" w:space="6"/>
      </w:pBdr>
      <w:spacing w:after="180" w:before="380"/>
    </w:pPr>
    <w:rPr>
      <w:rFonts w:ascii="Cambria" w:cs="Cambria" w:eastAsia="Cambria" w:hAnsi="Cambria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30" w:before="300"/>
    </w:pPr>
    <w:rPr>
      <w:rFonts w:ascii="Cambria" w:cs="Cambria" w:eastAsia="Cambria" w:hAnsi="Cambria"/>
      <w:b/>
      <w:bCs/>
      <w:color w:val="2E5090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mbria" w:cs="Cambria" w:eastAsia="Cambria" w:hAnsi="Cambria"/>
      <w:b/>
      <w:bCs/>
      <w:color w:val="44546A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44546A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qFormat/>
    <w:pPr>
      <w:spacing w:after="140" w:line="288" w:lineRule="auto"/>
      <w:jc w:val="both"/>
    </w:pPr>
    <w:rPr>
      <w:sz w:val="22"/>
      <w:szCs w:val="22"/>
    </w:rPr>
  </w:style>
  <w:style w:type="paragraph" w:styleId="Caption2">
    <w:name w:val="Caption2"/>
    <w:basedOn w:val="Normal"/>
    <w:pPr>
      <w:spacing w:after="240" w:before="80"/>
      <w:jc w:val="center"/>
    </w:pPr>
    <w:rPr>
      <w:rFonts w:ascii="Calibri" w:cs="Calibri" w:eastAsia="Calibri" w:hAnsi="Calibri"/>
      <w:i/>
      <w:iCs/>
      <w:color w:val="6B7A90"/>
      <w:sz w:val="17"/>
      <w:szCs w:val="17"/>
    </w:rPr>
  </w:style>
  <w:style w:type="paragraph" w:styleId="Codeblk">
    <w:name w:val="Code block"/>
    <w:basedOn w:val="Normal"/>
    <w:pPr>
      <w:spacing w:after="0" w:before="0" w:line="240" w:lineRule="auto"/>
      <w:jc w:val="left"/>
    </w:pPr>
    <w:rPr>
      <w:rFonts w:ascii="Consolas" w:cs="Consolas" w:eastAsia="Consolas" w:hAnsi="Consolas"/>
      <w:color w:val="1A2436"/>
      <w:sz w:val="17"/>
      <w:szCs w:val="17"/>
    </w:rPr>
  </w:style>
  <w:style w:type="paragraph" w:styleId="Lead">
    <w:name w:val="Lead"/>
    <w:basedOn w:val="Normal"/>
    <w:pPr>
      <w:spacing w:after="180" w:line="300" w:lineRule="auto"/>
      <w:jc w:val="both"/>
    </w:pPr>
    <w:rPr>
      <w:color w:val="44546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image" Target="media/315bb019c1e4a7c7614f5821177ba3a7e4c948e3.png"/><Relationship Id="rId22" Type="http://schemas.openxmlformats.org/officeDocument/2006/relationships/image" Target="media/f491f884bf9e44b12e69116296f8face0b828e22.png"/><Relationship Id="rId23" Type="http://schemas.openxmlformats.org/officeDocument/2006/relationships/image" Target="media/2efbd0421e704ee41272671c3ac3619943e43de6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Diagramas UML del Sistema de Gestión de Vehículos para Empresa Minera</dc:title>
  <dc:creator>Un-named</dc:creator>
  <dc:description>Anexo de modelado visual: casos de uso, modelo conceptual de clases y modelo extendido.</dc:description>
  <cp:lastModifiedBy>Un-named</cp:lastModifiedBy>
  <cp:revision>1</cp:revision>
  <dcterms:created xsi:type="dcterms:W3CDTF">2026-09-19T20:26:04.571Z</dcterms:created>
  <dcterms:modified xsi:type="dcterms:W3CDTF">2026-09-19T20:26:04.571Z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