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  <w:jc w:val="center"/>
      </w:pPr>
      <w:r>
        <w:rPr>
          <w:rFonts w:ascii="Calibri" w:cs="Calibri" w:eastAsia="Calibri" w:hAnsi="Calibri"/>
          <w:b/>
          <w:bCs/>
          <w:color w:val="6B7A90"/>
          <w:spacing w:val="24"/>
          <w:sz w:val="18"/>
          <w:szCs w:val="18"/>
        </w:rPr>
        <w:t xml:space="preserve">GERENCIA REGIONAL DE EDUCACIÓN LA LIBERTAD</w:t>
      </w:r>
    </w:p>
    <w:p>
      <w:pPr>
        <w:spacing w:after="0" w:before="60"/>
        <w:jc w:val="center"/>
      </w:pPr>
      <w:r>
        <w:rPr>
          <w:rFonts w:ascii="Cambria" w:cs="Cambria" w:eastAsia="Cambria" w:hAnsi="Cambria"/>
          <w:color w:val="44546A"/>
          <w:sz w:val="20"/>
          <w:szCs w:val="20"/>
        </w:rPr>
        <w:t xml:space="preserve">INSTITUTO DE EDUCACIÓN SUPERIOR TECNOLÓGICO PÚBLICO</w:t>
      </w:r>
    </w:p>
    <w:p>
      <w:pPr>
        <w:spacing w:after="100" w:before="20"/>
        <w:jc w:val="center"/>
      </w:pPr>
      <w:r>
        <w:rPr>
          <w:rFonts w:ascii="Cambria" w:cs="Cambria" w:eastAsia="Cambria" w:hAnsi="Cambria"/>
          <w:b/>
          <w:bCs/>
          <w:color w:val="1F3864"/>
          <w:sz w:val="30"/>
          <w:szCs w:val="30"/>
        </w:rPr>
        <w:t xml:space="preserve">“PAIJÁN”</w:t>
      </w:r>
    </w:p>
    <w:p>
      <w:pPr>
        <w:pBdr>
          <w:bottom w:val="single" w:color="C9D3E0" w:sz="8" w:space="2"/>
        </w:pBdr>
        <w:spacing w:after="60" w:before="60"/>
      </w:pPr>
    </w:p>
    <w:p>
      <w:pPr>
        <w:spacing w:after="700"/>
      </w:pP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2E5090"/>
          <w:spacing w:val="40"/>
          <w:sz w:val="19"/>
          <w:szCs w:val="19"/>
        </w:rPr>
        <w:t xml:space="preserve">IDENTIFICACIÓN DE CLASES — ANÁLISIS ORIENTADO A OBJETOS</w:t>
      </w:r>
    </w:p>
    <w:p>
      <w:pPr>
        <w:spacing w:after="160"/>
      </w:pPr>
    </w:p>
    <w:p>
      <w:pPr>
        <w:spacing w:after="80" w:line="250" w:lineRule="auto"/>
        <w:jc w:val="center"/>
      </w:pPr>
      <w:r>
        <w:rPr>
          <w:rFonts w:ascii="Cambria" w:cs="Cambria" w:eastAsia="Cambria" w:hAnsi="Cambria"/>
          <w:b/>
          <w:bCs/>
          <w:color w:val="1F3864"/>
          <w:sz w:val="44"/>
          <w:szCs w:val="44"/>
        </w:rPr>
        <w:t xml:space="preserve">CATÁLOGO DE CLASES, OBJETOS Y RESPONSABILIDADES</w:t>
      </w:r>
    </w:p>
    <w:p>
      <w:pPr>
        <w:spacing w:after="140" w:line="250" w:lineRule="auto"/>
        <w:jc w:val="center"/>
      </w:pPr>
      <w:r>
        <w:rPr>
          <w:rFonts w:ascii="Cambria" w:cs="Cambria" w:eastAsia="Cambria" w:hAnsi="Cambria"/>
          <w:b/>
          <w:bCs/>
          <w:color w:val="2E5090"/>
          <w:sz w:val="30"/>
          <w:szCs w:val="30"/>
        </w:rPr>
        <w:t xml:space="preserve">SISTEMA DE GESTIÓN DE VEHÍCULOS — EMPRESA MINERA</w:t>
      </w:r>
    </w:p>
    <w:p>
      <w:pPr>
        <w:pBdr>
          <w:bottom w:val="single" w:color="1F3864" w:sz="14" w:space="2"/>
        </w:pBdr>
        <w:spacing w:after="60" w:before="60"/>
      </w:pPr>
    </w:p>
    <w:p>
      <w:pPr>
        <w:spacing w:after="40" w:before="200"/>
        <w:jc w:val="center"/>
      </w:pPr>
      <w:r>
        <w:rPr>
          <w:rFonts w:ascii="Calibri" w:cs="Calibri" w:eastAsia="Calibri" w:hAnsi="Calibri"/>
          <w:i/>
          <w:iCs/>
          <w:color w:val="44546A"/>
          <w:sz w:val="23"/>
          <w:szCs w:val="23"/>
        </w:rPr>
        <w:t xml:space="preserve">Identificación de entidades del dominio, atributos principales y responsabilidades asignadas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6B7A90"/>
          <w:sz w:val="19"/>
          <w:szCs w:val="19"/>
        </w:rPr>
        <w:t xml:space="preserve">Documento de apoyo al análisis orientado a objetos: 25 clases identificadas, agrupadas en siete módulos funcionales.</w:t>
      </w:r>
    </w:p>
    <w:p>
      <w:pPr>
        <w:spacing w:after="700"/>
      </w:pP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49"/>
      </w:tblGrid>
      <w:tr>
        <w:trPr>
          <w:cantSplit/>
        </w:trPr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Unidad didáctica</w:t>
            </w:r>
          </w:p>
        </w:tc>
        <w:tc>
          <w:tcPr>
            <w:tcW w:type="dxa" w:w="6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Programación Orientada a Objetos (POO)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Semana / Sesión</w:t>
            </w:r>
          </w:p>
        </w:tc>
        <w:tc>
          <w:tcPr>
            <w:tcW w:type="dxa" w:w="6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Semana 02 · SA2-POO-S2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Indicador de logro</w:t>
            </w:r>
          </w:p>
        </w:tc>
        <w:tc>
          <w:tcPr>
            <w:tcW w:type="dxa" w:w="6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C4.I1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Docente</w:t>
            </w:r>
          </w:p>
        </w:tc>
        <w:tc>
          <w:tcPr>
            <w:tcW w:type="dxa" w:w="6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Ing. Carlos Abilio Angulo Zegarra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Alcance</w:t>
            </w:r>
          </w:p>
        </w:tc>
        <w:tc>
          <w:tcPr>
            <w:tcW w:type="dxa" w:w="6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25 clases · 7 módulos funcionales · catálogo de atributos y responsabilidades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Método</w:t>
            </w:r>
          </w:p>
        </w:tc>
        <w:tc>
          <w:tcPr>
            <w:tcW w:type="dxa" w:w="6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Identificación de clases a partir de sustantivos y responsabilidades del caso de estudio</w:t>
            </w:r>
          </w:p>
        </w:tc>
      </w:tr>
    </w:tbl>
    <w:p>
      <w:pPr>
        <w:spacing w:after="420"/>
      </w:pPr>
    </w:p>
    <w:p>
      <w:pPr>
        <w:spacing w:after="0"/>
        <w:jc w:val="center"/>
      </w:pPr>
      <w:r>
        <w:rPr>
          <w:rFonts w:ascii="Calibri" w:cs="Calibri" w:eastAsia="Calibri" w:hAnsi="Calibri"/>
          <w:color w:val="6B7A90"/>
          <w:sz w:val="19"/>
          <w:szCs w:val="19"/>
        </w:rPr>
        <w:t xml:space="preserve">Paiján — La Libertad, Perú</w:t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6B7A90"/>
          <w:sz w:val="19"/>
          <w:szCs w:val="19"/>
        </w:rPr>
        <w:t xml:space="preserve">Septiembre de 2026</w:t>
      </w:r>
    </w:p>
    <w:p>
      <w:pPr>
        <w:sectPr>
          <w:pgSz w:w="11906" w:h="16838" w:orient="portrait"/>
          <w:pgMar w:top="1276" w:right="1418" w:bottom="1276" w:left="1418" w:header="708" w:footer="624" w:gutter="0"/>
          <w:pgNumType/>
          <w:docGrid w:linePitch="360"/>
        </w:sectPr>
      </w:pPr>
    </w:p>
    <w:p>
      <w:pPr>
        <w:pStyle w:val="Heading1"/>
      </w:pPr>
      <w:r>
        <w:t xml:space="preserve">Tabla de contenido</w:t>
      </w:r>
    </w:p>
    <w:p>
      <w:pPr>
        <w:spacing w:after="160"/>
      </w:pPr>
      <w:r>
        <w:rPr>
          <w:i/>
          <w:iCs/>
          <w:color w:val="6B7A90"/>
          <w:sz w:val="17"/>
          <w:szCs w:val="17"/>
        </w:rPr>
        <w:t xml:space="preserve">Para actualizar el índice en Word: seleccionarlo y pulsar F9.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Presentación</w:t>
      </w:r>
    </w:p>
    <w:p>
      <w:pPr>
        <w:pStyle w:val="Lead"/>
      </w:pPr>
      <w:r>
        <w:t xml:space="preserve">Este documento recoge el catálogo de clases identificadas durante el análisis orientado a objetos del Sistema de Gestión de Vehículos para una empresa minera. Para cada clase se indican objetos de ejemplo, los atributos principales que la describen y las responsabilidades que asume dentro del sistema.</w:t>
      </w:r>
    </w:p>
    <w:p>
      <w:pPr>
        <w:pStyle w:val="Bodytext"/>
      </w:pPr>
      <w:r>
        <w:t xml:space="preserve">El catálogo es el paso intermedio entre la descripción del problema y el diagrama de clases: permite verificar que cada entidad del dominio tiene una razón de existir, un conjunto de datos propio y un conjunto de operaciones que le corresponden. En total se identificaron veinticinco clases, agrupadas en siete módulos funcionales.</w:t>
      </w:r>
    </w:p>
    <w:p>
      <w:pPr>
        <w:pStyle w:val="Heading2"/>
      </w:pPr>
      <w:r>
        <w:t xml:space="preserve">1.1 Criterio de identificación de clases</w:t>
      </w:r>
    </w:p>
    <w:p>
      <w:pPr>
        <w:pStyle w:val="Bodytext"/>
        <w:numPr>
          <w:ilvl w:val="0"/>
          <w:numId w:val="2"/>
        </w:numPr>
        <w:spacing w:after="60" w:line="276" w:lineRule="auto"/>
      </w:pPr>
      <w:r>
        <w:t xml:space="preserve">Una clase representa una entidad del dominio con identidad propia, datos propios y responsabilidades propias.</w:t>
      </w:r>
    </w:p>
    <w:p>
      <w:pPr>
        <w:pStyle w:val="Bodytext"/>
        <w:numPr>
          <w:ilvl w:val="0"/>
          <w:numId w:val="2"/>
        </w:numPr>
        <w:spacing w:after="60" w:line="276" w:lineRule="auto"/>
      </w:pPr>
      <w:r>
        <w:t xml:space="preserve">Los atributos listados son los que el caso de estudio requiere; no se incluyen atributos técnicos de implementación.</w:t>
      </w:r>
    </w:p>
    <w:p>
      <w:pPr>
        <w:pStyle w:val="Bodytext"/>
        <w:numPr>
          <w:ilvl w:val="0"/>
          <w:numId w:val="2"/>
        </w:numPr>
        <w:spacing w:after="60" w:line="276" w:lineRule="auto"/>
      </w:pPr>
      <w:r>
        <w:t xml:space="preserve">Las responsabilidades se redactan como acciones que la clase debe garantizar, no como funciones de interfaz.</w:t>
      </w:r>
    </w:p>
    <w:p>
      <w:pPr>
        <w:pStyle w:val="Bodytext"/>
        <w:numPr>
          <w:ilvl w:val="0"/>
          <w:numId w:val="2"/>
        </w:numPr>
        <w:spacing w:after="60" w:line="276" w:lineRule="auto"/>
      </w:pPr>
      <w:r>
        <w:t xml:space="preserve">Los objetos de ejemplo son instancias concretas que ayudan a validar que la clase está bien delimitada.</w:t>
      </w:r>
    </w:p>
    <w:p>
      <w:pPr>
        <w:pStyle w:val="Bodytext"/>
        <w:numPr>
          <w:ilvl w:val="0"/>
          <w:numId w:val="2"/>
        </w:numPr>
        <w:spacing w:after="60" w:line="276" w:lineRule="auto"/>
      </w:pPr>
      <w:r>
        <w:t xml:space="preserve">Cuando varias clases comparten atributos y operaciones de acceso, se modela una clase base y sus especializaciones (véase la sección 4).</w:t>
      </w:r>
    </w:p>
    <w:p>
      <w:pPr>
        <w:pStyle w:val="Heading2"/>
      </w:pPr>
      <w:r>
        <w:t xml:space="preserve">1.2 Resumen por módulo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8"/>
        <w:gridCol w:w="1270"/>
        <w:gridCol w:w="5442"/>
      </w:tblGrid>
      <w:tr>
        <w:trPr>
          <w:tblHeader/>
        </w:trPr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12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N.º de clases</w:t>
            </w:r>
          </w:p>
        </w:tc>
        <w:tc>
          <w:tcPr>
            <w:tcW w:type="dxa" w:w="54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Clases que lo integran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Organización y flota</w:t>
            </w:r>
          </w:p>
        </w:tc>
        <w:tc>
          <w:tcPr>
            <w:tcW w:type="dxa" w:w="12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54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Empresa · ÁreaOperativa · TipoVehículo · Vehículo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Operación y transporte</w:t>
            </w:r>
          </w:p>
        </w:tc>
        <w:tc>
          <w:tcPr>
            <w:tcW w:type="dxa" w:w="12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54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Conductor · AsignaciónVehículo · Viaje · Ruta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Mantenimiento</w:t>
            </w:r>
          </w:p>
        </w:tc>
        <w:tc>
          <w:tcPr>
            <w:tcW w:type="dxa" w:w="12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54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Mantenimiento · MantenimientoPreventivo · MantenimientoCorrectivo · Repuesto · Taller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Control operativo</w:t>
            </w:r>
          </w:p>
        </w:tc>
        <w:tc>
          <w:tcPr>
            <w:tcW w:type="dxa" w:w="12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4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Combustible · Inspección · Incidente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Documentación y seguros</w:t>
            </w:r>
          </w:p>
        </w:tc>
        <w:tc>
          <w:tcPr>
            <w:tcW w:type="dxa" w:w="12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4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DocumentoVehicular · Seguro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Monitoreo y avisos</w:t>
            </w:r>
          </w:p>
        </w:tc>
        <w:tc>
          <w:tcPr>
            <w:tcW w:type="dxa" w:w="12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4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GPS · Alerta · Notificación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Usuarios y roles</w:t>
            </w:r>
          </w:p>
        </w:tc>
        <w:tc>
          <w:tcPr>
            <w:tcW w:type="dxa" w:w="12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54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Usuario · Administrador · SupervisorFlota · Mecánico</w:t>
            </w:r>
          </w:p>
        </w:tc>
      </w:tr>
      <w:tr>
        <w:trPr>
          <w:cantSplit/>
        </w:trPr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12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54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40"/>
      </w:pPr>
    </w:p>
    <w:p>
      <w:pPr>
        <w:pStyle w:val="Bodytext"/>
      </w:pPr>
      <w:r>
        <w:t xml:space="preserve">El mapa de la página siguiente muestra esta misma distribución de forma visual.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276" w:right="1418" w:bottom="1276" w:left="1418" w:header="708" w:footer="624" w:gutter="0"/>
          <w:pgNumType/>
          <w:docGrid w:linePitch="360"/>
        </w:sectPr>
      </w:pPr>
    </w:p>
    <w:p>
      <w:pPr>
        <w:spacing w:after="60" w:before="60"/>
        <w:jc w:val="center"/>
      </w:pPr>
      <w:r>
        <w:drawing>
          <wp:inline distT="0" distB="0" distL="0" distR="0">
            <wp:extent cx="9620250" cy="4733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2"/>
      </w:pPr>
      <w:r>
        <w:t xml:space="preserve">Figura 1. Mapa de clases del dominio agrupadas por módulo funcional.</w:t>
      </w:r>
    </w:p>
    <w:p>
      <w:pPr>
        <w:sectPr>
          <w:headerReference w:type="default" r:id="rId9"/>
          <w:footerReference w:type="default" r:id="rId10"/>
          <w:pgSz w:w="16838" w:h="11906" w:orient="landscape"/>
          <w:pgMar w:top="720" w:right="720" w:bottom="720" w:left="720" w:header="360" w:footer="360" w:gutter="0"/>
          <w:pgNumType/>
          <w:docGrid w:linePitch="360"/>
        </w:sectPr>
      </w:pPr>
    </w:p>
    <w:p>
      <w:pPr>
        <w:pStyle w:val="Heading1"/>
      </w:pPr>
      <w:r>
        <w:t xml:space="preserve">2. Catálogo de clases por módulo</w:t>
      </w:r>
    </w:p>
    <w:p>
      <w:pPr>
        <w:pStyle w:val="Heading2"/>
      </w:pPr>
      <w:r>
        <w:t xml:space="preserve">2.1 Organización y flota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3"/>
        <w:gridCol w:w="1542"/>
        <w:gridCol w:w="2449"/>
        <w:gridCol w:w="3356"/>
      </w:tblGrid>
      <w:tr>
        <w:trPr>
          <w:tblHeader/>
        </w:trPr>
        <w:tc>
          <w:tcPr>
            <w:tcW w:type="dxa" w:w="172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Clase</w:t>
            </w:r>
          </w:p>
        </w:tc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Objetos de ejemplo</w:t>
            </w:r>
          </w:p>
        </w:tc>
        <w:tc>
          <w:tcPr>
            <w:tcW w:type="dxa" w:w="24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Atributos principales</w:t>
            </w:r>
          </w:p>
        </w:tc>
        <w:tc>
          <w:tcPr>
            <w:tcW w:type="dxa" w:w="33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Responsabilidades</w:t>
            </w:r>
          </w:p>
        </w:tc>
      </w:tr>
      <w:tr>
        <w:trPr>
          <w:cantSplit/>
        </w:trPr>
        <w:tc>
          <w:tcPr>
            <w:tcW w:type="dxa" w:w="172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Empresa</w:t>
            </w:r>
          </w:p>
        </w:tc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Minera Andina S.A. · Minera Norte S.A.C.</w:t>
            </w:r>
          </w:p>
        </w:tc>
        <w:tc>
          <w:tcPr>
            <w:tcW w:type="dxa" w:w="24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id, razonSocial, ruc, direccion, telefono, correo</w:t>
            </w:r>
          </w:p>
        </w:tc>
        <w:tc>
          <w:tcPr>
            <w:tcW w:type="dxa" w:w="33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Registrar empresas mineras; gestionar información empresarial; asociar vehículos y conductores; consultar información de la flota.</w:t>
            </w:r>
          </w:p>
        </w:tc>
      </w:tr>
      <w:tr>
        <w:trPr>
          <w:cantSplit/>
        </w:trPr>
        <w:tc>
          <w:tcPr>
            <w:tcW w:type="dxa" w:w="172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Área​Operativa</w:t>
            </w:r>
          </w:p>
        </w:tc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Operaciones Mina · Planta · Exploración · Mantenimiento</w:t>
            </w:r>
          </w:p>
        </w:tc>
        <w:tc>
          <w:tcPr>
            <w:tcW w:type="dxa" w:w="24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id, nombre, descripcion, ubicacion</w:t>
            </w:r>
          </w:p>
        </w:tc>
        <w:tc>
          <w:tcPr>
            <w:tcW w:type="dxa" w:w="33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Registrar áreas; asignar vehículos; controlar recursos vehiculares; consultar vehículos disponibles por área.</w:t>
            </w:r>
          </w:p>
        </w:tc>
      </w:tr>
      <w:tr>
        <w:trPr>
          <w:cantSplit/>
        </w:trPr>
        <w:tc>
          <w:tcPr>
            <w:tcW w:type="dxa" w:w="172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TipoVehículo</w:t>
            </w:r>
          </w:p>
        </w:tc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Camioneta · Camión minero · Excavadora · Volquete · Bus</w:t>
            </w:r>
          </w:p>
        </w:tc>
        <w:tc>
          <w:tcPr>
            <w:tcW w:type="dxa" w:w="24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id, nombre, descripcion, capacidad</w:t>
            </w:r>
          </w:p>
        </w:tc>
        <w:tc>
          <w:tcPr>
            <w:tcW w:type="dxa" w:w="33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Registrar tipos de vehículos; definir características; clasificar vehículos; facilitar búsquedas por categoría.</w:t>
            </w:r>
          </w:p>
        </w:tc>
      </w:tr>
      <w:tr>
        <w:trPr>
          <w:cantSplit/>
        </w:trPr>
        <w:tc>
          <w:tcPr>
            <w:tcW w:type="dxa" w:w="172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Vehículo</w:t>
            </w:r>
          </w:p>
        </w:tc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Camioneta Toyota Hilux · Camión minero CAT 777 · Excavadora CAT 336</w:t>
            </w:r>
          </w:p>
        </w:tc>
        <w:tc>
          <w:tcPr>
            <w:tcW w:type="dxa" w:w="24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id, placa, marca, modelo, año, tipo, capacidad, kilometraje, estado, empresaId</w:t>
            </w:r>
          </w:p>
        </w:tc>
        <w:tc>
          <w:tcPr>
            <w:tcW w:type="dxa" w:w="33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Registrar vehículos; actualizar kilometraje y estado; consultar disponibilidad; controlar el estado operativo; asociar mantenimientos, conductores y asignaciones.</w:t>
            </w:r>
          </w:p>
        </w:tc>
      </w:tr>
    </w:tbl>
    <w:p>
      <w:pPr>
        <w:spacing w:after="180"/>
      </w:pPr>
    </w:p>
    <w:p>
      <w:pPr>
        <w:pStyle w:val="Heading2"/>
      </w:pPr>
      <w:r>
        <w:t xml:space="preserve">2.2 Operación y transporte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3"/>
        <w:gridCol w:w="1542"/>
        <w:gridCol w:w="2449"/>
        <w:gridCol w:w="3356"/>
      </w:tblGrid>
      <w:tr>
        <w:trPr>
          <w:tblHeader/>
        </w:trPr>
        <w:tc>
          <w:tcPr>
            <w:tcW w:type="dxa" w:w="172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Clase</w:t>
            </w:r>
          </w:p>
        </w:tc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Objetos de ejemplo</w:t>
            </w:r>
          </w:p>
        </w:tc>
        <w:tc>
          <w:tcPr>
            <w:tcW w:type="dxa" w:w="24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Atributos principales</w:t>
            </w:r>
          </w:p>
        </w:tc>
        <w:tc>
          <w:tcPr>
            <w:tcW w:type="dxa" w:w="33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Responsabilidades</w:t>
            </w:r>
          </w:p>
        </w:tc>
      </w:tr>
      <w:tr>
        <w:trPr>
          <w:cantSplit/>
        </w:trPr>
        <w:tc>
          <w:tcPr>
            <w:tcW w:type="dxa" w:w="172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Conductor</w:t>
            </w:r>
          </w:p>
        </w:tc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Juan Pérez · Carlos López · Miguel Torres</w:t>
            </w:r>
          </w:p>
        </w:tc>
        <w:tc>
          <w:tcPr>
            <w:tcW w:type="dxa" w:w="24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id, nombre, dni, licencia, categoriaLicencia, telefono, correo, estado</w:t>
            </w:r>
          </w:p>
        </w:tc>
        <w:tc>
          <w:tcPr>
            <w:tcW w:type="dxa" w:w="33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Registrar conductores; validar licencia; asociar conductores con vehículos; consultar historial de viajes e incidentes; controlar la vigencia de la licencia.</w:t>
            </w:r>
          </w:p>
        </w:tc>
      </w:tr>
      <w:tr>
        <w:trPr>
          <w:cantSplit/>
        </w:trPr>
        <w:tc>
          <w:tcPr>
            <w:tcW w:type="dxa" w:w="172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Asignación​Vehículo</w:t>
            </w:r>
          </w:p>
        </w:tc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Asignación #001 · Asignación #002</w:t>
            </w:r>
          </w:p>
        </w:tc>
        <w:tc>
          <w:tcPr>
            <w:tcW w:type="dxa" w:w="24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id, fechaInicio, fechaFin, motivo, estado, vehiculoId, conductorId, areaId</w:t>
            </w:r>
          </w:p>
        </w:tc>
        <w:tc>
          <w:tcPr>
            <w:tcW w:type="dxa" w:w="33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Asignar vehículos; registrar fechas y motivo; controlar asignaciones; evitar duplicidades; mantener el historial de asignaciones.</w:t>
            </w:r>
          </w:p>
        </w:tc>
      </w:tr>
      <w:tr>
        <w:trPr>
          <w:cantSplit/>
        </w:trPr>
        <w:tc>
          <w:tcPr>
            <w:tcW w:type="dxa" w:w="172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Viaje</w:t>
            </w:r>
          </w:p>
        </w:tc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Viaje #001 · #002 · #003</w:t>
            </w:r>
          </w:p>
        </w:tc>
        <w:tc>
          <w:tcPr>
            <w:tcW w:type="dxa" w:w="24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id, fechaSalida, fechaLlegada, origen, destino, kilometrajeInicial, kilometrajeFinal, estado, vehiculoId, conductorId</w:t>
            </w:r>
          </w:p>
        </w:tc>
        <w:tc>
          <w:tcPr>
            <w:tcW w:type="dxa" w:w="33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Registrar viajes; registrar origen y destino; controlar kilometraje; asociar viajes con conductores y vehículos; mantener el historial de desplazamientos.</w:t>
            </w:r>
          </w:p>
        </w:tc>
      </w:tr>
      <w:tr>
        <w:trPr>
          <w:cantSplit/>
        </w:trPr>
        <w:tc>
          <w:tcPr>
            <w:tcW w:type="dxa" w:w="172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Ruta</w:t>
            </w:r>
          </w:p>
        </w:tc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Mina–Campamento · Mina–Planta · Almacén–Mina</w:t>
            </w:r>
          </w:p>
        </w:tc>
        <w:tc>
          <w:tcPr>
            <w:tcW w:type="dxa" w:w="24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id, nombre, origen, destino, distancia, tiempoEstimado, estado</w:t>
            </w:r>
          </w:p>
        </w:tc>
        <w:tc>
          <w:tcPr>
            <w:tcW w:type="dxa" w:w="33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Registrar rutas; definir origen y destino; establecer distancia y tiempo; asociar rutas con viajes; controlar rutas habilitadas.</w:t>
            </w:r>
          </w:p>
        </w:tc>
      </w:tr>
    </w:tbl>
    <w:p>
      <w:pPr>
        <w:spacing w:after="180"/>
      </w:pPr>
    </w:p>
    <w:p>
      <w:pPr>
        <w:pStyle w:val="Heading2"/>
      </w:pPr>
      <w:r>
        <w:t xml:space="preserve">2.3 Mantenimiento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3"/>
        <w:gridCol w:w="1542"/>
        <w:gridCol w:w="2449"/>
        <w:gridCol w:w="3356"/>
      </w:tblGrid>
      <w:tr>
        <w:trPr>
          <w:tblHeader/>
        </w:trPr>
        <w:tc>
          <w:tcPr>
            <w:tcW w:type="dxa" w:w="172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Clase</w:t>
            </w:r>
          </w:p>
        </w:tc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Objetos de ejemplo</w:t>
            </w:r>
          </w:p>
        </w:tc>
        <w:tc>
          <w:tcPr>
            <w:tcW w:type="dxa" w:w="24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Atributos principales</w:t>
            </w:r>
          </w:p>
        </w:tc>
        <w:tc>
          <w:tcPr>
            <w:tcW w:type="dxa" w:w="33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Responsabilidades</w:t>
            </w:r>
          </w:p>
        </w:tc>
      </w:tr>
      <w:tr>
        <w:trPr>
          <w:cantSplit/>
        </w:trPr>
        <w:tc>
          <w:tcPr>
            <w:tcW w:type="dxa" w:w="172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Mantenimiento</w:t>
            </w:r>
          </w:p>
        </w:tc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Mantenimiento #001 · #002</w:t>
            </w:r>
          </w:p>
        </w:tc>
        <w:tc>
          <w:tcPr>
            <w:tcW w:type="dxa" w:w="24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id, fechaSolicitud, fechaInicio, fechaFin, tipo, descripcion, costo, estado, vehiculoId</w:t>
            </w:r>
          </w:p>
        </w:tc>
        <w:tc>
          <w:tcPr>
            <w:tcW w:type="dxa" w:w="33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Registrar mantenimientos; programar servicios; registrar trabajos y costos; actualizar el estado del vehículo; mantener el historial.</w:t>
            </w:r>
          </w:p>
        </w:tc>
      </w:tr>
      <w:tr>
        <w:trPr>
          <w:cantSplit/>
        </w:trPr>
        <w:tc>
          <w:tcPr>
            <w:tcW w:type="dxa" w:w="172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Mantenimiento​Preventivo</w:t>
            </w:r>
          </w:p>
        </w:tc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Servicio 5 000 km · Cambio de aceite · Revisión general</w:t>
            </w:r>
          </w:p>
        </w:tc>
        <w:tc>
          <w:tcPr>
            <w:tcW w:type="dxa" w:w="24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id, kilometrajeProgramado, fechaProgramada, actividades, costoEstimado, estado</w:t>
            </w:r>
          </w:p>
        </w:tc>
        <w:tc>
          <w:tcPr>
            <w:tcW w:type="dxa" w:w="33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Programar mantenimientos preventivos; registrar actividades; generar alertas; reducir el riesgo de fallas.</w:t>
            </w:r>
          </w:p>
        </w:tc>
      </w:tr>
      <w:tr>
        <w:trPr>
          <w:cantSplit/>
        </w:trPr>
        <w:tc>
          <w:tcPr>
            <w:tcW w:type="dxa" w:w="172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Mantenimiento​Correctivo</w:t>
            </w:r>
          </w:p>
        </w:tc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Reparación de motor · Cambio de transmisión · Reparación de frenos</w:t>
            </w:r>
          </w:p>
        </w:tc>
        <w:tc>
          <w:tcPr>
            <w:tcW w:type="dxa" w:w="24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id, fallaDetectada, fechaReporte, fechaReparacion, diagnostico, costo, estado</w:t>
            </w:r>
          </w:p>
        </w:tc>
        <w:tc>
          <w:tcPr>
            <w:tcW w:type="dxa" w:w="33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Registrar fallas; registrar diagnósticos y reparaciones; controlar costos; registrar el tiempo fuera de servicio.</w:t>
            </w:r>
          </w:p>
        </w:tc>
      </w:tr>
      <w:tr>
        <w:trPr>
          <w:cantSplit/>
        </w:trPr>
        <w:tc>
          <w:tcPr>
            <w:tcW w:type="dxa" w:w="172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Repuesto</w:t>
            </w:r>
          </w:p>
        </w:tc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Filtro de aceite · Pastillas de freno · Batería · Neumático</w:t>
            </w:r>
          </w:p>
        </w:tc>
        <w:tc>
          <w:tcPr>
            <w:tcW w:type="dxa" w:w="24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id, codigo, nombre, descripcion, cantidad, precio, stockMinimo</w:t>
            </w:r>
          </w:p>
        </w:tc>
        <w:tc>
          <w:tcPr>
            <w:tcW w:type="dxa" w:w="33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Registrar repuestos; controlar el inventario; registrar repuestos utilizados; generar alertas de stock; consultar disponibilidad.</w:t>
            </w:r>
          </w:p>
        </w:tc>
      </w:tr>
      <w:tr>
        <w:trPr>
          <w:cantSplit/>
        </w:trPr>
        <w:tc>
          <w:tcPr>
            <w:tcW w:type="dxa" w:w="172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Taller</w:t>
            </w:r>
          </w:p>
        </w:tc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Taller Central · Taller Mina Norte · Taller Externo</w:t>
            </w:r>
          </w:p>
        </w:tc>
        <w:tc>
          <w:tcPr>
            <w:tcW w:type="dxa" w:w="24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id, nombre, direccion, telefono, tipo, estado</w:t>
            </w:r>
          </w:p>
        </w:tc>
        <w:tc>
          <w:tcPr>
            <w:tcW w:type="dxa" w:w="33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Registrar talleres; gestionar servicios; asociar talleres con mantenimientos; consultar disponibilidad.</w:t>
            </w:r>
          </w:p>
        </w:tc>
      </w:tr>
    </w:tbl>
    <w:p>
      <w:pPr>
        <w:spacing w:after="180"/>
      </w:pPr>
    </w:p>
    <w:p>
      <w:pPr>
        <w:pStyle w:val="Heading2"/>
      </w:pPr>
      <w:r>
        <w:t xml:space="preserve">2.4 Control operativo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3"/>
        <w:gridCol w:w="1542"/>
        <w:gridCol w:w="2449"/>
        <w:gridCol w:w="3356"/>
      </w:tblGrid>
      <w:tr>
        <w:trPr>
          <w:tblHeader/>
        </w:trPr>
        <w:tc>
          <w:tcPr>
            <w:tcW w:type="dxa" w:w="172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Clase</w:t>
            </w:r>
          </w:p>
        </w:tc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Objetos de ejemplo</w:t>
            </w:r>
          </w:p>
        </w:tc>
        <w:tc>
          <w:tcPr>
            <w:tcW w:type="dxa" w:w="24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Atributos principales</w:t>
            </w:r>
          </w:p>
        </w:tc>
        <w:tc>
          <w:tcPr>
            <w:tcW w:type="dxa" w:w="33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Responsabilidades</w:t>
            </w:r>
          </w:p>
        </w:tc>
      </w:tr>
      <w:tr>
        <w:trPr>
          <w:cantSplit/>
        </w:trPr>
        <w:tc>
          <w:tcPr>
            <w:tcW w:type="dxa" w:w="172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Combustible</w:t>
            </w:r>
          </w:p>
        </w:tc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Carga #001 · #002 · #003</w:t>
            </w:r>
          </w:p>
        </w:tc>
        <w:tc>
          <w:tcPr>
            <w:tcW w:type="dxa" w:w="24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id, fecha, tipoCombustible, cantidad, precioUnitario, costoTotal, kilometraje, vehiculoId</w:t>
            </w:r>
          </w:p>
        </w:tc>
        <w:tc>
          <w:tcPr>
            <w:tcW w:type="dxa" w:w="33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Registrar cargas; controlar consumo y costos; asociar consumos con vehículos; calcular el rendimiento; detectar consumos anormales.</w:t>
            </w:r>
          </w:p>
        </w:tc>
      </w:tr>
      <w:tr>
        <w:trPr>
          <w:cantSplit/>
        </w:trPr>
        <w:tc>
          <w:tcPr>
            <w:tcW w:type="dxa" w:w="172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Inspección</w:t>
            </w:r>
          </w:p>
        </w:tc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Inspección #001 · #002</w:t>
            </w:r>
          </w:p>
        </w:tc>
        <w:tc>
          <w:tcPr>
            <w:tcW w:type="dxa" w:w="24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id, fecha, tipo, kilometraje, resultado, observaciones, estado, vehiculoId, conductorId</w:t>
            </w:r>
          </w:p>
        </w:tc>
        <w:tc>
          <w:tcPr>
            <w:tcW w:type="dxa" w:w="33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Realizar inspecciones; registrar condiciones mecánicas; detectar riesgos; determinar si el vehículo está apto; registrar observaciones.</w:t>
            </w:r>
          </w:p>
        </w:tc>
      </w:tr>
      <w:tr>
        <w:trPr>
          <w:cantSplit/>
        </w:trPr>
        <w:tc>
          <w:tcPr>
            <w:tcW w:type="dxa" w:w="172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Incidente</w:t>
            </w:r>
          </w:p>
        </w:tc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Incidente #001 · #002</w:t>
            </w:r>
          </w:p>
        </w:tc>
        <w:tc>
          <w:tcPr>
            <w:tcW w:type="dxa" w:w="24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id, fecha, tipo, descripcion, gravedad, ubicacion, estado, vehiculoId, conductorId</w:t>
            </w:r>
          </w:p>
        </w:tc>
        <w:tc>
          <w:tcPr>
            <w:tcW w:type="dxa" w:w="33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Registrar accidentes y averías; clasificar la gravedad; registrar la ubicación; gestionar la resolución; mantener el historial de incidentes.</w:t>
            </w:r>
          </w:p>
        </w:tc>
      </w:tr>
    </w:tbl>
    <w:p>
      <w:pPr>
        <w:spacing w:after="180"/>
      </w:pPr>
    </w:p>
    <w:p>
      <w:pPr>
        <w:pStyle w:val="Heading2"/>
      </w:pPr>
      <w:r>
        <w:t xml:space="preserve">2.5 Documentación y seguros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3"/>
        <w:gridCol w:w="1542"/>
        <w:gridCol w:w="2449"/>
        <w:gridCol w:w="3356"/>
      </w:tblGrid>
      <w:tr>
        <w:trPr>
          <w:tblHeader/>
        </w:trPr>
        <w:tc>
          <w:tcPr>
            <w:tcW w:type="dxa" w:w="172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Clase</w:t>
            </w:r>
          </w:p>
        </w:tc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Objetos de ejemplo</w:t>
            </w:r>
          </w:p>
        </w:tc>
        <w:tc>
          <w:tcPr>
            <w:tcW w:type="dxa" w:w="24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Atributos principales</w:t>
            </w:r>
          </w:p>
        </w:tc>
        <w:tc>
          <w:tcPr>
            <w:tcW w:type="dxa" w:w="33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Responsabilidades</w:t>
            </w:r>
          </w:p>
        </w:tc>
      </w:tr>
      <w:tr>
        <w:trPr>
          <w:cantSplit/>
        </w:trPr>
        <w:tc>
          <w:tcPr>
            <w:tcW w:type="dxa" w:w="172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Documento​Vehicular</w:t>
            </w:r>
          </w:p>
        </w:tc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SOAT #001 · Revisión Técnica #002 · Permiso #003</w:t>
            </w:r>
          </w:p>
        </w:tc>
        <w:tc>
          <w:tcPr>
            <w:tcW w:type="dxa" w:w="24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id, tipo, numero, fechaEmision, fechaVencimiento, estado, vehiculoId</w:t>
            </w:r>
          </w:p>
        </w:tc>
        <w:tc>
          <w:tcPr>
            <w:tcW w:type="dxa" w:w="33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Registrar documentos; controlar vencimientos; generar alertas; mantener la documentación actualizada.</w:t>
            </w:r>
          </w:p>
        </w:tc>
      </w:tr>
      <w:tr>
        <w:trPr>
          <w:cantSplit/>
        </w:trPr>
        <w:tc>
          <w:tcPr>
            <w:tcW w:type="dxa" w:w="172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Seguro</w:t>
            </w:r>
          </w:p>
        </w:tc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Seguro #001 · #002</w:t>
            </w:r>
          </w:p>
        </w:tc>
        <w:tc>
          <w:tcPr>
            <w:tcW w:type="dxa" w:w="24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id, numeroPoliza, aseguradora, fechaInicio, fechaVencimiento, cobertura, costo, estado, vehiculoId</w:t>
            </w:r>
          </w:p>
        </w:tc>
        <w:tc>
          <w:tcPr>
            <w:tcW w:type="dxa" w:w="33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Registrar seguros; controlar vigencia y cobertura; generar alertas; consultar las pólizas de cada vehículo.</w:t>
            </w:r>
          </w:p>
        </w:tc>
      </w:tr>
    </w:tbl>
    <w:p>
      <w:pPr>
        <w:spacing w:after="180"/>
      </w:pPr>
    </w:p>
    <w:p>
      <w:pPr>
        <w:pStyle w:val="Heading2"/>
      </w:pPr>
      <w:r>
        <w:t xml:space="preserve">2.6 Monitoreo y avisos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3"/>
        <w:gridCol w:w="1542"/>
        <w:gridCol w:w="2449"/>
        <w:gridCol w:w="3356"/>
      </w:tblGrid>
      <w:tr>
        <w:trPr>
          <w:tblHeader/>
        </w:trPr>
        <w:tc>
          <w:tcPr>
            <w:tcW w:type="dxa" w:w="172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Clase</w:t>
            </w:r>
          </w:p>
        </w:tc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Objetos de ejemplo</w:t>
            </w:r>
          </w:p>
        </w:tc>
        <w:tc>
          <w:tcPr>
            <w:tcW w:type="dxa" w:w="24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Atributos principales</w:t>
            </w:r>
          </w:p>
        </w:tc>
        <w:tc>
          <w:tcPr>
            <w:tcW w:type="dxa" w:w="33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Responsabilidades</w:t>
            </w:r>
          </w:p>
        </w:tc>
      </w:tr>
      <w:tr>
        <w:trPr>
          <w:cantSplit/>
        </w:trPr>
        <w:tc>
          <w:tcPr>
            <w:tcW w:type="dxa" w:w="172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GPS</w:t>
            </w:r>
          </w:p>
        </w:tc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GPS-001 · GPS-002</w:t>
            </w:r>
          </w:p>
        </w:tc>
        <w:tc>
          <w:tcPr>
            <w:tcW w:type="dxa" w:w="24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id, numeroSerie, latitud, longitud, velocidad, fechaHora, estado, vehiculoId</w:t>
            </w:r>
          </w:p>
        </w:tc>
        <w:tc>
          <w:tcPr>
            <w:tcW w:type="dxa" w:w="33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Registrar la ubicación; monitorear vehículos; registrar velocidad y posición; mantener el historial; controlar desplazamientos.</w:t>
            </w:r>
          </w:p>
        </w:tc>
      </w:tr>
      <w:tr>
        <w:trPr>
          <w:cantSplit/>
        </w:trPr>
        <w:tc>
          <w:tcPr>
            <w:tcW w:type="dxa" w:w="172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Alerta</w:t>
            </w:r>
          </w:p>
        </w:tc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Alerta #001 · #002</w:t>
            </w:r>
          </w:p>
        </w:tc>
        <w:tc>
          <w:tcPr>
            <w:tcW w:type="dxa" w:w="24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id, tipo, mensaje, fecha, prioridad, estado, vehiculoId</w:t>
            </w:r>
          </w:p>
        </w:tc>
        <w:tc>
          <w:tcPr>
            <w:tcW w:type="dxa" w:w="33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Generar alertas de mantenimiento; informar vencimientos; alertar sobre incidentes y fallas; registrar la atención de cada alerta.</w:t>
            </w:r>
          </w:p>
        </w:tc>
      </w:tr>
      <w:tr>
        <w:trPr>
          <w:cantSplit/>
        </w:trPr>
        <w:tc>
          <w:tcPr>
            <w:tcW w:type="dxa" w:w="172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Notificación</w:t>
            </w:r>
          </w:p>
        </w:tc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Notificación #001 · #002</w:t>
            </w:r>
          </w:p>
        </w:tc>
        <w:tc>
          <w:tcPr>
            <w:tcW w:type="dxa" w:w="24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id, mensaje, fecha, tipo, destinatario, estado</w:t>
            </w:r>
          </w:p>
        </w:tc>
        <w:tc>
          <w:tcPr>
            <w:tcW w:type="dxa" w:w="33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Enviar recordatorios; notificar vencimientos; informar incidentes y alertas; notificar asignaciones; registrar el estado de envío.</w:t>
            </w:r>
          </w:p>
        </w:tc>
      </w:tr>
    </w:tbl>
    <w:p>
      <w:pPr>
        <w:spacing w:after="180"/>
      </w:pPr>
    </w:p>
    <w:p>
      <w:pPr>
        <w:pStyle w:val="Heading2"/>
      </w:pPr>
      <w:r>
        <w:t xml:space="preserve">2.7 Usuarios y roles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3"/>
        <w:gridCol w:w="1542"/>
        <w:gridCol w:w="2449"/>
        <w:gridCol w:w="3356"/>
      </w:tblGrid>
      <w:tr>
        <w:trPr>
          <w:tblHeader/>
        </w:trPr>
        <w:tc>
          <w:tcPr>
            <w:tcW w:type="dxa" w:w="172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Clase</w:t>
            </w:r>
          </w:p>
        </w:tc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Objetos de ejemplo</w:t>
            </w:r>
          </w:p>
        </w:tc>
        <w:tc>
          <w:tcPr>
            <w:tcW w:type="dxa" w:w="24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Atributos principales</w:t>
            </w:r>
          </w:p>
        </w:tc>
        <w:tc>
          <w:tcPr>
            <w:tcW w:type="dxa" w:w="33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Responsabilidades</w:t>
            </w:r>
          </w:p>
        </w:tc>
      </w:tr>
      <w:tr>
        <w:trPr>
          <w:cantSplit/>
        </w:trPr>
        <w:tc>
          <w:tcPr>
            <w:tcW w:type="dxa" w:w="172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Usuario</w:t>
            </w:r>
          </w:p>
        </w:tc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usuarioAdmin · usuarioSupervisor · usuarioOperador</w:t>
            </w:r>
          </w:p>
        </w:tc>
        <w:tc>
          <w:tcPr>
            <w:tcW w:type="dxa" w:w="24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id, nombreUsuario, contrasena, correo, rol, estado</w:t>
            </w:r>
          </w:p>
        </w:tc>
        <w:tc>
          <w:tcPr>
            <w:tcW w:type="dxa" w:w="33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Gestionar el inicio de sesión; controlar el acceso; gestionar permisos; actualizar credenciales; servir como clase base de los usuarios.</w:t>
            </w:r>
          </w:p>
        </w:tc>
      </w:tr>
      <w:tr>
        <w:trPr>
          <w:cantSplit/>
        </w:trPr>
        <w:tc>
          <w:tcPr>
            <w:tcW w:type="dxa" w:w="172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Admin01 · Admin02</w:t>
            </w:r>
          </w:p>
        </w:tc>
        <w:tc>
          <w:tcPr>
            <w:tcW w:type="dxa" w:w="24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id, nombre, usuario, contrasena, correo</w:t>
            </w:r>
          </w:p>
        </w:tc>
        <w:tc>
          <w:tcPr>
            <w:tcW w:type="dxa" w:w="33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Gestionar usuarios; administrar vehículos y conductores; gestionar áreas y tipos de vehículo; consultar reportes; configurar el sistema.</w:t>
            </w:r>
          </w:p>
        </w:tc>
      </w:tr>
      <w:tr>
        <w:trPr>
          <w:cantSplit/>
        </w:trPr>
        <w:tc>
          <w:tcPr>
            <w:tcW w:type="dxa" w:w="172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Supervisor​Flota</w:t>
            </w:r>
          </w:p>
        </w:tc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Supervisor01 · Supervisor02</w:t>
            </w:r>
          </w:p>
        </w:tc>
        <w:tc>
          <w:tcPr>
            <w:tcW w:type="dxa" w:w="24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id, nombre, dni, telefono, usuario</w:t>
            </w:r>
          </w:p>
        </w:tc>
        <w:tc>
          <w:tcPr>
            <w:tcW w:type="dxa" w:w="33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Supervisar la flota; autorizar asignaciones y viajes; controlar mantenimientos e inspecciones; revisar el consumo de combustible; generar reportes.</w:t>
            </w:r>
          </w:p>
        </w:tc>
      </w:tr>
      <w:tr>
        <w:trPr>
          <w:cantSplit/>
        </w:trPr>
        <w:tc>
          <w:tcPr>
            <w:tcW w:type="dxa" w:w="172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Mecánico</w:t>
            </w:r>
          </w:p>
        </w:tc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Pedro López · José Torres</w:t>
            </w:r>
          </w:p>
        </w:tc>
        <w:tc>
          <w:tcPr>
            <w:tcW w:type="dxa" w:w="24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id, nombre, dni, especialidad, telefono, certificacion</w:t>
            </w:r>
          </w:p>
        </w:tc>
        <w:tc>
          <w:tcPr>
            <w:tcW w:type="dxa" w:w="33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Ejecutar mantenimientos; registrar fallas y reparaciones; registrar los repuestos utilizados; actualizar el estado del vehículo; informar problemas.</w:t>
            </w:r>
          </w:p>
        </w:tc>
      </w:tr>
    </w:tbl>
    <w:p>
      <w:pPr>
        <w:spacing w:after="180"/>
      </w:pPr>
    </w:p>
    <w:p>
      <w:pPr>
        <w:pStyle w:val="Heading1"/>
      </w:pPr>
      <w:r>
        <w:t xml:space="preserve">3. Relaciones principales entre clases</w:t>
      </w:r>
    </w:p>
    <w:p>
      <w:pPr>
        <w:pStyle w:val="Bodytext"/>
      </w:pPr>
      <w:r>
        <w:t xml:space="preserve">El catálogo anterior describe cada clase por separado. La siguiente tabla resume cómo se conectan entre sí, lo que permite pasar del catálogo al diagrama de clases.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2358"/>
        <w:gridCol w:w="4898"/>
      </w:tblGrid>
      <w:tr>
        <w:trPr>
          <w:tblHeader/>
        </w:trPr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Clase origen</w:t>
            </w:r>
          </w:p>
        </w:tc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 relaciona con</w:t>
            </w:r>
          </w:p>
        </w:tc>
        <w:tc>
          <w:tcPr>
            <w:tcW w:type="dxa" w:w="489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Naturaleza de la relación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Empresa</w:t>
            </w:r>
          </w:p>
        </w:tc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ÁreaOperativa, Vehículo</w:t>
            </w:r>
          </w:p>
        </w:tc>
        <w:tc>
          <w:tcPr>
            <w:tcW w:type="dxa" w:w="489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Una empresa agrupa varias áreas operativas y toda la flota.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Área​Operativa</w:t>
            </w:r>
          </w:p>
        </w:tc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Vehículo, AsignaciónVehículo</w:t>
            </w:r>
          </w:p>
        </w:tc>
        <w:tc>
          <w:tcPr>
            <w:tcW w:type="dxa" w:w="489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Cada área dispone de vehículos asignados para su operación.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TipoVehículo</w:t>
            </w:r>
          </w:p>
        </w:tc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Vehículo</w:t>
            </w:r>
          </w:p>
        </w:tc>
        <w:tc>
          <w:tcPr>
            <w:tcW w:type="dxa" w:w="489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Clasifica a cada unidad y define sus características generales.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Vehículo</w:t>
            </w:r>
          </w:p>
        </w:tc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Casi todas las clases operativas</w:t>
            </w:r>
          </w:p>
        </w:tc>
        <w:tc>
          <w:tcPr>
            <w:tcW w:type="dxa" w:w="489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 la clase central del dominio: concentra asignaciones, viajes, mantenimientos, combustible, documentos, seguros, inspecciones, incidentes, GPS y alertas.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Conductor</w:t>
            </w:r>
          </w:p>
        </w:tc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AsignaciónVehículo, Viaje, Incidente</w:t>
            </w:r>
          </w:p>
        </w:tc>
        <w:tc>
          <w:tcPr>
            <w:tcW w:type="dxa" w:w="489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Opera las unidades asignadas y queda vinculado a viajes e incidentes.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Asignación​Vehículo</w:t>
            </w:r>
          </w:p>
        </w:tc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Vehículo, Conductor, ÁreaOperativa</w:t>
            </w:r>
          </w:p>
        </w:tc>
        <w:tc>
          <w:tcPr>
            <w:tcW w:type="dxa" w:w="489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Relaciona las tres entidades durante un periodo determinado.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Viaje</w:t>
            </w:r>
          </w:p>
        </w:tc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Ruta, Vehículo, Conductor</w:t>
            </w:r>
          </w:p>
        </w:tc>
        <w:tc>
          <w:tcPr>
            <w:tcW w:type="dxa" w:w="489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Ejecuta una ruta con un vehículo y un conductor concretos.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Mantenimiento</w:t>
            </w:r>
          </w:p>
        </w:tc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MantenimientoPreventivo, MantenimientoCorrectivo, Repuesto, Taller</w:t>
            </w:r>
          </w:p>
        </w:tc>
        <w:tc>
          <w:tcPr>
            <w:tcW w:type="dxa" w:w="489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 especializa en preventivo y correctivo, consume repuestos y se ejecuta en un taller.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DocumentoVehicular, Seguro</w:t>
            </w:r>
          </w:p>
        </w:tc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Alerta, Notificación</w:t>
            </w:r>
          </w:p>
        </w:tc>
        <w:tc>
          <w:tcPr>
            <w:tcW w:type="dxa" w:w="489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Sus fechas de vencimiento generan alertas y notificaciones.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GPS</w:t>
            </w:r>
          </w:p>
        </w:tc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Vehículo, Alerta</w:t>
            </w:r>
          </w:p>
        </w:tc>
        <w:tc>
          <w:tcPr>
            <w:tcW w:type="dxa" w:w="489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Aporta la posición de la unidad y puede disparar alertas.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Usuario</w:t>
            </w:r>
          </w:p>
        </w:tc>
        <w:tc>
          <w:tcPr>
            <w:tcW w:type="dxa" w:w="23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Administrador, SupervisorFlota, Mecánico</w:t>
            </w:r>
          </w:p>
        </w:tc>
        <w:tc>
          <w:tcPr>
            <w:tcW w:type="dxa" w:w="489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Clase base de la que heredan los tres perfiles operativos.</w:t>
            </w:r>
          </w:p>
        </w:tc>
      </w:tr>
    </w:tbl>
    <w:p>
      <w:pPr>
        <w:spacing w:after="180"/>
      </w:pPr>
    </w:p>
    <w:p>
      <w:pPr>
        <w:pStyle w:val="Heading1"/>
      </w:pPr>
      <w:r>
        <w:t xml:space="preserve">4. Jerarquía de usuarios</w:t>
      </w:r>
    </w:p>
    <w:p>
      <w:pPr>
        <w:pStyle w:val="Bodytext"/>
      </w:pPr>
      <w:r>
        <w:t xml:space="preserve">Administrador, SupervisorFlota y Mecánico comparten los atributos de identificación y las operaciones de acceso al sistema. Por ello se modela Usuario como clase base y los tres perfiles como especializaciones que añaden únicamente lo que les es propio. Esta decisión evita repetir los mismos atributos en tres clases distintas y centraliza el control de acceso.</w:t>
      </w:r>
    </w:p>
    <w:p>
      <w:pPr>
        <w:sectPr>
          <w:headerReference w:type="default" r:id="rId11"/>
          <w:footerReference w:type="default" r:id="rId12"/>
          <w:pgSz w:w="11906" w:h="16838" w:orient="portrait"/>
          <w:pgMar w:top="1276" w:right="1418" w:bottom="1276" w:left="1418" w:header="708" w:footer="624" w:gutter="0"/>
          <w:pgNumType/>
          <w:docGrid w:linePitch="360"/>
        </w:sectPr>
      </w:pPr>
    </w:p>
    <w:p>
      <w:pPr>
        <w:spacing w:after="60" w:before="60"/>
        <w:jc w:val="center"/>
      </w:pPr>
      <w:r>
        <w:drawing>
          <wp:inline distT="0" distB="0" distL="0" distR="0">
            <wp:extent cx="9620250" cy="5286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0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2"/>
      </w:pPr>
      <w:r>
        <w:t xml:space="preserve">Figura 2. Jerarquía de usuarios: Usuario como clase base de Administrador, SupervisorFlota y Mecánico.</w:t>
      </w:r>
    </w:p>
    <w:p>
      <w:pPr>
        <w:sectPr>
          <w:headerReference w:type="default" r:id="rId13"/>
          <w:footerReference w:type="default" r:id="rId14"/>
          <w:pgSz w:w="16838" w:h="11906" w:orient="landscape"/>
          <w:pgMar w:top="720" w:right="720" w:bottom="720" w:left="720" w:header="360" w:footer="360" w:gutter="0"/>
          <w:pgNumType/>
          <w:docGrid w:linePitch="360"/>
        </w:sectPr>
      </w:pPr>
    </w:p>
    <w:p>
      <w:pPr>
        <w:pStyle w:val="Heading1"/>
      </w:pPr>
      <w:r>
        <w:t xml:space="preserve">5. Alcance funcional asociado al catálogo</w:t>
      </w:r>
    </w:p>
    <w:p>
      <w:pPr>
        <w:pStyle w:val="Bodytext"/>
      </w:pPr>
      <w:r>
        <w:t xml:space="preserve">Las clases identificadas dan soporte a las funciones que los distintos perfiles ejecutan en el sistema. El diagrama de casos de uso de la página siguiente resume ese alcance funcional.</w:t>
      </w:r>
    </w:p>
    <w:p>
      <w:pPr>
        <w:sectPr>
          <w:headerReference w:type="default" r:id="rId15"/>
          <w:footerReference w:type="default" r:id="rId16"/>
          <w:pgSz w:w="11906" w:h="16838" w:orient="portrait"/>
          <w:pgMar w:top="1276" w:right="1418" w:bottom="1276" w:left="1418" w:header="708" w:footer="624" w:gutter="0"/>
          <w:pgNumType/>
          <w:docGrid w:linePitch="360"/>
        </w:sectPr>
      </w:pPr>
    </w:p>
    <w:p>
      <w:pPr>
        <w:spacing w:after="60" w:before="60"/>
        <w:jc w:val="center"/>
      </w:pPr>
      <w:r>
        <w:drawing>
          <wp:inline distT="0" distB="0" distL="0" distR="0">
            <wp:extent cx="9620250" cy="5257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2"/>
      </w:pPr>
      <w:r>
        <w:t xml:space="preserve">Figura 3. Diagrama de casos de uso asociado al catálogo de clases.</w:t>
      </w:r>
    </w:p>
    <w:p>
      <w:pPr>
        <w:sectPr>
          <w:headerReference w:type="default" r:id="rId17"/>
          <w:footerReference w:type="default" r:id="rId18"/>
          <w:pgSz w:w="16838" w:h="11906" w:orient="landscape"/>
          <w:pgMar w:top="720" w:right="720" w:bottom="720" w:left="720" w:header="360" w:footer="360" w:gutter="0"/>
          <w:pgNumType/>
          <w:docGrid w:linePitch="360"/>
        </w:sectPr>
      </w:pPr>
    </w:p>
    <w:p>
      <w:pPr>
        <w:pStyle w:val="Heading1"/>
      </w:pPr>
      <w:r>
        <w:t xml:space="preserve">6. Observaciones sobre el catálogo</w:t>
      </w:r>
    </w:p>
    <w:p>
      <w:pPr>
        <w:pStyle w:val="Bodytext"/>
        <w:numPr>
          <w:ilvl w:val="0"/>
          <w:numId w:val="2"/>
        </w:numPr>
        <w:spacing w:after="60" w:line="276" w:lineRule="auto"/>
      </w:pPr>
      <w:r>
        <w:t xml:space="preserve">Vehículo es la clase con mayor número de relaciones del modelo; conviene vigilar que no acumule responsabilidades que corresponden a otras clases.</w:t>
      </w:r>
    </w:p>
    <w:p>
      <w:pPr>
        <w:pStyle w:val="Bodytext"/>
        <w:numPr>
          <w:ilvl w:val="0"/>
          <w:numId w:val="2"/>
        </w:numPr>
        <w:spacing w:after="60" w:line="276" w:lineRule="auto"/>
      </w:pPr>
      <w:r>
        <w:t xml:space="preserve">MantenimientoPreventivo y MantenimientoCorrectivo especializan a Mantenimiento: comparten vehículo, fechas y costo, y se diferencian por la información propia de cada tipo.</w:t>
      </w:r>
    </w:p>
    <w:p>
      <w:pPr>
        <w:pStyle w:val="Bodytext"/>
        <w:numPr>
          <w:ilvl w:val="0"/>
          <w:numId w:val="2"/>
        </w:numPr>
        <w:spacing w:after="60" w:line="276" w:lineRule="auto"/>
      </w:pPr>
      <w:r>
        <w:t xml:space="preserve">Alerta y Notificación se mantienen separadas porque responden a necesidades distintas: la alerta es una condición detectada por el sistema y la notificación es su envío a un destinatario.</w:t>
      </w:r>
    </w:p>
    <w:p>
      <w:pPr>
        <w:pStyle w:val="Bodytext"/>
        <w:numPr>
          <w:ilvl w:val="0"/>
          <w:numId w:val="2"/>
        </w:numPr>
        <w:spacing w:after="60" w:line="276" w:lineRule="auto"/>
      </w:pPr>
      <w:r>
        <w:t xml:space="preserve">GPS y Seguro corresponden a capacidades que pueden implementarse en una fase posterior; se mantienen en el catálogo para que el modelo las contemple desde el inicio.</w:t>
      </w:r>
    </w:p>
    <w:p>
      <w:pPr>
        <w:pStyle w:val="Bodytext"/>
        <w:numPr>
          <w:ilvl w:val="0"/>
          <w:numId w:val="2"/>
        </w:numPr>
        <w:spacing w:after="60" w:line="276" w:lineRule="auto"/>
      </w:pPr>
      <w:r>
        <w:t xml:space="preserve">Los nombres de clase se escriben en singular y en notación PascalCase, y los atributos en camelCase, siguiendo la convención habitual en programación orientada a objetos.</w:t>
      </w:r>
    </w:p>
    <w:p>
      <w:pPr>
        <w:spacing w:after="180"/>
      </w:pPr>
    </w:p>
    <w:p>
      <w:pPr>
        <w:pStyle w:val="Heading1"/>
      </w:pPr>
      <w:r>
        <w:t xml:space="preserve">7. Conclusión</w:t>
      </w:r>
    </w:p>
    <w:p>
      <w:pPr>
        <w:pStyle w:val="Bodytext"/>
      </w:pPr>
      <w:r>
        <w:t xml:space="preserve">El catálogo permite comprobar que cada clase del sistema tiene una razón de existir dentro del caso de estudio, un conjunto de atributos que la describe y un conjunto de responsabilidades que le corresponde. Agrupadas en siete módulos funcionales, las veinticinco clases cubren el ciclo completo de la gestión de una flota minera: organización, operación, mantenimiento, control, documentación, monitoreo y seguridad de acceso.</w:t>
      </w:r>
    </w:p>
    <w:p>
      <w:pPr>
        <w:pStyle w:val="Bodytext"/>
      </w:pPr>
      <w:r>
        <w:t xml:space="preserve">Con esta base, el paso siguiente del análisis es el diagrama de clases definitivo, en el que se fijan cardinalidades, tipos de datos y operaciones, y a partir de él el modelo lógico de la base de datos.</w:t>
      </w:r>
    </w:p>
    <w:p>
      <w:pPr>
        <w:spacing w:after="180"/>
      </w:pP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rPr>
          <w:cantSplit/>
        </w:trPr>
        <w:tc>
          <w:tcPr>
            <w:tcW w:type="dxa" w:w="9070"/>
            <w:tcBorders>
              <w:top w:val="none" w:color="FFFFFF" w:sz="0"/>
              <w:left w:val="single" w:color="2E5090" w:sz="18"/>
              <w:bottom w:val="none" w:color="FFFFFF" w:sz="0"/>
              <w:right w:val="none" w:color="FFFFFF" w:sz="0"/>
            </w:tcBorders>
            <w:shd w:fill="EAEF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Nota sobre los datos de ejemplo</w:t>
            </w:r>
          </w:p>
          <w:p>
            <w:pPr>
              <w:spacing w:after="40" w:line="264" w:lineRule="auto"/>
              <w:jc w:val="both"/>
            </w:pPr>
            <w:r>
              <w:rPr>
                <w:rFonts w:ascii="Calibri" w:cs="Calibri" w:eastAsia="Calibri" w:hAnsi="Calibri"/>
                <w:color w:val="1A2436"/>
                <w:sz w:val="20"/>
                <w:szCs w:val="20"/>
              </w:rPr>
              <w:t xml:space="preserve">Las empresas, placas, talleres y nombres de personas que aparecen como objetos de ejemplo son ilustrativos y fueron construidos para el caso de estudio: no corresponden a organizaciones ni a personas reales.</w:t>
            </w:r>
          </w:p>
        </w:tc>
      </w:tr>
    </w:tbl>
    <w:sectPr>
      <w:headerReference w:type="default" r:id="rId19"/>
      <w:footerReference w:type="default" r:id="rId20"/>
      <w:pgSz w:w="11906" w:h="16838" w:orient="portrait"/>
      <w:pgMar w:top="1276" w:right="1418" w:bottom="1276" w:left="1418" w:header="708" w:footer="62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E0" w:sz="6" w:space="4"/>
      </w:pBdr>
      <w:tabs>
        <w:tab w:val="right" w:pos="9070"/>
      </w:tabs>
      <w:spacing w:before="0"/>
    </w:pPr>
    <w:r>
      <w:rPr>
        <w:rFonts w:ascii="Calibri" w:cs="Calibri" w:eastAsia="Calibri" w:hAnsi="Calibri"/>
        <w:color w:val="6B7A90"/>
        <w:sz w:val="15"/>
        <w:szCs w:val="15"/>
      </w:rPr>
      <w:t xml:space="preserve">Programación Orientada a Objetos · Sistema de Gestión de Vehículos para Empresa Minera</w:t>
    </w:r>
    <w:r>
      <w:rPr>
        <w:rFonts w:ascii="Calibri" w:cs="Calibri" w:eastAsia="Calibri" w:hAnsi="Calibri"/>
        <w:color w:val="6B7A90"/>
        <w:sz w:val="15"/>
        <w:szCs w:val="15"/>
      </w:rPr>
      <w:t xml:space="preserve">	Pág. </w:t>
    </w:r>
    <w:r>
      <w:rPr>
        <w:rFonts w:ascii="Calibri" w:cs="Calibri" w:eastAsia="Calibri" w:hAnsi="Calibri"/>
        <w:b/>
        <w:bCs/>
        <w:color w:val="6B7A9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A90"/>
        <w:sz w:val="15"/>
        <w:szCs w:val="15"/>
      </w:rPr>
      <w:t xml:space="preserve"> de </w:t>
    </w:r>
    <w:r>
      <w:rPr>
        <w:rFonts w:ascii="Calibri" w:cs="Calibri" w:eastAsia="Calibri" w:hAnsi="Calibri"/>
        <w:color w:val="6B7A9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E0" w:sz="6" w:space="4"/>
      </w:pBdr>
      <w:tabs>
        <w:tab w:val="right" w:pos="9070"/>
      </w:tabs>
      <w:spacing w:before="0"/>
    </w:pPr>
    <w:r>
      <w:rPr>
        <w:rFonts w:ascii="Calibri" w:cs="Calibri" w:eastAsia="Calibri" w:hAnsi="Calibri"/>
        <w:color w:val="6B7A90"/>
        <w:sz w:val="15"/>
        <w:szCs w:val="15"/>
      </w:rPr>
      <w:t xml:space="preserve">Programación Orientada a Objetos · Sistema de Gestión de Vehículos para Empresa Minera</w:t>
    </w:r>
    <w:r>
      <w:rPr>
        <w:rFonts w:ascii="Calibri" w:cs="Calibri" w:eastAsia="Calibri" w:hAnsi="Calibri"/>
        <w:color w:val="6B7A90"/>
        <w:sz w:val="15"/>
        <w:szCs w:val="15"/>
      </w:rPr>
      <w:t xml:space="preserve">	Pág. </w:t>
    </w:r>
    <w:r>
      <w:rPr>
        <w:rFonts w:ascii="Calibri" w:cs="Calibri" w:eastAsia="Calibri" w:hAnsi="Calibri"/>
        <w:b/>
        <w:bCs/>
        <w:color w:val="6B7A9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A90"/>
        <w:sz w:val="15"/>
        <w:szCs w:val="15"/>
      </w:rPr>
      <w:t xml:space="preserve"> de </w:t>
    </w:r>
    <w:r>
      <w:rPr>
        <w:rFonts w:ascii="Calibri" w:cs="Calibri" w:eastAsia="Calibri" w:hAnsi="Calibri"/>
        <w:color w:val="6B7A9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E0" w:sz="6" w:space="4"/>
      </w:pBdr>
      <w:tabs>
        <w:tab w:val="right" w:pos="9070"/>
      </w:tabs>
      <w:spacing w:before="0"/>
    </w:pPr>
    <w:r>
      <w:rPr>
        <w:rFonts w:ascii="Calibri" w:cs="Calibri" w:eastAsia="Calibri" w:hAnsi="Calibri"/>
        <w:color w:val="6B7A90"/>
        <w:sz w:val="15"/>
        <w:szCs w:val="15"/>
      </w:rPr>
      <w:t xml:space="preserve">Programación Orientada a Objetos · Sistema de Gestión de Vehículos para Empresa Minera</w:t>
    </w:r>
    <w:r>
      <w:rPr>
        <w:rFonts w:ascii="Calibri" w:cs="Calibri" w:eastAsia="Calibri" w:hAnsi="Calibri"/>
        <w:color w:val="6B7A90"/>
        <w:sz w:val="15"/>
        <w:szCs w:val="15"/>
      </w:rPr>
      <w:t xml:space="preserve">	Pág. </w:t>
    </w:r>
    <w:r>
      <w:rPr>
        <w:rFonts w:ascii="Calibri" w:cs="Calibri" w:eastAsia="Calibri" w:hAnsi="Calibri"/>
        <w:b/>
        <w:bCs/>
        <w:color w:val="6B7A9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A90"/>
        <w:sz w:val="15"/>
        <w:szCs w:val="15"/>
      </w:rPr>
      <w:t xml:space="preserve"> de </w:t>
    </w:r>
    <w:r>
      <w:rPr>
        <w:rFonts w:ascii="Calibri" w:cs="Calibri" w:eastAsia="Calibri" w:hAnsi="Calibri"/>
        <w:color w:val="6B7A9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E0" w:sz="6" w:space="4"/>
      </w:pBdr>
      <w:tabs>
        <w:tab w:val="right" w:pos="9070"/>
      </w:tabs>
      <w:spacing w:before="0"/>
    </w:pPr>
    <w:r>
      <w:rPr>
        <w:rFonts w:ascii="Calibri" w:cs="Calibri" w:eastAsia="Calibri" w:hAnsi="Calibri"/>
        <w:color w:val="6B7A90"/>
        <w:sz w:val="15"/>
        <w:szCs w:val="15"/>
      </w:rPr>
      <w:t xml:space="preserve">Programación Orientada a Objetos · Sistema de Gestión de Vehículos para Empresa Minera</w:t>
    </w:r>
    <w:r>
      <w:rPr>
        <w:rFonts w:ascii="Calibri" w:cs="Calibri" w:eastAsia="Calibri" w:hAnsi="Calibri"/>
        <w:color w:val="6B7A90"/>
        <w:sz w:val="15"/>
        <w:szCs w:val="15"/>
      </w:rPr>
      <w:t xml:space="preserve">	Pág. </w:t>
    </w:r>
    <w:r>
      <w:rPr>
        <w:rFonts w:ascii="Calibri" w:cs="Calibri" w:eastAsia="Calibri" w:hAnsi="Calibri"/>
        <w:b/>
        <w:bCs/>
        <w:color w:val="6B7A9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A90"/>
        <w:sz w:val="15"/>
        <w:szCs w:val="15"/>
      </w:rPr>
      <w:t xml:space="preserve"> de </w:t>
    </w:r>
    <w:r>
      <w:rPr>
        <w:rFonts w:ascii="Calibri" w:cs="Calibri" w:eastAsia="Calibri" w:hAnsi="Calibri"/>
        <w:color w:val="6B7A9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E0" w:sz="6" w:space="4"/>
      </w:pBdr>
      <w:tabs>
        <w:tab w:val="right" w:pos="9070"/>
      </w:tabs>
      <w:spacing w:before="0"/>
    </w:pPr>
    <w:r>
      <w:rPr>
        <w:rFonts w:ascii="Calibri" w:cs="Calibri" w:eastAsia="Calibri" w:hAnsi="Calibri"/>
        <w:color w:val="6B7A90"/>
        <w:sz w:val="15"/>
        <w:szCs w:val="15"/>
      </w:rPr>
      <w:t xml:space="preserve">Programación Orientada a Objetos · Sistema de Gestión de Vehículos para Empresa Minera</w:t>
    </w:r>
    <w:r>
      <w:rPr>
        <w:rFonts w:ascii="Calibri" w:cs="Calibri" w:eastAsia="Calibri" w:hAnsi="Calibri"/>
        <w:color w:val="6B7A90"/>
        <w:sz w:val="15"/>
        <w:szCs w:val="15"/>
      </w:rPr>
      <w:t xml:space="preserve">	Pág. </w:t>
    </w:r>
    <w:r>
      <w:rPr>
        <w:rFonts w:ascii="Calibri" w:cs="Calibri" w:eastAsia="Calibri" w:hAnsi="Calibri"/>
        <w:b/>
        <w:bCs/>
        <w:color w:val="6B7A9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A90"/>
        <w:sz w:val="15"/>
        <w:szCs w:val="15"/>
      </w:rPr>
      <w:t xml:space="preserve"> de </w:t>
    </w:r>
    <w:r>
      <w:rPr>
        <w:rFonts w:ascii="Calibri" w:cs="Calibri" w:eastAsia="Calibri" w:hAnsi="Calibri"/>
        <w:color w:val="6B7A9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E0" w:sz="6" w:space="4"/>
      </w:pBdr>
      <w:tabs>
        <w:tab w:val="right" w:pos="9070"/>
      </w:tabs>
      <w:spacing w:before="0"/>
    </w:pPr>
    <w:r>
      <w:rPr>
        <w:rFonts w:ascii="Calibri" w:cs="Calibri" w:eastAsia="Calibri" w:hAnsi="Calibri"/>
        <w:color w:val="6B7A90"/>
        <w:sz w:val="15"/>
        <w:szCs w:val="15"/>
      </w:rPr>
      <w:t xml:space="preserve">Programación Orientada a Objetos · Sistema de Gestión de Vehículos para Empresa Minera</w:t>
    </w:r>
    <w:r>
      <w:rPr>
        <w:rFonts w:ascii="Calibri" w:cs="Calibri" w:eastAsia="Calibri" w:hAnsi="Calibri"/>
        <w:color w:val="6B7A90"/>
        <w:sz w:val="15"/>
        <w:szCs w:val="15"/>
      </w:rPr>
      <w:t xml:space="preserve">	Pág. </w:t>
    </w:r>
    <w:r>
      <w:rPr>
        <w:rFonts w:ascii="Calibri" w:cs="Calibri" w:eastAsia="Calibri" w:hAnsi="Calibri"/>
        <w:b/>
        <w:bCs/>
        <w:color w:val="6B7A9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A90"/>
        <w:sz w:val="15"/>
        <w:szCs w:val="15"/>
      </w:rPr>
      <w:t xml:space="preserve"> de </w:t>
    </w:r>
    <w:r>
      <w:rPr>
        <w:rFonts w:ascii="Calibri" w:cs="Calibri" w:eastAsia="Calibri" w:hAnsi="Calibri"/>
        <w:color w:val="6B7A9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E0" w:sz="6" w:space="4"/>
      </w:pBdr>
      <w:tabs>
        <w:tab w:val="right" w:pos="9070"/>
      </w:tabs>
      <w:spacing w:before="0"/>
    </w:pPr>
    <w:r>
      <w:rPr>
        <w:rFonts w:ascii="Calibri" w:cs="Calibri" w:eastAsia="Calibri" w:hAnsi="Calibri"/>
        <w:color w:val="6B7A90"/>
        <w:sz w:val="15"/>
        <w:szCs w:val="15"/>
      </w:rPr>
      <w:t xml:space="preserve">Programación Orientada a Objetos · Sistema de Gestión de Vehículos para Empresa Minera</w:t>
    </w:r>
    <w:r>
      <w:rPr>
        <w:rFonts w:ascii="Calibri" w:cs="Calibri" w:eastAsia="Calibri" w:hAnsi="Calibri"/>
        <w:color w:val="6B7A90"/>
        <w:sz w:val="15"/>
        <w:szCs w:val="15"/>
      </w:rPr>
      <w:t xml:space="preserve">	Pág. </w:t>
    </w:r>
    <w:r>
      <w:rPr>
        <w:rFonts w:ascii="Calibri" w:cs="Calibri" w:eastAsia="Calibri" w:hAnsi="Calibri"/>
        <w:b/>
        <w:bCs/>
        <w:color w:val="6B7A9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A90"/>
        <w:sz w:val="15"/>
        <w:szCs w:val="15"/>
      </w:rPr>
      <w:t xml:space="preserve"> de </w:t>
    </w:r>
    <w:r>
      <w:rPr>
        <w:rFonts w:ascii="Calibri" w:cs="Calibri" w:eastAsia="Calibri" w:hAnsi="Calibri"/>
        <w:color w:val="6B7A9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E0" w:sz="6" w:space="4"/>
      </w:pBdr>
      <w:tabs>
        <w:tab w:val="right" w:pos="9070"/>
      </w:tabs>
      <w:spacing w:after="0"/>
    </w:pPr>
    <w:r>
      <w:rPr>
        <w:rFonts w:ascii="Calibri" w:cs="Calibri" w:eastAsia="Calibri" w:hAnsi="Calibri"/>
        <w:b/>
        <w:bCs/>
        <w:color w:val="6B7A90"/>
        <w:sz w:val="16"/>
        <w:szCs w:val="16"/>
      </w:rPr>
      <w:t xml:space="preserve">IESTP “PAIJÁN”</w:t>
    </w:r>
    <w:r>
      <w:rPr>
        <w:rFonts w:ascii="Calibri" w:cs="Calibri" w:eastAsia="Calibri" w:hAnsi="Calibri"/>
        <w:color w:val="6B7A90"/>
        <w:sz w:val="16"/>
        <w:szCs w:val="16"/>
      </w:rPr>
      <w:t xml:space="preserve">	Catálogo de clases, objetos y responsabilidades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E0" w:sz="6" w:space="4"/>
      </w:pBdr>
      <w:tabs>
        <w:tab w:val="right" w:pos="9070"/>
      </w:tabs>
      <w:spacing w:after="0"/>
    </w:pPr>
    <w:r>
      <w:rPr>
        <w:rFonts w:ascii="Calibri" w:cs="Calibri" w:eastAsia="Calibri" w:hAnsi="Calibri"/>
        <w:b/>
        <w:bCs/>
        <w:color w:val="6B7A90"/>
        <w:sz w:val="16"/>
        <w:szCs w:val="16"/>
      </w:rPr>
      <w:t xml:space="preserve">IESTP “PAIJÁN”</w:t>
    </w:r>
    <w:r>
      <w:rPr>
        <w:rFonts w:ascii="Calibri" w:cs="Calibri" w:eastAsia="Calibri" w:hAnsi="Calibri"/>
        <w:color w:val="6B7A90"/>
        <w:sz w:val="16"/>
        <w:szCs w:val="16"/>
      </w:rPr>
      <w:t xml:space="preserve">	Catálogo de clases, objetos y responsabilidades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E0" w:sz="6" w:space="4"/>
      </w:pBdr>
      <w:tabs>
        <w:tab w:val="right" w:pos="9070"/>
      </w:tabs>
      <w:spacing w:after="0"/>
    </w:pPr>
    <w:r>
      <w:rPr>
        <w:rFonts w:ascii="Calibri" w:cs="Calibri" w:eastAsia="Calibri" w:hAnsi="Calibri"/>
        <w:b/>
        <w:bCs/>
        <w:color w:val="6B7A90"/>
        <w:sz w:val="16"/>
        <w:szCs w:val="16"/>
      </w:rPr>
      <w:t xml:space="preserve">IESTP “PAIJÁN”</w:t>
    </w:r>
    <w:r>
      <w:rPr>
        <w:rFonts w:ascii="Calibri" w:cs="Calibri" w:eastAsia="Calibri" w:hAnsi="Calibri"/>
        <w:color w:val="6B7A90"/>
        <w:sz w:val="16"/>
        <w:szCs w:val="16"/>
      </w:rPr>
      <w:t xml:space="preserve">	Catálogo de clases, objetos y responsabilidades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E0" w:sz="6" w:space="4"/>
      </w:pBdr>
      <w:tabs>
        <w:tab w:val="right" w:pos="9070"/>
      </w:tabs>
      <w:spacing w:after="0"/>
    </w:pPr>
    <w:r>
      <w:rPr>
        <w:rFonts w:ascii="Calibri" w:cs="Calibri" w:eastAsia="Calibri" w:hAnsi="Calibri"/>
        <w:b/>
        <w:bCs/>
        <w:color w:val="6B7A90"/>
        <w:sz w:val="16"/>
        <w:szCs w:val="16"/>
      </w:rPr>
      <w:t xml:space="preserve">IESTP “PAIJÁN”</w:t>
    </w:r>
    <w:r>
      <w:rPr>
        <w:rFonts w:ascii="Calibri" w:cs="Calibri" w:eastAsia="Calibri" w:hAnsi="Calibri"/>
        <w:color w:val="6B7A90"/>
        <w:sz w:val="16"/>
        <w:szCs w:val="16"/>
      </w:rPr>
      <w:t xml:space="preserve">	Catálogo de clases, objetos y responsabilidades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E0" w:sz="6" w:space="4"/>
      </w:pBdr>
      <w:tabs>
        <w:tab w:val="right" w:pos="9070"/>
      </w:tabs>
      <w:spacing w:after="0"/>
    </w:pPr>
    <w:r>
      <w:rPr>
        <w:rFonts w:ascii="Calibri" w:cs="Calibri" w:eastAsia="Calibri" w:hAnsi="Calibri"/>
        <w:b/>
        <w:bCs/>
        <w:color w:val="6B7A90"/>
        <w:sz w:val="16"/>
        <w:szCs w:val="16"/>
      </w:rPr>
      <w:t xml:space="preserve">IESTP “PAIJÁN”</w:t>
    </w:r>
    <w:r>
      <w:rPr>
        <w:rFonts w:ascii="Calibri" w:cs="Calibri" w:eastAsia="Calibri" w:hAnsi="Calibri"/>
        <w:color w:val="6B7A90"/>
        <w:sz w:val="16"/>
        <w:szCs w:val="16"/>
      </w:rPr>
      <w:t xml:space="preserve">	Catálogo de clases, objetos y responsabilidades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E0" w:sz="6" w:space="4"/>
      </w:pBdr>
      <w:tabs>
        <w:tab w:val="right" w:pos="9070"/>
      </w:tabs>
      <w:spacing w:after="0"/>
    </w:pPr>
    <w:r>
      <w:rPr>
        <w:rFonts w:ascii="Calibri" w:cs="Calibri" w:eastAsia="Calibri" w:hAnsi="Calibri"/>
        <w:b/>
        <w:bCs/>
        <w:color w:val="6B7A90"/>
        <w:sz w:val="16"/>
        <w:szCs w:val="16"/>
      </w:rPr>
      <w:t xml:space="preserve">IESTP “PAIJÁN”</w:t>
    </w:r>
    <w:r>
      <w:rPr>
        <w:rFonts w:ascii="Calibri" w:cs="Calibri" w:eastAsia="Calibri" w:hAnsi="Calibri"/>
        <w:color w:val="6B7A90"/>
        <w:sz w:val="16"/>
        <w:szCs w:val="16"/>
      </w:rPr>
      <w:t xml:space="preserve">	Catálogo de clases, objetos y responsabilidades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E0" w:sz="6" w:space="4"/>
      </w:pBdr>
      <w:tabs>
        <w:tab w:val="right" w:pos="9070"/>
      </w:tabs>
      <w:spacing w:after="0"/>
    </w:pPr>
    <w:r>
      <w:rPr>
        <w:rFonts w:ascii="Calibri" w:cs="Calibri" w:eastAsia="Calibri" w:hAnsi="Calibri"/>
        <w:b/>
        <w:bCs/>
        <w:color w:val="6B7A90"/>
        <w:sz w:val="16"/>
        <w:szCs w:val="16"/>
      </w:rPr>
      <w:t xml:space="preserve">IESTP “PAIJÁN”</w:t>
    </w:r>
    <w:r>
      <w:rPr>
        <w:rFonts w:ascii="Calibri" w:cs="Calibri" w:eastAsia="Calibri" w:hAnsi="Calibri"/>
        <w:color w:val="6B7A90"/>
        <w:sz w:val="16"/>
        <w:szCs w:val="16"/>
      </w:rPr>
      <w:t xml:space="preserve">	Catálogo de clases, objetos y responsabilidades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60" w:hanging="240"/>
      </w:pPr>
      <w:rPr>
        <w:color w:val="2E5090"/>
      </w:rPr>
    </w:lvl>
    <w:lvl w:ilvl="1" w15:tentative="1">
      <w:start w:val="1"/>
      <w:numFmt w:val="bullet"/>
      <w:lvlText w:val="–"/>
      <w:lvlJc w:val="left"/>
      <w:pPr>
        <w:ind w:left="860" w:hanging="240"/>
      </w:pPr>
      <w:rPr>
        <w:color w:val="6B7A9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80"/>
      </w:pPr>
      <w:rPr>
        <w:b/>
        <w:bCs/>
        <w:color w:val="2E509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436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C9D3E0" w:sz="10" w:space="6"/>
      </w:pBdr>
      <w:spacing w:after="180" w:before="380"/>
    </w:pPr>
    <w:rPr>
      <w:rFonts w:ascii="Cambria" w:cs="Cambria" w:eastAsia="Cambria" w:hAnsi="Cambria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30" w:before="300"/>
    </w:pPr>
    <w:rPr>
      <w:rFonts w:ascii="Cambria" w:cs="Cambria" w:eastAsia="Cambria" w:hAnsi="Cambria"/>
      <w:b/>
      <w:bCs/>
      <w:color w:val="2E5090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100" w:before="240"/>
    </w:pPr>
    <w:rPr>
      <w:rFonts w:ascii="Cambria" w:cs="Cambria" w:eastAsia="Cambria" w:hAnsi="Cambria"/>
      <w:b/>
      <w:bCs/>
      <w:color w:val="44546A"/>
      <w:sz w:val="22"/>
      <w:szCs w:val="22"/>
    </w:rPr>
  </w:style>
  <w:style w:type="paragraph" w:styleId="Heading4">
    <w:name w:val="Heading 4"/>
    <w:basedOn w:val="Normal"/>
    <w:next w:val="Normal"/>
    <w:qFormat/>
    <w:pPr>
      <w:keepNext/>
      <w:spacing w:after="80" w:before="200"/>
    </w:pPr>
    <w:rPr>
      <w:rFonts w:ascii="Calibri" w:cs="Calibri" w:eastAsia="Calibri" w:hAnsi="Calibri"/>
      <w:b/>
      <w:bCs/>
      <w:color w:val="44546A"/>
      <w:sz w:val="21"/>
      <w:szCs w:val="21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Bodytext">
    <w:name w:val="Body text"/>
    <w:basedOn w:val="Normal"/>
    <w:qFormat/>
    <w:pPr>
      <w:spacing w:after="140" w:line="288" w:lineRule="auto"/>
      <w:jc w:val="both"/>
    </w:pPr>
    <w:rPr>
      <w:sz w:val="22"/>
      <w:szCs w:val="22"/>
    </w:rPr>
  </w:style>
  <w:style w:type="paragraph" w:styleId="Caption2">
    <w:name w:val="Caption2"/>
    <w:basedOn w:val="Normal"/>
    <w:pPr>
      <w:spacing w:after="240" w:before="80"/>
      <w:jc w:val="center"/>
    </w:pPr>
    <w:rPr>
      <w:rFonts w:ascii="Calibri" w:cs="Calibri" w:eastAsia="Calibri" w:hAnsi="Calibri"/>
      <w:i/>
      <w:iCs/>
      <w:color w:val="6B7A90"/>
      <w:sz w:val="17"/>
      <w:szCs w:val="17"/>
    </w:rPr>
  </w:style>
  <w:style w:type="paragraph" w:styleId="Codeblk">
    <w:name w:val="Code block"/>
    <w:basedOn w:val="Normal"/>
    <w:pPr>
      <w:spacing w:after="0" w:before="0" w:line="240" w:lineRule="auto"/>
      <w:jc w:val="left"/>
    </w:pPr>
    <w:rPr>
      <w:rFonts w:ascii="Consolas" w:cs="Consolas" w:eastAsia="Consolas" w:hAnsi="Consolas"/>
      <w:color w:val="1A2436"/>
      <w:sz w:val="17"/>
      <w:szCs w:val="17"/>
    </w:rPr>
  </w:style>
  <w:style w:type="paragraph" w:styleId="Lead">
    <w:name w:val="Lead"/>
    <w:basedOn w:val="Normal"/>
    <w:pPr>
      <w:spacing w:after="180" w:line="300" w:lineRule="auto"/>
      <w:jc w:val="both"/>
    </w:pPr>
    <w:rPr>
      <w:color w:val="44546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image" Target="media/94ca3ece434b38e51943c083ee23527233db60b5.png"/><Relationship Id="rId22" Type="http://schemas.openxmlformats.org/officeDocument/2006/relationships/image" Target="media/ab1e73fb551943d243c88c120b0daef249e6cc7f.png"/><Relationship Id="rId23" Type="http://schemas.openxmlformats.org/officeDocument/2006/relationships/image" Target="media/315bb019c1e4a7c7614f5821177ba3a7e4c948e3.png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Catálogo de clases, objetos y responsabilidades — Sistema de Gestión de Vehículos</dc:title>
  <dc:creator>Un-named</dc:creator>
  <dc:description>Identificación de 25 clases del dominio, atributos y responsabilidades, agrupadas en siete módulos.</dc:description>
  <cp:lastModifiedBy>Un-named</cp:lastModifiedBy>
  <cp:revision>1</cp:revision>
  <dcterms:created xsi:type="dcterms:W3CDTF">2026-09-19T20:26:05.058Z</dcterms:created>
  <dcterms:modified xsi:type="dcterms:W3CDTF">2026-09-19T20:26:05.058Z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