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 La web comparte una interfaz adaptable con navegación de marca, estados homogéneos y un flujo de detección ordenado en tres pasos.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HTTP. Hay una sola versión activa por idioma y todos los clientes la comparten.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 para que SPF, DKIM, DMARC, Received, Return-Path y Message-ID sean visibles a las reglas.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aplica la fusión calibrada 35/65 y el umbral 26; si una evidencia alcanza 70 no se diluye, y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es apoyo a la decisión, no sustituto de una pasarela antispam ni garantía absoluta.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MLP necesita datos representativos y evaluación separada; una accuracy de entrenamiento no demuestra generalización. La evidencia funcional suma 87 pruebas Python y 2 recorridos reales (web-backend y Gmail-HTTP-Telegram): verifican arquitectura y comportamiento, no eficacia estadística en producción.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