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con sistema visual compartido y adaptable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una interfaz coherente y poco código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Streamlit y el backend escuchan en loopback; --allow-remote exige un token administrativo de al menos 24 caracteres y los clientes exigen HTTPS para destinos remotos.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El cliente los envía con los CSV y el backend entrena desde cero, registra procedencia, guarda atómicamente e invalida la versión cacheada. Cuarenta casos controlados calibran la fusión y 16 EML distintos, con cabeceras y MIME completos, quedan reservados para la evaluación final; ambos conjuntos son sintéticos. Un diagnóstico adicional usa 1.528 textos DIFrauD con licencia MIT, revisión y hash fijados, pero se etiqueta con riesgo de solapamiento de fuentes. Ninguna cifra estima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87 pruebas Python y 2 pruebas con Chromium. Incluye idioma determinista y el recorrido local Gmail EML -&gt; JSON -&gt; HTTP -&gt; backend -&gt; Telegram. GitHub Actions instala versiones fijadas, ejecuta Ruff, verifica calibración, regenera la evaluación, comprueba el respaldo de defensa y recorre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