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 La web comparte una interfaz adaptable con navegación de marca, estados homogéneos y un flujo de detección ordenado en tres pasos.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 y comparten una versión activa por idioma. Para la demo móvil, mantén el backend en 127.0.0.1:8766 e inicia Streamlit con --server.address 0.0.0.0 --server.port 8501; el móvil usa la IP privada. Es acceso temporal a una LAN de confianza, no Internet, y la web no tiene autenticación multiusuario.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cuerpo. SPF, DKIM y DMARC se interpretan únicamente desde Received-SPF, Authentication-Results, ARC-Authentication-Results y DKIM-Signature: el prototipo no consulta DNS, no recupera claves públicas y no realiza una validación criptográfica completa.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aplica la fusión calibrada 45/55 y el umbral 21; si una evidencia alcanza 70 no se diluye, y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apoya decisiones y las 89 pruebas más 2 recorridos validan el flujo, no la eficacia en producción; el MLP requiere datos representativos y evaluación separada.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