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B4862C"/>
          <w:sz w:val="20"/>
        </w:rPr>
        <w:t>GUÍA 02 · DECISIONES TÉCNICAS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203748"/>
          <w:sz w:val="60"/>
        </w:rPr>
        <w:t>Tecnologías y decisiones</w:t>
      </w:r>
    </w:p>
    <w:p>
      <w:pPr>
        <w:pStyle w:val="Subtitle"/>
        <w:jc w:val="center"/>
      </w:pPr>
      <w:r>
        <w:rPr>
          <w:rFonts w:ascii="Calibri" w:hAnsi="Calibri"/>
          <w:b w:val="0"/>
          <w:i w:val="0"/>
          <w:color w:val="2B5163"/>
          <w:sz w:val="30"/>
        </w:rPr>
        <w:t>Cómo funciona cada elección y cómo justificarla frente a alternativas</w:t>
      </w:r>
    </w:p>
    <w:p>
      <w:pPr>
        <w:spacing w:before="480"/>
        <w:jc w:val="center"/>
      </w:pPr>
      <w:r>
        <w:rPr>
          <w:rFonts w:ascii="Calibri" w:hAnsi="Calibri"/>
          <w:b w:val="0"/>
          <w:i/>
          <w:color w:val="64748B"/>
          <w:sz w:val="20"/>
        </w:rPr>
        <w:t>Proyecto TFG · versión alineada con el código actual</w:t>
      </w:r>
    </w:p>
    <w:p>
      <w:r>
        <w:br w:type="page"/>
      </w:r>
    </w:p>
    <w:p>
      <w:pPr>
        <w:pStyle w:val="Heading1"/>
      </w:pPr>
      <w:r>
        <w:t>1. Criterio de selección</w:t>
      </w:r>
    </w:p>
    <w:p>
      <w:r>
        <w:rPr>
          <w:rFonts w:ascii="Calibri" w:hAnsi="Calibri"/>
          <w:b w:val="0"/>
          <w:i w:val="0"/>
          <w:color w:val="1F2937"/>
          <w:sz w:val="22"/>
        </w:rPr>
        <w:t>La arquitectura prioriza reproducibilidad local, facilidad de defensa, separación de responsabilidades y coste operativo bajo. Las decisiones no intentan convertir el TFG en un servicio de producción multiusuario: delimitan un detector demostrable, auditable y extensible.</w:t>
      </w:r>
    </w:p>
    <w:p>
      <w:pPr>
        <w:pStyle w:val="Heading1"/>
      </w:pPr>
      <w:r>
        <w:t>2. Comparativa de tecnologías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800"/>
        <w:gridCol w:w="25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Tecnología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Cómo se usa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Por qué se elige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Alternativa y límite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Python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Integra parser, reglas, ML, API y automatizaciones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Ecosistema científico, lectura clara y buena trazabilidad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Java/Node serían válidos; añadirían complejidad para este alcance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Streamlit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Cliente web con sistema visual compartido y adaptable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Permite validar el flujo cliente-servidor con una interfaz coherente y poco código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React daría comunicación navegador-API directa, pero exigiría otro stack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scikit-learn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TF-IDF vectoriza y MLPClassifier clasifica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Pipeline reproducible, API madura y métricas estándar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TensorFlow sería más flexible para deep learning, pero sobredimensionado para texto tabular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TF-IDF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Convierte palabras y bigramas en variables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Explicable, rápido y adecuado para corpus moderados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Transformers mejorarían contexto, con más coste y menor explicabilidad local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email estándar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Parsea MIME y cabeceras EML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No añade dependencia para la parte esencial del formato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Librerías externas pueden aportar atajos, pero no son necesarias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BeautifulSoup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Inspecciona HTML y formularios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Tolera HTML imperfecto de correos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Parser regex puro sería frágil; un navegador sería inseguro e innecesario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Gmail API + OAuth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Obtiene mensajes con consentimiento del usuario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Permisos oficiales y flujo revocable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IMAP sería más genérico, pero no aporta el mismo control API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HTTP stdlib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Expone análisis y administración central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Cero framework extra, contrato pequeño y fácil de auditar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FastAPI facilitaría OpenAPI y escalado; no es necesario para el prototipo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joblib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Persiste pipeline TF-IDF + MLP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Guarda vectorizador y modelo como una unidad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ONNX sería más portable; exige conversión y no elimina el requisito de confiar en artefactos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unittest + Ruff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Prueba comportamiento y calidad estática</w:t>
            </w:r>
          </w:p>
        </w:tc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Incluidos en Python y rápidos en CI/local</w:t>
            </w:r>
          </w:p>
        </w:tc>
        <w:tc>
          <w:tcPr>
            <w:tcW w:type="dxa" w:w="25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pytest aporta fixtures más ricas; el conjunto actual es suficiente y directo</w:t>
            </w:r>
          </w:p>
        </w:tc>
      </w:tr>
    </w:tbl>
    <w:p>
      <w:pPr>
        <w:spacing w:after="0"/>
      </w:pPr>
    </w:p>
    <w:p>
      <w:pPr>
        <w:pStyle w:val="Heading1"/>
      </w:pPr>
      <w:r>
        <w:t>3. Por qué dos modelos lingüísticos</w:t>
      </w:r>
    </w:p>
    <w:p>
      <w:r>
        <w:rPr>
          <w:rFonts w:ascii="Calibri" w:hAnsi="Calibri"/>
          <w:b w:val="0"/>
          <w:i w:val="0"/>
          <w:color w:val="1F2937"/>
          <w:sz w:val="22"/>
        </w:rPr>
        <w:t>El detector identifica idioma por mensaje, no por sesión. Mantiene un modelo español y otro inglés porque las palabras, stopwords y corpus tienen distribuciones distintas. EmailAnalysisService cachea un detector por idioma para combinar corrección con rendimiento.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Respuesta breve: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La alternativa de un único modelo multilingüe simplificaría ficheros, pero mezclaría vocabularios y haría más difícil justificar qué datos explican cada predicción.</w:t>
            </w:r>
          </w:p>
        </w:tc>
      </w:tr>
    </w:tbl>
    <w:p>
      <w:pPr>
        <w:spacing w:after="0"/>
      </w:pPr>
    </w:p>
    <w:p>
      <w:pPr>
        <w:pStyle w:val="Heading1"/>
      </w:pPr>
      <w:r>
        <w:t>4. SOLID aplicado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Principio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Aplicación en el código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Beneficio demostrable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Responsabilidad única</w:t>
            </w:r>
          </w:p>
        </w:tc>
        <w:tc>
          <w:tcPr>
            <w:tcW w:type="dxa" w:w="4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Parser, señales, scorer, explicaciones, ML, monitor y transporte están separados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Un cambio en URLs no obliga a tocar Gmail o Streamlit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Abierto/cerrado</w:t>
            </w:r>
          </w:p>
        </w:tc>
        <w:tc>
          <w:tcPr>
            <w:tcW w:type="dxa" w:w="4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EmailAnalysisService recibe analyzer, detector loader y detector de idioma inyectables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Se prueban estrategias y se añaden modelos sin reescribir el coordinador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Sustitución</w:t>
            </w:r>
          </w:p>
        </w:tc>
        <w:tc>
          <w:tcPr>
            <w:tcW w:type="dxa" w:w="4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Los consumidores dependen de BackendClient o su protocolo mínimo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Web, extensión y monitor consumen el mismo contrato HTTP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Segregación</w:t>
            </w:r>
          </w:p>
        </w:tc>
        <w:tc>
          <w:tcPr>
            <w:tcW w:type="dxa" w:w="4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El almacenamiento, el análisis y el transporte tienen superficies pequeñas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Cada prueba necesita solo la interfaz que utiliza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Inversión</w:t>
            </w:r>
          </w:p>
        </w:tc>
        <w:tc>
          <w:tcPr>
            <w:tcW w:type="dxa" w:w="4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NeuralModelTrainer depende de ModelStorage, no de una ruta fija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Facilita memoria, disco y dobles de prueba</w:t>
            </w:r>
          </w:p>
        </w:tc>
      </w:tr>
    </w:tbl>
    <w:p>
      <w:pPr>
        <w:spacing w:after="0"/>
      </w:pPr>
    </w:p>
    <w:p>
      <w:pPr>
        <w:pStyle w:val="Heading1"/>
      </w:pPr>
      <w:r>
        <w:t>5. Decisiones de seguridad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El parser limita EML a 10 MiB; /analyze admite 16 MiB y las rutas de datasets 256 MiB con Content-Length obligatorio.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La API no acepta CORS *; permite Gmail y orígenes chrome-extension://, y no devuelve trazas internas.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Por defecto Streamlit y el backend escuchan en loopback. Para una demo móvil puede abrirse solo Streamlit en 0.0.0.0:8501 y mantener el backend en 127.0.0.1:8766; no requiere --allow-remote, no es Internet y debe limitarse a una LAN privada de confianza. Un backend remoto sí exige HTTPS y controles adicionales.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El modelo no ejecuta archivos adjuntos; solo registra metadatos y señales.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Los nuevos joblib no conservan textos brutos de entrenamiento. Los modelos antiguos se sanean al cargarse y guardarse con el formato actual.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Credenciales, tokens, estados y artefactos temporales de QA se mantienen fuera del índice Git mediante .gitignore.</w:t>
      </w:r>
    </w:p>
    <w:p>
      <w:pPr>
        <w:pStyle w:val="Heading1"/>
      </w:pPr>
      <w:r>
        <w:t>6. Reproducibilidad y evaluación</w:t>
      </w:r>
    </w:p>
    <w:p>
      <w:r>
        <w:rPr>
          <w:rFonts w:ascii="Calibri" w:hAnsi="Calibri"/>
          <w:b w:val="0"/>
          <w:i w:val="0"/>
          <w:color w:val="1F2937"/>
          <w:sz w:val="22"/>
        </w:rPr>
        <w:t>Los hiperparámetros se concentran en HiperparametrosModelo. El protocolo usa 1.148 textos ES para entrenar y 209 para probar; en inglés deduplica el agregado a 82.077 y lo divide con semilla 42 en 65.661/16.416. Los hashes y fuentes se verifican antes de reentrenar y los joblib no guardan textos brutos. Cuarenta casos controlados calibran la fusión y 16 EML distintos comprueban el sistema completo. DIFrauD añade 1.528 textos con riesgo de solapamiento. Ninguna cifra estima producción.</w:t>
      </w:r>
    </w:p>
    <w:p>
      <w:r>
        <w:rPr>
          <w:rFonts w:ascii="Calibri" w:hAnsi="Calibri"/>
          <w:b w:val="0"/>
          <w:i w:val="0"/>
          <w:color w:val="1F2937"/>
          <w:sz w:val="22"/>
        </w:rPr>
        <w:t>El benchmark reproducible separa arranque e inferencia. La carga diferida redujo la importación fría de heurísticas de 1098,5 ms a 37,0 ms y el arranque de la aplicación de 1326,6 ms a 315,1 ms, mientras que la inferencia se mantuvo estable dentro de una variación de ±3 %.</w:t>
      </w:r>
    </w:p>
    <w:p>
      <w:r>
        <w:rPr>
          <w:rFonts w:ascii="Calibri" w:hAnsi="Calibri"/>
          <w:b w:val="0"/>
          <w:i w:val="0"/>
          <w:color w:val="1F2937"/>
          <w:sz w:val="22"/>
        </w:rPr>
        <w:t>La validación automatizada reúne 89 pruebas Python y 2 pruebas con Chromium. Incluye idioma determinista y el recorrido local Gmail EML -&gt; JSON -&gt; HTTP -&gt; backend -&gt; Telegram. GitHub Actions instala versiones fijadas, ejecuta Ruff, verifica calibración, regenera la evaluación, comprueba el respaldo de defensa y recorre web-backend. OAuth real usa una lista E2E separada porque sus credenciales no pueden entrar en CI.</w:t>
      </w:r>
    </w:p>
    <w:p>
      <w:pPr>
        <w:pStyle w:val="Heading1"/>
      </w:pPr>
      <w:r>
        <w:t>7. Diferencias con la propuesta inicial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Propuesta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Implementación actual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Cómo explicarlo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TensorFlow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scikit-learn MLP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Se eligió una red suficiente para el corpus y más reproducible/ligera en el entorno académico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Blacklists/reputación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Señales locales de dominio, URL, punycode y acortadores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Se evita depender de red externa y se mantiene privacidad; reputación online queda como extensión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Certificados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No se inspecciona TLS desde el correo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El EML no prueba por sí mismo el certificado del destino; se prioriza análisis estático seguro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Interfaz simple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Streamlit como cliente de una API central obligatoria</w:t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La interfaz sigue siendo simple y todos los canales comparten los modelos del servidor</w:t>
            </w:r>
          </w:p>
        </w:tc>
      </w:tr>
    </w:tbl>
    <w:p>
      <w:pPr>
        <w:spacing w:after="0"/>
      </w:pPr>
    </w:p>
    <w:p>
      <w:pPr>
        <w:pStyle w:val="Heading1"/>
      </w:pPr>
      <w:r>
        <w:t>8. Qué no prometer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 decir que se consulta una blacklist online si no se ha configurado una fuente externa.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 presentar el accuracy de entrenamiento como precisión en producción.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No llamar a la extensión un producto publicado: se carga en modo desarrollador y consume el backend central configurado.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8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</w:rPr>
      <w:t>TFG · Guía de defensa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2B516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Tecnologías y decisiones · TFG Phishing</dc:title>
  <dc:subject>Preparación de defensa del TFG</dc:subject>
  <dc:creator>Proyecto TFG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