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03 · EXPOSICIÓN ORAL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Guion de defensa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decir, qué enseñar y cómo responder preguntas sin sobreprometer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Marco de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práctica: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regulación pública UEMC del TFG contempla una exposición de hasta 20 minutos y un turno posterior de preguntas; confirma siempre el tiempo exacto indicado por tu centro y convocatoria.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Referencia para preparar la defensa: Reglamento UEMC 5/2024, de 13 de septiembre, de Trabajo Fin de Grado/Fin de Máster, y la ficha pública de la asignatura. El reglamento permite que el centro limite excepcionalmente la exposición a menos de 20 minutos; confirma la convocatoria concreta. La memoria y la defensa deben contar la misma historia: problema, objetivos, método, evidencia y límites.</w:t>
      </w:r>
    </w:p>
    <w:p>
      <w:pPr>
        <w:pStyle w:val="Heading1"/>
      </w:pPr>
      <w:r>
        <w:t>2. Estructura recomendada de 20 minutos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Tiempo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Bloque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Mensaje que debe quedar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0:00–1:00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Apertura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problema resuelvo y qué entrego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1:00–3:00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Motivación y objetivos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phishing combina señales técnicas y lingüísticas; se necesita apoyo explicable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3:00–5:00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Alcance y requisitos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Texto/EML, heurística, ML, explicación, Gmail, evaluación y límites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5:00–9:00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Arquitectura y flujo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Entradas -&gt; normalización -&gt; señales/modelo -&gt; decisión -&gt; explicación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9:00–12:00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Tecnologías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Por qué Python, Streamlit, scikit-learn, Gmail API y backend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12:00–15:00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Demostración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correo sospechoso, señales activas y resultado combinado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15:00–17:00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Pruebas y resultados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81 pruebas Python, 2 de navegador, calibración de 40 casos y 16 EML reservados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17:00–19:00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Limitaciones y futuro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no hace hoy y qué ampliaría con evidencia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19:00–20:00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Cierre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Aportación, mantenibilidad y conclusión</w:t>
            </w:r>
          </w:p>
        </w:tc>
      </w:tr>
    </w:tbl>
    <w:p>
      <w:pPr>
        <w:spacing w:after="0"/>
      </w:pPr>
    </w:p>
    <w:p>
      <w:pPr>
        <w:pStyle w:val="Heading1"/>
      </w:pPr>
      <w:r>
        <w:t>3. Texto de apertura</w:t>
      </w:r>
    </w:p>
    <w:p>
      <w:r>
        <w:rPr>
          <w:rFonts w:ascii="Calibri" w:hAnsi="Calibri"/>
          <w:b w:val="0"/>
          <w:i w:val="0"/>
          <w:color w:val="1F2937"/>
          <w:sz w:val="22"/>
        </w:rPr>
        <w:t>Buenos días. Mi TFG presenta un sistema cliente-servidor de apoyo a la detección de phishing. Combina señales inspeccionables —cabeceras, autenticación, dominios, URLs, HTML y lenguaje— con un clasificador TF-IDF más MLP. Devuelve una puntuación y una explicación, no solo una etiqueta.</w:t>
      </w:r>
    </w:p>
    <w:p>
      <w:r>
        <w:rPr>
          <w:rFonts w:ascii="Calibri" w:hAnsi="Calibri"/>
          <w:b w:val="0"/>
          <w:i w:val="0"/>
          <w:color w:val="1F2937"/>
          <w:sz w:val="22"/>
        </w:rPr>
        <w:t>He separado los clientes del núcleo de análisis. Streamlit, la extensión y el monitor envían el correo a un backend central que mantiene una versión por idioma. Así, al cambiar un modelo, todos los clientes usan la nueva versión sin distribuir copias.</w:t>
      </w:r>
    </w:p>
    <w:p>
      <w:pPr>
        <w:pStyle w:val="Heading1"/>
      </w:pPr>
      <w:r>
        <w:t>4. Qué enseñar en la demo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Arrancar el backend, mostrar /health con las versiones y después abrir el cliente web.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Pegar o cargar un EML de ejemplo controlado, evitando enseñar credenciales o datos personales.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Señalar la puntuación, las señales activas, la URL sospechosa y la explicación generada.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Cambiar a modo heurístico para demostrar que el resultado puede auditarse sin modelo.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Mostrar EVALUATION_REPORT.md: calibración separada, 16 EML finales, hashes, matriz de errores y la advertencia de que no es una muestra representativa.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Si el tiempo lo permite, enseñar la extensión llamando a la misma URL del backend.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Plan B: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Lleva capturas, /health y una respuesta JSON guardada. Si Gmail u OAuth fallan, usa texto o EML; si el backend no arranca, explica los dos procesos y presenta el recorrido E2E automatizado ya validado.</w:t>
            </w:r>
          </w:p>
        </w:tc>
      </w:tr>
    </w:tbl>
    <w:p>
      <w:pPr>
        <w:spacing w:after="0"/>
      </w:pPr>
    </w:p>
    <w:p>
      <w:pPr>
        <w:pStyle w:val="Heading1"/>
      </w:pPr>
      <w:r>
        <w:t>5. Cómo explicar los resultados</w:t>
      </w:r>
    </w:p>
    <w:p>
      <w:r>
        <w:rPr>
          <w:rFonts w:ascii="Calibri" w:hAnsi="Calibri"/>
          <w:b w:val="0"/>
          <w:i w:val="0"/>
          <w:color w:val="1F2937"/>
          <w:sz w:val="22"/>
        </w:rPr>
        <w:t>La calibración usa 40 casos distintos de los 16 EML finales. La fusión resultante es 20 % heurística, 80 % neuronal, umbral 45 y alta confianza 70. En los EML, los tres modos obtuvieron 87,5 % de accuracy, 100,0 % de precisión, 75,0 % de recall y 85,7 % de F1. No lo presentes como producción: son escenarios sintéticos y quedan dos falsos negativos BEC sin enlace.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En rendimiento, presenta solo mejoras medidas: la importación fría de heurísticas bajó un 96,6 % y el arranque de la aplicación un 76,2 %. Las rutas de inferencia variaron menos de un 3 %, por lo que no se atribuye una mejora que no esté respaldada por la medición.</w:t>
      </w:r>
    </w:p>
    <w:p>
      <w:pPr>
        <w:pStyle w:val="Heading1"/>
      </w:pPr>
      <w:r>
        <w:t>6. Preguntas previsibles y respuestas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Pregunta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 breve y defendible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usar deep learning más grande?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corpus y el alcance no lo justificaban. TF-IDF + MLP ofrece rapidez, reproducibilidad y una línea base explicable; la arquitectura permite sustituir el modelo.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ocurre con un correo en inglés?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idioma se detecta por mensaje y se cachea un modelo específico por idioma; no se fija el idioma para toda la sesión.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cliente-servidor?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Sí. Streamlit, extensión y monitor son clientes HTTP; backend_server analiza y mantiene una versión activa por idioma. En local ambos lados están en el mismo equipo, pero siguen siendo procesos y responsabilidades separadas.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¿Cómo evitas falsos positivos?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fusión 20/80 se calibró separadamente; conserva evidencias sobre 70, muestra FP/FN y mantiene la explicación para revisar cada caso.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¿Consulta una blacklist externa?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en la versión actual. Hay comprobaciones locales de dominios, URLs, punycode y acortadores; una reputación online sería una ampliación con dependencia y privacidad adicionales.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seguro cargar joblib?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Solo se cargan artefactos propios y verificados, porque joblib usa deserialización Python. No se deben aceptar modelos arbitrarios.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pasa si Gmail está caído?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detección por texto o EML sigue funcionando contra el backend; Gmail es solo una fuente externa y muestra un error controlado.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guardas todos los correos de entrenamiento?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Para reducir exposición de datos y hacer el artefacto más limpio. Se conservan procedencia y estadísticas, no el texto bruto.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falta para producción?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TLS, autenticación de inferencia, rate limiting, registro compartido si hay réplicas, monitorización y confirmación sobre un corpus real representativo.</w:t>
            </w:r>
          </w:p>
        </w:tc>
      </w:tr>
    </w:tbl>
    <w:p>
      <w:pPr>
        <w:spacing w:after="0"/>
      </w:pPr>
    </w:p>
    <w:p>
      <w:pPr>
        <w:pStyle w:val="Heading1"/>
      </w:pPr>
      <w:r>
        <w:t>7. Cierre</w:t>
      </w:r>
    </w:p>
    <w:p>
      <w:r>
        <w:rPr>
          <w:rFonts w:ascii="Calibri" w:hAnsi="Calibri"/>
          <w:b w:val="0"/>
          <w:i w:val="0"/>
          <w:color w:val="1F2937"/>
          <w:sz w:val="22"/>
        </w:rPr>
        <w:t>Aporta una solución cliente-servidor mantenible: parser seguro, señales especializadas, modelos centrales, explicación y clientes con un contrato común. No sustituye a un producto antispam; demuestra un detector desplegable sin duplicar modelos.</w:t>
      </w:r>
    </w:p>
    <w:p>
      <w:pPr>
        <w:pStyle w:val="Heading1"/>
      </w:pPr>
      <w:r>
        <w:t>8. Checklist de la víspera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Ejecutar la suite automatizada completa y guardar la salida.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Comprobar que backend y web arrancan por separado y que /health muestra las versiones.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Regenerar EVALUATION_REPORT.md y explicar sus errores sin confundir el desafío sintético con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Ensayar el guion con cronómetro y dejar dos minutos de margen.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Memorizar tres límites: sin reputación online, extensión local y necesidad de datos representativos.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Llevar capturas del flujo y de la matriz de confusión como respaldo.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