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01 · MAPA DEL SISTEMA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Flujo y funcionamiento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ocurre desde que entra un correo hasta que se explica el riesgo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Idea general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montaje es cliente-servidor. El navegador usa Streamlit como capa de presentación y Streamlit envía peticiones HTTP/JSON al backend central. La extensión y el monitor también consumen esa API. Solo el servidor parsea, analiza, entrena y guarda los modelos; Gmail y Telegram son integraciones externas.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Frase para la defensa: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Aunque cliente y servidor estén en el mismo ordenador, son procesos separados con un contrato HTTP. Hay una sola versión activa por idioma y todos los clientes la comparten.</w:t>
            </w:r>
          </w:p>
        </w:tc>
      </w:tr>
    </w:tbl>
    <w:p>
      <w:pPr>
        <w:spacing w:after="0"/>
      </w:pPr>
    </w:p>
    <w:p>
      <w:pPr>
        <w:pStyle w:val="Heading1"/>
      </w:pPr>
      <w:r>
        <w:t>2. Flujo completo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Entrada de cliente: la web, la extensión o el monitor envían texto, campos JSON o un EML Base64 al backend; /analyze limita la petición a 16 MiB.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Normalización: se extraen remitente, asunto, cuerpo, HTML, cabeceras completas, URLs, anclas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Señales: se revisan autenticación, coherencia de dominios, URLs, punycode, acortadores, HTML, formularios, lenguaje urgente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Puntuación heurística: RiskScorer pondera las señales activas y produce un riesgo de 0 a 100; ExplanationBuilder conserva el motivo.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Idioma y modelo: EmailAnalysisService detecta español o inglés por mensaje y reutiliza un detector neuronal cacheado por idioma.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Decisión: el modo combinado calcula una media ponderada; el umbral configurado se aplica de forma uniforme en heurístico, neuronal y combinado.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Salida: el backend devuelve clasificación, puntuación, explicación, señales, idioma y versión; el cliente se limita a presentarlos o generar la alerta.</w:t>
      </w:r>
    </w:p>
    <w:p>
      <w:pPr>
        <w:pStyle w:val="Heading1"/>
      </w:pPr>
      <w:r>
        <w:t>3. Piezas y responsabilidades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50"/>
        <w:gridCol w:w="3150"/>
        <w:gridCol w:w="2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Capa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Módulo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Responsabilidad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Resultado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analizador_email.py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Parseo MIME seguro y extracción de partes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 normalizado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Dominio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común para texto, diccionario o EML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CorreoAnalizado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header_signals, url_utils, html_signals, content_signals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Reglas pequeñas y comprobables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Diccionario de señales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backend_client.py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HTTP común sin lógica de detección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Petición/respuesta JSON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Servidor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backend_service.py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Casos de uso, idioma, versiones y administración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Resultado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ML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modelo_neural.py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TF-IDF, MLP, entrenamiento y persistencia del servidor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Probabilidad phishing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Presentación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Streamlit, monitor, extensión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Recoger entrada y mostrar o alertar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UI o alerta</w:t>
            </w:r>
          </w:p>
        </w:tc>
      </w:tr>
    </w:tbl>
    <w:p>
      <w:pPr>
        <w:spacing w:after="0"/>
      </w:pPr>
    </w:p>
    <w:p>
      <w:pPr>
        <w:pStyle w:val="Heading1"/>
      </w:pPr>
      <w:r>
        <w:t>4. Cómo se analiza un EML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parser usa email.parser.BytesParser con una política MIME estándar. Conserva todas las cabeceras repetidas, no solo la última, y serializa las cabeceras originales junto al cuerpo para que SPF, DKIM, DMARC, Received, Return-Path y Message-ID sean visibles a las reglas.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Texto plano: se decodifica respetando el charset declarado y se conserva como cuerpo analizable.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HTML: se guarda separado para revisar formularios, meta refresh, iframes, base href y javascript/data URLs.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Adjuntos: se anotan nombre y tipo sin ejecutar ni abrir contenido potencialmente peligroso.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URLs: se deduplican, se limpian de puntuación y se extraen también de enlaces HTML.</w:t>
      </w:r>
    </w:p>
    <w:p>
      <w:pPr>
        <w:pStyle w:val="Heading1"/>
      </w:pPr>
      <w:r>
        <w:t>5. Monitor y persistencia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monitor consulta Gmail, carga los IDs vistos y procesa solo mensajes nuevos. Cada correo normalizado se envía al backend con RemoteAnalysisService; el monitor no carga modelos. El estado se escribe después de cada mensaje completado mediante fichero temporal y os.replace.</w:t>
      </w:r>
    </w:p>
    <w:p>
      <w:r>
        <w:rPr>
          <w:rFonts w:ascii="Calibri" w:hAnsi="Calibri"/>
          <w:b w:val="0"/>
          <w:i w:val="0"/>
          <w:color w:val="1F2937"/>
          <w:sz w:val="22"/>
        </w:rPr>
        <w:t>Si un EML está corrupto o falla una alerta de Telegram, ese mensaje queda reportado con error y el resto del lote continúa. Un fallo de entrada no se convierte en una caída global del proceso.</w:t>
      </w:r>
    </w:p>
    <w:p>
      <w:pPr>
        <w:pStyle w:val="Heading1"/>
      </w:pPr>
      <w:r>
        <w:t>6. API y extensión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00"/>
        <w:gridCol w:w="2800"/>
        <w:gridCol w:w="22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Endpoint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Entrada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Controles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GET /health y /models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Sin cuerpo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Estado y versiones sin rutas locales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No-store; sin artefactos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/analyze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JSON hasta 16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Riesgo, explicación, idioma y versión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Tipos, tamaño y CORS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/train y /evaluate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CSV serializado hasta 256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Versión y métricas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admin opcional en local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/compare y /models/delete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Configuraciones o idioma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Comparación o confirmación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y límites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La extensión de Gmail no ejecuta Python: recoge el correo visible y lo envía directamente al backend central, por defecto en 127.0.0.1:8766. El proceso del puerto 8765 se conserva únicamente como proxy de compatibilidad y tampoco carga modelos.</w:t>
      </w:r>
    </w:p>
    <w:p>
      <w:pPr>
        <w:pStyle w:val="Heading1"/>
      </w:pPr>
      <w:r>
        <w:t>7. Ejemplo de extremo a extremo</w:t>
      </w:r>
    </w:p>
    <w:p>
      <w:r>
        <w:rPr>
          <w:rFonts w:ascii="Calibri" w:hAnsi="Calibri"/>
          <w:b w:val="0"/>
          <w:i w:val="0"/>
          <w:color w:val="1F2937"/>
          <w:sz w:val="22"/>
        </w:rPr>
        <w:t>1. El usuario abre un correo con asunto urgente y un enlace que aparenta ser de una marca conocida.</w:t>
      </w:r>
    </w:p>
    <w:p>
      <w:r>
        <w:rPr>
          <w:rFonts w:ascii="Calibri" w:hAnsi="Calibri"/>
          <w:b w:val="0"/>
          <w:i w:val="0"/>
          <w:color w:val="1F2937"/>
          <w:sz w:val="22"/>
        </w:rPr>
        <w:t>2. El adaptador extrae From, Subject, cuerpo, anclas y URL.</w:t>
      </w:r>
    </w:p>
    <w:p>
      <w:r>
        <w:rPr>
          <w:rFonts w:ascii="Calibri" w:hAnsi="Calibri"/>
          <w:b w:val="0"/>
          <w:i w:val="0"/>
          <w:color w:val="1F2937"/>
          <w:sz w:val="22"/>
        </w:rPr>
        <w:t>3. Las reglas detectan urgencia, dominio externo, anchor distinto y posible incoherencia de cabeceras.</w:t>
      </w:r>
    </w:p>
    <w:p>
      <w:r>
        <w:rPr>
          <w:rFonts w:ascii="Calibri" w:hAnsi="Calibri"/>
          <w:b w:val="0"/>
          <w:i w:val="0"/>
          <w:color w:val="1F2937"/>
          <w:sz w:val="22"/>
        </w:rPr>
        <w:t>4. El modelo neuronal calcula una probabilidad sobre el texto completo.</w:t>
      </w:r>
    </w:p>
    <w:p>
      <w:r>
        <w:rPr>
          <w:rFonts w:ascii="Calibri" w:hAnsi="Calibri"/>
          <w:b w:val="0"/>
          <w:i w:val="0"/>
          <w:color w:val="1F2937"/>
          <w:sz w:val="22"/>
        </w:rPr>
        <w:t>5. El modo combinado aplica la fusión calibrada 35/65 y el umbral 26; si una evidencia alcanza 70 no se diluye, y la explicación muestra qué señales activaron el riesgo.</w:t>
      </w:r>
    </w:p>
    <w:p>
      <w:r>
        <w:rPr>
          <w:rFonts w:ascii="Calibri" w:hAnsi="Calibri"/>
          <w:b w:val="0"/>
          <w:i w:val="0"/>
          <w:color w:val="1F2937"/>
          <w:sz w:val="22"/>
        </w:rPr>
        <w:t>6. La UI pinta la tarjeta, la extensión la inserta en Gmail y el monitor podría notificar por Telegram.</w:t>
      </w:r>
    </w:p>
    <w:p>
      <w:pPr>
        <w:pStyle w:val="Heading1"/>
      </w:pPr>
      <w:r>
        <w:t>8. Límites que conviene decir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lista de dominios y señales es local; no se afirma que exista reputación online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análisis es apoyo a la decisión, no sustituto de una pasarela antispam ni garantía absoluta.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MLP necesita datos representativos y evaluación separada; una accuracy de entrenamiento no demuestra generalización.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Validación: 87 pruebas Python y 2 recorridos reales de navegador; uno levanta Streamlit y backend por separado y otra prueba local recorre Gmail, HTTP y Telegram. Comprueban comportamiento y arquitectura, no eficacia estadística en producción.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y funcionamiento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