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/>
          <w:b/>
          <w:i w:val="0"/>
          <w:color w:val="B4862C"/>
          <w:sz w:val="20"/>
        </w:rPr>
        <w:t>GUÍA 03 · EXPOSICIÓN ORAL</w:t>
      </w:r>
    </w:p>
    <w:p>
      <w:pPr>
        <w:pStyle w:val="Title"/>
        <w:jc w:val="center"/>
      </w:pPr>
      <w:r>
        <w:rPr>
          <w:rFonts w:ascii="Calibri" w:hAnsi="Calibri"/>
          <w:b/>
          <w:i w:val="0"/>
          <w:color w:val="203748"/>
          <w:sz w:val="60"/>
        </w:rPr>
        <w:t>Guion de defensa</w:t>
      </w:r>
    </w:p>
    <w:p>
      <w:pPr>
        <w:pStyle w:val="Subtitle"/>
        <w:jc w:val="center"/>
      </w:pPr>
      <w:r>
        <w:rPr>
          <w:rFonts w:ascii="Calibri" w:hAnsi="Calibri"/>
          <w:b w:val="0"/>
          <w:i w:val="0"/>
          <w:color w:val="2B5163"/>
          <w:sz w:val="30"/>
        </w:rPr>
        <w:t>Qué decir, qué enseñar y cómo responder preguntas sin sobreprometer</w:t>
      </w:r>
    </w:p>
    <w:p>
      <w:pPr>
        <w:spacing w:before="480"/>
        <w:jc w:val="center"/>
      </w:pPr>
      <w:r>
        <w:rPr>
          <w:rFonts w:ascii="Calibri" w:hAnsi="Calibri"/>
          <w:b w:val="0"/>
          <w:i/>
          <w:color w:val="64748B"/>
          <w:sz w:val="20"/>
        </w:rPr>
        <w:t>Proyecto TFG · versión alineada con el código actual</w:t>
      </w:r>
    </w:p>
    <w:p>
      <w:r>
        <w:br w:type="page"/>
      </w:r>
    </w:p>
    <w:p>
      <w:pPr>
        <w:pStyle w:val="Heading1"/>
      </w:pPr>
      <w:r>
        <w:t>1. Marco de tiempo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Regla práctica: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La regulación pública UEMC del TFG contempla una exposición de hasta 20 minutos y un turno posterior de preguntas; confirma siempre el tiempo exacto indicado por tu centro y convocatoria.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i w:val="0"/>
          <w:color w:val="1F2937"/>
          <w:sz w:val="22"/>
        </w:rPr>
        <w:t>Referencia para preparar la defensa: Reglamento UEMC 5/2024, de 13 de septiembre, de Trabajo Fin de Grado/Fin de Máster, y la ficha pública de la asignatura. El reglamento permite que el centro limite excepcionalmente la exposición a menos de 20 minutos; confirma la convocatoria concreta. La memoria y la defensa deben contar la misma historia: problema, objetivos, método, evidencia y límites.</w:t>
      </w:r>
    </w:p>
    <w:p>
      <w:pPr>
        <w:pStyle w:val="Heading1"/>
      </w:pPr>
      <w:r>
        <w:t>2. Estructura recomendada de 20 minutos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Tiempo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Bloque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Mensaje que debe quedar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0:00–1:00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Apertura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Qué problema resuelvo y qué entrego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1:00–3:00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Motivación y objetivos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El phishing combina señales técnicas y lingüísticas; se necesita apoyo explicable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3:00–5:00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Alcance y requisitos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Texto/EML, heurística, ML, explicación, Gmail, evaluación y límites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5:00–9:00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Arquitectura y flujo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Entradas -&gt; normalización -&gt; señales/modelo -&gt; decisión -&gt; explicación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9:00–12:00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Tecnologías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Por qué Python, Streamlit, scikit-learn, Gmail API y backend central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12:00–15:00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Demostración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Un correo sospechoso, señales activas y resultado combinado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15:00–17:00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Pruebas y resultados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87 pruebas Python, 2 de navegador, calibración, 16 EML y diagnóstico externo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17:00–19:00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Limitaciones y futuro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Qué no hace hoy y qué ampliaría con evidencia</w:t>
            </w:r>
          </w:p>
        </w:tc>
      </w:tr>
      <w:tr>
        <w:trPr>
          <w:cantSplit/>
        </w:trPr>
        <w:tc>
          <w:tcPr>
            <w:tcW w:type="dxa" w:w="1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19:00–20:00</w:t>
            </w:r>
          </w:p>
        </w:tc>
        <w:tc>
          <w:tcPr>
            <w:tcW w:type="dxa" w:w="25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Cierre</w:t>
            </w:r>
          </w:p>
        </w:tc>
        <w:tc>
          <w:tcPr>
            <w:tcW w:type="dxa" w:w="53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Aportación, mantenibilidad y conclusión</w:t>
            </w:r>
          </w:p>
        </w:tc>
      </w:tr>
    </w:tbl>
    <w:p>
      <w:pPr>
        <w:spacing w:after="0"/>
      </w:pPr>
    </w:p>
    <w:p>
      <w:pPr>
        <w:pStyle w:val="Heading1"/>
      </w:pPr>
      <w:r>
        <w:t>3. Texto de apertura</w:t>
      </w:r>
    </w:p>
    <w:p>
      <w:r>
        <w:rPr>
          <w:rFonts w:ascii="Calibri" w:hAnsi="Calibri"/>
          <w:b w:val="0"/>
          <w:i w:val="0"/>
          <w:color w:val="1F2937"/>
          <w:sz w:val="22"/>
        </w:rPr>
        <w:t>Buenos días. Mi TFG presenta un sistema cliente-servidor de apoyo a la detección de phishing. Combina señales inspeccionables —cabeceras, autenticación, dominios, URLs, HTML y lenguaje— con un clasificador TF-IDF más MLP. Devuelve una puntuación y una explicación, no solo una etiqueta.</w:t>
      </w:r>
    </w:p>
    <w:p>
      <w:r>
        <w:rPr>
          <w:rFonts w:ascii="Calibri" w:hAnsi="Calibri"/>
          <w:b w:val="0"/>
          <w:i w:val="0"/>
          <w:color w:val="1F2937"/>
          <w:sz w:val="22"/>
        </w:rPr>
        <w:t>He separado los clientes del núcleo de análisis. Streamlit, la extensión y el monitor envían el correo a un backend central que mantiene una versión por idioma. Así, al cambiar un modelo, todos los clientes usan la nueva versión sin distribuir copias.</w:t>
      </w:r>
    </w:p>
    <w:p>
      <w:pPr>
        <w:pStyle w:val="Heading1"/>
      </w:pPr>
      <w:r>
        <w:t>4. Qué enseñar en la demo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Arrancar el backend, mostrar /health con las versiones y después abrir el cliente web.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Pegar o cargar un EML de ejemplo controlado, evitando enseñar credenciales o datos personales.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Señalar la puntuación, las señales activas, la URL sospechosa y la explicación generada.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Cambiar a modo heurístico para demostrar que el resultado puede auditarse sin modelo.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Mostrar EVALUATION_REPORT.md y EXTERNAL_EVALUATION_REPORT.md: 16 EML, 1.528 textos, hashes, métricas y las advertencias de representatividad/solapamiento.</w:t>
      </w:r>
    </w:p>
    <w:p>
      <w:pPr>
        <w:pStyle w:val="ListNumber"/>
      </w:pPr>
      <w:r>
        <w:rPr>
          <w:rFonts w:ascii="Calibri" w:hAnsi="Calibri"/>
          <w:b w:val="0"/>
          <w:i w:val="0"/>
          <w:color w:val="1F2937"/>
          <w:sz w:val="22"/>
        </w:rPr>
        <w:t>Si el tiempo lo permite, enseñar la extensión llamando a la misma URL del backend.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4F6F9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 xml:space="preserve">Plan B: </w:t>
            </w:r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Lleva las capturas enumeradas en docs/DEFENSE_SCREENSHOTS.md y defense_demo/expected_results.json. Si Gmail u OAuth fallan, usa los EML sintéticos; si el backend no arranca, enseña el bloque health y los dos resultados guardados.</w:t>
            </w:r>
          </w:p>
        </w:tc>
      </w:tr>
    </w:tbl>
    <w:p>
      <w:pPr>
        <w:spacing w:after="0"/>
      </w:pPr>
    </w:p>
    <w:p>
      <w:pPr>
        <w:pStyle w:val="Heading1"/>
      </w:pPr>
      <w:r>
        <w:t>5. Cómo explicar los resultados</w:t>
      </w:r>
    </w:p>
    <w:p>
      <w:r>
        <w:rPr>
          <w:rFonts w:ascii="Calibri" w:hAnsi="Calibri"/>
          <w:b w:val="0"/>
          <w:i w:val="0"/>
          <w:color w:val="1F2937"/>
          <w:sz w:val="22"/>
        </w:rPr>
        <w:t>La calibración usa 40 casos distintos de los 16 EML finales. Tras añadir tres señales BEC bilingües, la rejilla selecciona 35 % heurística, 65 % neuronal, umbral 26 y alta confianza 70. En los EML, el heurístico obtiene 100,0 % de accuracy/recall/F1; el combinado, 93,8 % de accuracy, 88,9 % de precisión, 100,0 % de recall y 94,1 % de F1; y el neuronal, 75,0 % en las cuatro métricas. DIFrauD añade 1.528 textos externos y el combinado alcanza 90,8 % de accuracy y 96,4 % de recall, pero existe riesgo de solapamiento de fuentes. Ninguna cifra debe presentarse como producción.</w:t>
      </w:r>
    </w:p>
    <w:p>
      <w:r>
        <w:rPr>
          <w:rFonts w:ascii="Calibri" w:hAnsi="Calibri"/>
          <w:b w:val="0"/>
          <w:i w:val="0"/>
          <w:color w:val="1F2937"/>
          <w:sz w:val="22"/>
        </w:rPr>
        <w:t>En rendimiento, presenta solo mejoras medidas: la importación fría de heurísticas bajó un 96,6 % y el arranque de la aplicación un 76,2 %. Las rutas de inferencia variaron menos de un 3 %, por lo que no se atribuye una mejora que no esté respaldada por la medición.</w:t>
      </w:r>
    </w:p>
    <w:p>
      <w:pPr>
        <w:pStyle w:val="Heading1"/>
      </w:pPr>
      <w:r>
        <w:t>6. Preguntas previsibles y respuestas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Pregunta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E8EEF5"/>
          </w:tcPr>
          <w:p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Respuesta breve y defendible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¿Por qué no usar deep learning más grande?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El corpus y el alcance no lo justificaban. TF-IDF + MLP ofrece rapidez, reproducibilidad y una línea base explicable; la arquitectura permite sustituir el modelo.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¿Qué ocurre con un correo en inglés?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El idioma se detecta por mensaje y se cachea un modelo específico por idioma; no se fija el idioma para toda la sesión.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¿Es cliente-servidor?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Sí. Streamlit, extensión y monitor son clientes HTTP; backend_server analiza y mantiene una versión activa por idioma. En local ambos lados están en el mismo equipo, pero siguen siendo procesos y responsabilidades separadas.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¿Cómo evitas falsos positivos?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La fusión 35/65 y el umbral 26 se calibraron separadamente; conserva evidencias sobre 70, muestra FP/FN y mantiene la explicación para revisar cada caso.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¿Consulta una blacklist externa?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No en la versión actual. Hay comprobaciones locales de dominios, URLs, punycode y acortadores; una reputación online sería una ampliación con dependencia y privacidad adicionales.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¿Es seguro cargar joblib?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Solo se cargan artefactos propios y verificados, porque joblib usa deserialización Python. No se deben aceptar modelos arbitrarios.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¿Qué pasa si Gmail está caído?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La detección por texto o EML sigue funcionando contra el backend; Gmail es solo una fuente externa y muestra un error controlado.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¿Por qué no guardas todos los correos de entrenamiento?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Para reducir exposición de datos y hacer el artefacto más limpio. Se conservan procedencia y estadísticas, no el texto bruto.</w:t>
            </w:r>
          </w:p>
        </w:tc>
      </w:tr>
      <w:tr>
        <w:trPr>
          <w:cantSplit/>
        </w:trPr>
        <w:tc>
          <w:tcPr>
            <w:tcW w:type="dxa" w:w="330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¿Qué falta para producción?</w:t>
            </w:r>
          </w:p>
        </w:tc>
        <w:tc>
          <w:tcPr>
            <w:tcW w:type="dxa" w:w="6060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2"/>
              </w:rPr>
              <w:t>TLS, autenticación de inferencia, rate limiting, registro compartido si hay réplicas, monitorización y confirmación sobre un corpus real reciente, bilingüe e independiente.</w:t>
            </w:r>
          </w:p>
        </w:tc>
      </w:tr>
    </w:tbl>
    <w:p>
      <w:pPr>
        <w:spacing w:after="0"/>
      </w:pPr>
    </w:p>
    <w:p>
      <w:pPr>
        <w:pStyle w:val="Heading1"/>
      </w:pPr>
      <w:r>
        <w:t>7. Cierre</w:t>
      </w:r>
    </w:p>
    <w:p>
      <w:r>
        <w:rPr>
          <w:rFonts w:ascii="Calibri" w:hAnsi="Calibri"/>
          <w:b w:val="0"/>
          <w:i w:val="0"/>
          <w:color w:val="1F2937"/>
          <w:sz w:val="22"/>
        </w:rPr>
        <w:t>Aporta una solución cliente-servidor mantenible: parser seguro, señales especializadas, modelos centrales, explicación y clientes con un contrato común. No sustituye a un producto antispam; demuestra un detector desplegable sin duplicar modelos.</w:t>
      </w:r>
    </w:p>
    <w:p>
      <w:pPr>
        <w:pStyle w:val="Heading1"/>
      </w:pPr>
      <w:r>
        <w:t>8. Checklist de la víspera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Ejecutar la suite automatizada completa y guardar la salida.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Comprobar que backend y web arrancan por separado y que /health muestra las versiones.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Regenerar EVALUATION_REPORT.md y explicar sus errores sin confundir el desafío sintético con producción.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Ensayar el guion con cronómetro y dejar dos minutos de margen.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Memorizar tres límites: sin reputación online, extensión local y necesidad de datos representativos.</w:t>
      </w:r>
    </w:p>
    <w:p>
      <w:pPr>
        <w:pStyle w:val="ListBullet"/>
      </w:pPr>
      <w:r>
        <w:rPr>
          <w:rFonts w:ascii="Calibri" w:hAnsi="Calibri"/>
          <w:b w:val="0"/>
          <w:i w:val="0"/>
          <w:color w:val="1F2937"/>
          <w:sz w:val="22"/>
        </w:rPr>
        <w:t>Llevar capturas del flujo y de la matriz de confusión como respaldo.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48B"/>
        <w:sz w:val="18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64748B"/>
        <w:sz w:val="18"/>
      </w:rPr>
      <w:t>TFG · Guía de defensa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2B516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Guion de defensa · TFG Phishing</dc:title>
  <dc:subject>Preparación de defensa del TFG</dc:subject>
  <dc:creator>Proyecto TFG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