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B4862C"/>
          <w:sz w:val="20"/>
        </w:rPr>
        <w:t>GUÍA 01 · MAPA DEL SISTEMA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203748"/>
          <w:sz w:val="60"/>
        </w:rPr>
        <w:t>Flujo y funcionamiento</w:t>
      </w:r>
    </w:p>
    <w:p>
      <w:pPr>
        <w:pStyle w:val="Subtitle"/>
        <w:jc w:val="center"/>
      </w:pPr>
      <w:r>
        <w:rPr>
          <w:rFonts w:ascii="Calibri" w:hAnsi="Calibri"/>
          <w:b w:val="0"/>
          <w:i w:val="0"/>
          <w:color w:val="2B5163"/>
          <w:sz w:val="30"/>
        </w:rPr>
        <w:t>Qué ocurre desde que entra un correo hasta que se explica el riesgo</w:t>
      </w:r>
    </w:p>
    <w:p>
      <w:pPr>
        <w:spacing w:before="480"/>
        <w:jc w:val="center"/>
      </w:pPr>
      <w:r>
        <w:rPr>
          <w:rFonts w:ascii="Calibri" w:hAnsi="Calibri"/>
          <w:b w:val="0"/>
          <w:i/>
          <w:color w:val="64748B"/>
          <w:sz w:val="20"/>
        </w:rPr>
        <w:t>Proyecto TFG · versión alineada con el código actual</w:t>
      </w:r>
    </w:p>
    <w:p>
      <w:r>
        <w:br w:type="page"/>
      </w:r>
    </w:p>
    <w:p>
      <w:pPr>
        <w:pStyle w:val="Heading1"/>
      </w:pPr>
      <w:r>
        <w:t>1. Idea general</w:t>
      </w:r>
    </w:p>
    <w:p>
      <w:r>
        <w:rPr>
          <w:rFonts w:ascii="Calibri" w:hAnsi="Calibri"/>
          <w:b w:val="0"/>
          <w:i w:val="0"/>
          <w:color w:val="1F2937"/>
          <w:sz w:val="22"/>
        </w:rPr>
        <w:t>El montaje es cliente-servidor. El navegador usa Streamlit como capa de presentación y Streamlit envía peticiones HTTP/JSON al backend central. La extensión y el monitor también consumen esa API. Solo el servidor parsea, analiza, entrena y guarda los modelos; Gmail y Telegram son integraciones externas. La web comparte una interfaz adaptable con navegación de marca, estados homogéneos y un flujo de detección ordenado en tres pasos.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Frase para la defensa: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Aunque cliente y servidor estén en el mismo ordenador, son procesos separados con un contrato HTTP y comparten una versión activa por idioma. Para la demo móvil, mantén el backend en 127.0.0.1:8766 e inicia Streamlit con --server.address 0.0.0.0 --server.port 8501; el móvil usa la IP privada. Es acceso temporal a una LAN de confianza, no Internet, y la web no tiene autenticación multiusuario.</w:t>
            </w:r>
          </w:p>
        </w:tc>
      </w:tr>
    </w:tbl>
    <w:p>
      <w:pPr>
        <w:spacing w:after="0"/>
      </w:pPr>
    </w:p>
    <w:p>
      <w:pPr>
        <w:pStyle w:val="Heading1"/>
      </w:pPr>
      <w:r>
        <w:t>2. Flujo completo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Entrada de cliente: la web, la extensión o el monitor envían texto, campos JSON o un EML Base64 al backend; /analyze limita la petición a 16 MiB.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Normalización: se extraen remitente, asunto, cuerpo, HTML, cabeceras completas, URLs, anclas y adjuntos.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Señales: se revisan autenticación, coherencia de dominios, URLs, punycode, acortadores, HTML, formularios, lenguaje urgente y adjuntos.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Puntuación heurística: RiskScorer pondera las señales activas y produce un riesgo de 0 a 100; ExplanationBuilder conserva el motivo.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Idioma y modelo: EmailAnalysisService detecta español o inglés por mensaje y reutiliza un detector neuronal cacheado por idioma.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Decisión: el modo combinado calcula una media ponderada; el umbral configurado se aplica de forma uniforme en heurístico, neuronal y combinado.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Salida: el backend devuelve clasificación, puntuación, explicación, señales, idioma y versión; el cliente se limita a presentarlos o generar la alerta.</w:t>
      </w:r>
    </w:p>
    <w:p>
      <w:pPr>
        <w:pStyle w:val="Heading1"/>
      </w:pPr>
      <w:r>
        <w:t>3. Piezas y responsabilidades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50"/>
        <w:gridCol w:w="3150"/>
        <w:gridCol w:w="23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Capa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Módulo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Responsabilidad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Resultado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Entrada</w:t>
            </w:r>
          </w:p>
        </w:tc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analizador_email.py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Parseo MIME seguro y extracción de partes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Correo normalizado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Dominio</w:t>
            </w:r>
          </w:p>
        </w:tc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correo.py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Contrato común para texto, diccionario o EML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CorreoAnalizado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Señales</w:t>
            </w:r>
          </w:p>
        </w:tc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header_signals, url_utils, html_signals, content_signals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Reglas pequeñas y comprobables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Diccionario de señales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Cliente</w:t>
            </w:r>
          </w:p>
        </w:tc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backend_client.py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Contrato HTTP común sin lógica de detección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Petición/respuesta JSON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Servidor</w:t>
            </w:r>
          </w:p>
        </w:tc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backend_service.py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Casos de uso, idioma, versiones y administración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Resultado central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ML</w:t>
            </w:r>
          </w:p>
        </w:tc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modelo_neural.py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TF-IDF, MLP, entrenamiento y persistencia del servidor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Probabilidad phishing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Presentación</w:t>
            </w:r>
          </w:p>
        </w:tc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Streamlit, monitor, extensión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Recoger entrada y mostrar o alertar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UI o alerta</w:t>
            </w:r>
          </w:p>
        </w:tc>
      </w:tr>
    </w:tbl>
    <w:p>
      <w:pPr>
        <w:spacing w:after="0"/>
      </w:pPr>
    </w:p>
    <w:p>
      <w:pPr>
        <w:pStyle w:val="Heading1"/>
      </w:pPr>
      <w:r>
        <w:t>4. Cómo se analiza un EML</w:t>
      </w:r>
    </w:p>
    <w:p>
      <w:r>
        <w:rPr>
          <w:rFonts w:ascii="Calibri" w:hAnsi="Calibri"/>
          <w:b w:val="0"/>
          <w:i w:val="0"/>
          <w:color w:val="1F2937"/>
          <w:sz w:val="22"/>
        </w:rPr>
        <w:t>El parser usa email.parser.BytesParser con una política MIME estándar. Conserva todas las cabeceras repetidas, no solo la última, y serializa las cabeceras originales junto al cuerpo. SPF, DKIM y DMARC se interpretan únicamente desde Received-SPF, Authentication-Results, ARC-Authentication-Results y DKIM-Signature: el prototipo no consulta DNS, no recupera claves públicas y no realiza una validación criptográfica completa.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Texto plano: se decodifica respetando el charset declarado y se conserva como cuerpo analizable.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HTML: se guarda separado para revisar formularios, meta refresh, iframes, base href y javascript/data URLs.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Adjuntos: se anotan nombre y tipo sin ejecutar ni abrir contenido potencialmente peligroso.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URLs: se deduplican, se limpian de puntuación y se extraen también de enlaces HTML.</w:t>
      </w:r>
    </w:p>
    <w:p>
      <w:pPr>
        <w:pStyle w:val="Heading1"/>
      </w:pPr>
      <w:r>
        <w:t>5. Monitor y persistencia</w:t>
      </w:r>
    </w:p>
    <w:p>
      <w:r>
        <w:rPr>
          <w:rFonts w:ascii="Calibri" w:hAnsi="Calibri"/>
          <w:b w:val="0"/>
          <w:i w:val="0"/>
          <w:color w:val="1F2937"/>
          <w:sz w:val="22"/>
        </w:rPr>
        <w:t>El monitor consulta Gmail, carga los IDs vistos y procesa solo mensajes nuevos. Cada correo normalizado se envía al backend con RemoteAnalysisService; el monitor no carga modelos. El estado se escribe después de cada mensaje completado mediante fichero temporal y os.replace.</w:t>
      </w:r>
    </w:p>
    <w:p>
      <w:r>
        <w:rPr>
          <w:rFonts w:ascii="Calibri" w:hAnsi="Calibri"/>
          <w:b w:val="0"/>
          <w:i w:val="0"/>
          <w:color w:val="1F2937"/>
          <w:sz w:val="22"/>
        </w:rPr>
        <w:t>Si un EML está corrupto o falla una alerta de Telegram, ese mensaje queda reportado con error y el resto del lote continúa. Un fallo de entrada no se convierte en una caída global del proceso.</w:t>
      </w:r>
    </w:p>
    <w:p>
      <w:pPr>
        <w:pStyle w:val="Heading1"/>
      </w:pPr>
      <w:r>
        <w:t>6. API y extensión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2800"/>
        <w:gridCol w:w="22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Endpoint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Entrada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Respuesta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Controles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GET /health y /models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Sin cuerpo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Estado y versiones sin rutas locales</w:t>
            </w:r>
          </w:p>
        </w:tc>
        <w:tc>
          <w:tcPr>
            <w:tcW w:type="dxa" w:w="22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No-store; sin artefactos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POST /analyze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JSON hasta 16 MiB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Riesgo, explicación, idioma y versión</w:t>
            </w:r>
          </w:p>
        </w:tc>
        <w:tc>
          <w:tcPr>
            <w:tcW w:type="dxa" w:w="22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Tipos, tamaño y CORS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POST /train y /evaluate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CSV serializado hasta 256 MiB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Versión y métricas</w:t>
            </w:r>
          </w:p>
        </w:tc>
        <w:tc>
          <w:tcPr>
            <w:tcW w:type="dxa" w:w="22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Token admin opcional en local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POST /compare y /models/delete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Configuraciones o idioma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Comparación o confirmación</w:t>
            </w:r>
          </w:p>
        </w:tc>
        <w:tc>
          <w:tcPr>
            <w:tcW w:type="dxa" w:w="22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Token y límites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F2937"/>
          <w:sz w:val="22"/>
        </w:rPr>
        <w:t>La extensión de Gmail no ejecuta Python: recoge el correo visible y lo envía directamente al backend central, por defecto en 127.0.0.1:8766. El proceso del puerto 8765 se conserva únicamente como proxy de compatibilidad y tampoco carga modelos.</w:t>
      </w:r>
    </w:p>
    <w:p>
      <w:pPr>
        <w:pStyle w:val="Heading1"/>
      </w:pPr>
      <w:r>
        <w:t>7. Ejemplo de extremo a extremo</w:t>
      </w:r>
    </w:p>
    <w:p>
      <w:r>
        <w:rPr>
          <w:rFonts w:ascii="Calibri" w:hAnsi="Calibri"/>
          <w:b w:val="0"/>
          <w:i w:val="0"/>
          <w:color w:val="1F2937"/>
          <w:sz w:val="22"/>
        </w:rPr>
        <w:t>1. El usuario abre un correo con asunto urgente y un enlace que aparenta ser de una marca conocida.</w:t>
      </w:r>
    </w:p>
    <w:p>
      <w:r>
        <w:rPr>
          <w:rFonts w:ascii="Calibri" w:hAnsi="Calibri"/>
          <w:b w:val="0"/>
          <w:i w:val="0"/>
          <w:color w:val="1F2937"/>
          <w:sz w:val="22"/>
        </w:rPr>
        <w:t>2. El adaptador extrae From, Subject, cuerpo, anclas y URL.</w:t>
      </w:r>
    </w:p>
    <w:p>
      <w:r>
        <w:rPr>
          <w:rFonts w:ascii="Calibri" w:hAnsi="Calibri"/>
          <w:b w:val="0"/>
          <w:i w:val="0"/>
          <w:color w:val="1F2937"/>
          <w:sz w:val="22"/>
        </w:rPr>
        <w:t>3. Las reglas detectan urgencia, dominio externo, anchor distinto y posible incoherencia de cabeceras.</w:t>
      </w:r>
    </w:p>
    <w:p>
      <w:r>
        <w:rPr>
          <w:rFonts w:ascii="Calibri" w:hAnsi="Calibri"/>
          <w:b w:val="0"/>
          <w:i w:val="0"/>
          <w:color w:val="1F2937"/>
          <w:sz w:val="22"/>
        </w:rPr>
        <w:t>4. El modelo neuronal calcula una probabilidad sobre el texto completo.</w:t>
      </w:r>
    </w:p>
    <w:p>
      <w:r>
        <w:rPr>
          <w:rFonts w:ascii="Calibri" w:hAnsi="Calibri"/>
          <w:b w:val="0"/>
          <w:i w:val="0"/>
          <w:color w:val="1F2937"/>
          <w:sz w:val="22"/>
        </w:rPr>
        <w:t>5. El modo combinado aplica la fusión calibrada 35/65 y el umbral 26; si una evidencia alcanza 70 no se diluye, y la explicación muestra qué señales activaron el riesgo.</w:t>
      </w:r>
    </w:p>
    <w:p>
      <w:r>
        <w:rPr>
          <w:rFonts w:ascii="Calibri" w:hAnsi="Calibri"/>
          <w:b w:val="0"/>
          <w:i w:val="0"/>
          <w:color w:val="1F2937"/>
          <w:sz w:val="22"/>
        </w:rPr>
        <w:t>6. La UI pinta la tarjeta, la extensión la inserta en Gmail y el monitor podría notificar por Telegram.</w:t>
      </w:r>
    </w:p>
    <w:p>
      <w:pPr>
        <w:pStyle w:val="Heading1"/>
      </w:pPr>
      <w:r>
        <w:t>8. Límites que conviene decir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 lista de dominios y señales es local; no se afirma que exista reputación online en tiempo real.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El análisis apoya decisiones y las 87 pruebas más 2 recorridos validan el flujo, no la eficacia en producción; el MLP requiere datos representativos y evaluación separada.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8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</w:rPr>
      <w:t>TFG · Guía de defensa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2B516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y funcionamiento · TFG Phishing</dc:title>
  <dc:subject>Preparación de defensa del TFG</dc:subject>
  <dc:creator>Proyecto TFG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