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HTTP. Hay una sola versión activa por idioma y todos los clientes la comparten.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 para que SPF, DKIM, DMARC, Received, Return-Path y Message-ID sean visibles a las reglas.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pondera ambos resultados y aplica el umbral;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es apoyo a la decisión, no sustituto de una pasarela antispam ni garantía absoluta.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MLP necesita datos representativos y evaluación separada; una accuracy de entrenamiento no demuestra generalización.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Validación: 72 pruebas Python y 2 recorridos reales de navegador; uno levanta Streamlit y backend por separado. Comprueban comportamiento y arquitectura, no eficacia estadística en producción.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