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02 · DECISIONES TÉCNICAS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Tecnologías y decisiones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Cómo funciona cada elección y cómo justificarla frente a alternativas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Criterio de selección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La arquitectura prioriza reproducibilidad local, facilidad de defensa, separación de responsabilidades y coste operativo bajo. Las decisiones no intentan convertir el TFG en un servicio de producción multiusuario: delimitan un detector demostrable, auditable y extensible.</w:t>
      </w:r>
    </w:p>
    <w:p>
      <w:pPr>
        <w:pStyle w:val="Heading1"/>
      </w:pPr>
      <w:r>
        <w:t>2. Comparativa de tecnologías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800"/>
        <w:gridCol w:w="25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Tecnología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se usa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Por qué se elige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Alternativa y límite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Python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Integra parser, reglas, ML, API y automatizaciones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Ecosistema científico, lectura clara y buena trazabilidad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Java/Node serían válidos; añadirían complejidad para este alcance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 web y capa de presentación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Permite validar el flujo cliente-servidor con poco código de interfaz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React daría comunicación navegador-API directa, pero exigiría otro stack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 vectoriza y MLPClassifier clasifica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Pipeline reproducible, API madura y métricas estándar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 sería más flexible para deep learning, pero sobredimensionado para texto tabular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Convierte palabras y bigramas en variables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Explicable, rápido y adecuado para corpus moderados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Transformers mejorarían contexto, con más coste y menor explicabilidad local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 estándar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Parsea MIME y cabeceras EML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añade dependencia para la parte esencial del formato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Librerías externas pueden aportar atajos, pero no son necesarias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BeautifulSoup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Inspecciona HTML y formularios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Tolera HTML imperfecto de correos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 regex puro sería frágil; un navegador sería inseguro e innecesario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Gmail API + OAuth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Obtiene mensajes con consentimiento del usuario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Permisos oficiales y flujo revocable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IMAP sería más genérico, pero no aporta el mismo control API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HTTP stdlib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Expone análisis y administración central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Cero framework extra, contrato pequeño y fácil de auditar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FastAPI facilitaría OpenAPI y escalado; no es necesario para el prototipo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joblib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Persiste pipeline TF-IDF + MLP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Guarda vectorizador y modelo como una unidad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ONNX sería más portable; exige conversión y no elimina el requisito de confiar en artefactos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unittest + Ruff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 comportamiento y calidad estática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Incluidos en Python y rápidos en CI/local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pytest aporta fixtures más ricas; el conjunto actual es suficiente y directo</w:t>
            </w:r>
          </w:p>
        </w:tc>
      </w:tr>
    </w:tbl>
    <w:p>
      <w:pPr>
        <w:spacing w:after="0"/>
      </w:pPr>
    </w:p>
    <w:p>
      <w:pPr>
        <w:pStyle w:val="Heading1"/>
      </w:pPr>
      <w:r>
        <w:t>3. Por qué dos modelos lingüísticos</w:t>
      </w:r>
    </w:p>
    <w:p>
      <w:r>
        <w:rPr>
          <w:rFonts w:ascii="Calibri" w:hAnsi="Calibri"/>
          <w:b w:val="0"/>
          <w:i w:val="0"/>
          <w:color w:val="1F2937"/>
          <w:sz w:val="22"/>
        </w:rPr>
        <w:t>El detector identifica idioma por mensaje, no por sesión. Mantiene un modelo español y otro inglés porque las palabras, stopwords y corpus tienen distribuciones distintas. EmailAnalysisService cachea un detector por idioma para combinar corrección con rendimiento.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Respuesta breve: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alternativa de un único modelo multilingüe simplificaría ficheros, pero mezclaría vocabularios y haría más difícil justificar qué datos explican cada predicción.</w:t>
            </w:r>
          </w:p>
        </w:tc>
      </w:tr>
    </w:tbl>
    <w:p>
      <w:pPr>
        <w:spacing w:after="0"/>
      </w:pPr>
    </w:p>
    <w:p>
      <w:pPr>
        <w:pStyle w:val="Heading1"/>
      </w:pPr>
      <w:r>
        <w:t>4. SOLID aplicado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Principio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Aplicación en el código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Beneficio demostrable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Responsabilidad única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Parser, señales, scorer, explicaciones, ML, monitor y transporte están separados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cambio en URLs no obliga a tocar Gmail o Streamlit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Abierto/cerrado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EmailAnalysisService recibe analyzer, detector loader y detector de idioma inyectables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prueban estrategias y se añaden modelos sin reescribir el coordinador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Sustitución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Los consumidores dependen de BackendClient o su protocolo mínimo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Web, extensión y monitor consumen el mismo contrato HTTP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Segregación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almacenamiento, el análisis y el transporte tienen superficies pequeñas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Cada prueba necesita solo la interfaz que utiliza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Inversión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NeuralModelTrainer depende de ModelStorage, no de una ruta fija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Facilita memoria, disco y dobles de prueba</w:t>
            </w:r>
          </w:p>
        </w:tc>
      </w:tr>
    </w:tbl>
    <w:p>
      <w:pPr>
        <w:spacing w:after="0"/>
      </w:pPr>
    </w:p>
    <w:p>
      <w:pPr>
        <w:pStyle w:val="Heading1"/>
      </w:pPr>
      <w:r>
        <w:t>5. Decisiones de seguridad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parser limita EML a 10 MiB; /analyze admite 16 MiB y las rutas de datasets 256 MiB con Content-Length obligatorio.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API no acepta CORS *; permite Gmail y orígenes chrome-extension://, y no devuelve trazas internas.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Streamlit y el backend escuchan en loopback; --allow-remote exige un token administrativo de al menos 24 caracteres y los clientes exigen HTTPS para destinos remotos.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modelo no ejecuta archivos adjuntos; solo registra metadatos y señales.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Los nuevos joblib no conservan textos brutos de entrenamiento. Los modelos antiguos se sanean al cargarse y guardarse con el formato actual.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Credenciales, tokens, estados y artefactos temporales de QA se mantienen fuera del índice Git mediante .gitignore.</w:t>
      </w:r>
    </w:p>
    <w:p>
      <w:pPr>
        <w:pStyle w:val="Heading1"/>
      </w:pPr>
      <w:r>
        <w:t>6. Reproducibilidad y evaluación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Los hiperparámetros se concentran en HiperparametrosModelo. El cliente los envía con los CSV y el backend entrena desde cero, registra procedencia, guarda atómicamente e invalida la versión cacheada. El desafío bilingüe de 40 casos se creó tras congelar modelos; es regresión controlada, no producción.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El benchmark reproducible separa arranque e inferencia. La carga diferida redujo la importación fría de heurísticas de 1098,5 ms a 37,0 ms y el arranque de la aplicación de 1326,6 ms a 315,1 ms, mientras que la inferencia se mantuvo estable dentro de una variación de ±3 %.</w:t>
      </w:r>
    </w:p>
    <w:p>
      <w:r>
        <w:rPr>
          <w:rFonts w:ascii="Calibri" w:hAnsi="Calibri"/>
          <w:b w:val="0"/>
          <w:i w:val="0"/>
          <w:color w:val="1F2937"/>
          <w:sz w:val="22"/>
        </w:rPr>
        <w:t>La validación automatizada reúne 72 pruebas Python y 2 pruebas con Chromium. GitHub Actions instala versiones fijadas, ejecuta Ruff, regenera la evaluación y comprueba el intercambio real web-backend. OAuth real usa una lista E2E separada porque sus credenciales no pueden entrar en CI.</w:t>
      </w:r>
    </w:p>
    <w:p>
      <w:pPr>
        <w:pStyle w:val="Heading1"/>
      </w:pPr>
      <w:r>
        <w:t>7. Diferencias con la propuesta inicial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000"/>
        <w:gridCol w:w="3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Propuesta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Implementación actual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explicarlo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 MLP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eligió una red suficiente para el corpus y más reproducible/ligera en el entorno académico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Blacklists/reputación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 locales de dominio, URL, punycode y acortadores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evita depender de red externa y se mantiene privacidad; reputación online queda como extensión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Certificados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se inspecciona TLS desde el correo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EML no prueba por sí mismo el certificado del destino; se prioriza análisis estático seguro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Interfaz simple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 como cliente de una API central obligatoria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interfaz sigue siendo simple y todos los canales comparten los modelos del servidor</w:t>
            </w:r>
          </w:p>
        </w:tc>
      </w:tr>
    </w:tbl>
    <w:p>
      <w:pPr>
        <w:spacing w:after="0"/>
      </w:pPr>
    </w:p>
    <w:p>
      <w:pPr>
        <w:pStyle w:val="Heading1"/>
      </w:pPr>
      <w:r>
        <w:t>8. Qué no prometer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decir que se consulta una blacklist online si no se ha configurado una fuente externa.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presentar el accuracy de entrenamiento como precisión en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llamar a la extensión un producto publicado: se carga en modo desarrollador y consume el backend central configurado.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Tecnologías y decisiones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