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ciaara-11-v2.1-documentação-da-migração"/>
    <w:p>
      <w:pPr>
        <w:pStyle w:val="Heading1"/>
      </w:pPr>
      <w:r>
        <w:t xml:space="preserve">CIAARA-11 v2.1 — Documentação da Migração</w:t>
      </w:r>
    </w:p>
    <w:bookmarkStart w:id="20" w:name="nota-de-migração-v2.1"/>
    <w:p>
      <w:pPr>
        <w:pStyle w:val="Heading2"/>
      </w:pPr>
      <w:r>
        <w:t xml:space="preserve">Nota de migração (v2.1)</w:t>
      </w:r>
    </w:p>
    <w:p>
      <w:pPr>
        <w:pStyle w:val="FirstParagraph"/>
      </w:pPr>
      <w:r>
        <w:t xml:space="preserve">Esta pasta é a suíte de documentação da</w:t>
      </w:r>
      <w:r>
        <w:t xml:space="preserve"> </w:t>
      </w:r>
      <w:r>
        <w:rPr>
          <w:bCs/>
          <w:b/>
        </w:rPr>
        <w:t xml:space="preserve">Versão 2.1</w:t>
      </w:r>
      <w:r>
        <w:t xml:space="preserve"> </w:t>
      </w:r>
      <w:r>
        <w:t xml:space="preserve">do sistema de gestão acadêmica do CIAARA-11 (Divisão de Administração Acadêmica do Centro de Instrução e Adestramento Almirante Radler de Aquino, Marinha do Brasil). A v2.1 é</w:t>
      </w:r>
      <w:r>
        <w:t xml:space="preserve"> </w:t>
      </w:r>
      <w:r>
        <w:rPr>
          <w:bCs/>
          <w:b/>
        </w:rPr>
        <w:t xml:space="preserve">uma migração de plataforma, e nada além disso</w:t>
      </w:r>
      <w:r>
        <w:t xml:space="preserve">: o sistema da v2.0 — hoje em produção sobre Google Apps Script + Google Sheets, com 39 ciclos Spec Kit executados e a base já saneada — é reimplantado sobre</w:t>
      </w:r>
      <w:r>
        <w:t xml:space="preserve"> </w:t>
      </w:r>
      <w:r>
        <w:rPr>
          <w:bCs/>
          <w:b/>
        </w:rPr>
        <w:t xml:space="preserve">Next.js 15 (App Router, React 19, TypeScript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strict</w:t>
      </w:r>
      <w:r>
        <w:rPr>
          <w:bCs/>
          <w:b/>
        </w:rPr>
        <w:t xml:space="preserve">) + Supabase (PostgreSQL, Auth, RLS)</w:t>
      </w:r>
      <w:r>
        <w:t xml:space="preserve">, hospedado na Vercel. Requisitos, regras de negócio e vocabulário institucional permanecem</w:t>
      </w:r>
      <w:r>
        <w:t xml:space="preserve"> </w:t>
      </w:r>
      <w:r>
        <w:rPr>
          <w:bCs/>
          <w:b/>
        </w:rPr>
        <w:t xml:space="preserve">intactos</w:t>
      </w:r>
      <w:r>
        <w:t xml:space="preserve">; muda o substrato técnico. A decisão é de</w:t>
      </w:r>
      <w:r>
        <w:t xml:space="preserve"> </w:t>
      </w:r>
      <w:r>
        <w:rPr>
          <w:bCs/>
          <w:b/>
        </w:rPr>
        <w:t xml:space="preserve">Bernardo Villas Bôas dos Santos, Primeiro-Tenente</w:t>
      </w:r>
      <w:r>
        <w:t xml:space="preserve">, arquiteto/desenvolvedor responsável, em</w:t>
      </w:r>
      <w:r>
        <w:t xml:space="preserve"> </w:t>
      </w:r>
      <w:r>
        <w:rPr>
          <w:bCs/>
          <w:b/>
        </w:rPr>
        <w:t xml:space="preserve">25/08/2026</w:t>
      </w:r>
      <w:r>
        <w:t xml:space="preserve">. Não há funcionalidade nova de negócio nesta versão: o valor entregue é a plataforma — integridade referencial, transações, segurança no dado (RLS), deep-link por tela, ambiente de teste por branch e tipos verificados em compilação.</w:t>
      </w:r>
    </w:p>
    <w:p>
      <w:pPr>
        <w:pStyle w:val="BodyText"/>
      </w:pPr>
      <w:r>
        <w:rPr>
          <w:bCs/>
          <w:b/>
        </w:rPr>
        <w:t xml:space="preserve">Regra que governa tudo aqui:</w:t>
      </w:r>
      <w:r>
        <w:t xml:space="preserve"> </w:t>
      </w:r>
      <w:r>
        <w:t xml:space="preserve">a v2.1</w:t>
      </w:r>
      <w:r>
        <w:t xml:space="preserve"> </w:t>
      </w:r>
      <w:r>
        <w:rPr>
          <w:bCs/>
          <w:b/>
        </w:rPr>
        <w:t xml:space="preserve">não reinventa o domínio</w:t>
      </w:r>
      <w:r>
        <w:t xml:space="preserve">. Todo</w:t>
      </w:r>
      <w:r>
        <w:t xml:space="preserve"> </w:t>
      </w:r>
      <w:r>
        <w:rPr>
          <w:rStyle w:val="VerbatimChar"/>
        </w:rPr>
        <w:t xml:space="preserve">RF-</w:t>
      </w:r>
      <w:r>
        <w:t xml:space="preserve">,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RNF-</w:t>
      </w:r>
      <w:r>
        <w:t xml:space="preserve"> </w:t>
      </w:r>
      <w:r>
        <w:t xml:space="preserve">da v2.0 tem destino explícito —</w:t>
      </w:r>
      <w:r>
        <w:t xml:space="preserve"> </w:t>
      </w:r>
      <w:r>
        <w:rPr>
          <w:iCs/>
          <w:i/>
        </w:rPr>
        <w:t xml:space="preserve">preservado</w:t>
      </w:r>
      <w:r>
        <w:t xml:space="preserve">,</w:t>
      </w:r>
      <w:r>
        <w:t xml:space="preserve"> </w:t>
      </w:r>
      <w:r>
        <w:rPr>
          <w:iCs/>
          <w:i/>
        </w:rPr>
        <w:t xml:space="preserve">preservado com nova implementação</w:t>
      </w:r>
      <w:r>
        <w:t xml:space="preserve">,</w:t>
      </w:r>
      <w:r>
        <w:t xml:space="preserve"> </w:t>
      </w:r>
      <w:r>
        <w:rPr>
          <w:iCs/>
          <w:i/>
        </w:rPr>
        <w:t xml:space="preserve">absorvido pela plataforma</w:t>
      </w:r>
      <w:r>
        <w:t xml:space="preserve"> </w:t>
      </w:r>
      <w:r>
        <w:t xml:space="preserve">ou</w:t>
      </w:r>
      <w:r>
        <w:t xml:space="preserve"> </w:t>
      </w:r>
      <w:r>
        <w:rPr>
          <w:iCs/>
          <w:i/>
        </w:rPr>
        <w:t xml:space="preserve">revogado</w:t>
      </w:r>
      <w:r>
        <w:t xml:space="preserve"> </w:t>
      </w:r>
      <w:r>
        <w:t xml:space="preserve">— e</w:t>
      </w:r>
      <w:r>
        <w:t xml:space="preserve"> </w:t>
      </w:r>
      <w:r>
        <w:rPr>
          <w:bCs/>
          <w:b/>
        </w:rPr>
        <w:t xml:space="preserve">nenhum requisito é apagado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mece-por-aqui"/>
    <w:p>
      <w:pPr>
        <w:pStyle w:val="Heading2"/>
      </w:pPr>
      <w:r>
        <w:t xml:space="preserve">Comece por aqui</w:t>
      </w:r>
    </w:p>
    <w:p>
      <w:pPr>
        <w:pStyle w:val="FirstParagraph"/>
      </w:pPr>
      <w:r>
        <w:rPr>
          <w:bCs/>
          <w:b/>
        </w:rPr>
        <w:t xml:space="preserve">Se você tem 15 minutos:</w:t>
      </w:r>
      <w:r>
        <w:t xml:space="preserve"> </w:t>
      </w:r>
      <w:r>
        <w:t xml:space="preserve">leia</w:t>
      </w:r>
      <w:r>
        <w:t xml:space="preserve"> </w:t>
      </w:r>
      <w:r>
        <w:rPr>
          <w:rStyle w:val="VerbatimChar"/>
        </w:rPr>
        <w:t xml:space="preserve">Fase 1 - Requisitos/00-Visao-Geral-e-Escopo.md</w:t>
      </w:r>
      <w:r>
        <w:t xml:space="preserve">, seções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(por que migrar, com as perdas declaradas) e</w:t>
      </w:r>
      <w:r>
        <w:t xml:space="preserve"> </w:t>
      </w:r>
      <w:r>
        <w:rPr>
          <w:bCs/>
          <w:b/>
        </w:rPr>
        <w:t xml:space="preserve">9</w:t>
      </w:r>
      <w:r>
        <w:t xml:space="preserve"> </w:t>
      </w:r>
      <w:r>
        <w:t xml:space="preserve">(os 12 critérios de aceite). Elas contêm o essencial da decisão.</w:t>
      </w:r>
    </w:p>
    <w:p>
      <w:pPr>
        <w:pStyle w:val="BodyText"/>
      </w:pPr>
      <w:r>
        <w:rPr>
          <w:bCs/>
          <w:b/>
        </w:rPr>
        <w:t xml:space="preserve">Se você vai começar a implementar hoje</w:t>
      </w:r>
      <w:r>
        <w:t xml:space="preserve">, o primeiro comando prático é o do</w:t>
      </w:r>
      <w:r>
        <w:t xml:space="preserve"> </w:t>
      </w:r>
      <w:r>
        <w:rPr>
          <w:bCs/>
          <w:b/>
        </w:rPr>
        <w:t xml:space="preserve">Épico 0 — Fundação</w:t>
      </w:r>
      <w:r>
        <w:t xml:space="preserve">. O projeto Supabase e o repositório GitHub</w:t>
      </w:r>
      <w:r>
        <w:t xml:space="preserve"> </w:t>
      </w:r>
      <w:r>
        <w:rPr>
          <w:bCs/>
          <w:b/>
        </w:rPr>
        <w:t xml:space="preserve">já existem</w:t>
      </w:r>
      <w:r>
        <w:t xml:space="preserve"> </w:t>
      </w:r>
      <w:r>
        <w:t xml:space="preserve">(ver</w:t>
      </w:r>
      <w:r>
        <w:t xml:space="preserve"> </w:t>
      </w:r>
      <w:r>
        <w:rPr>
          <w:iCs/>
          <w:i/>
        </w:rPr>
        <w:t xml:space="preserve">Estado do projeto</w:t>
      </w:r>
      <w:r>
        <w:t xml:space="preserve">), então o passo real é conectar o repositório à base e gerar os tipos:</w:t>
      </w:r>
    </w:p>
    <w:p>
      <w:pPr>
        <w:pStyle w:val="SourceCode"/>
      </w:pPr>
      <w:r>
        <w:rPr>
          <w:rStyle w:val="CommentTok"/>
        </w:rPr>
        <w:t xml:space="preserve"># 1. no repositório já criado no GitHub, inicializar o Next.js (Épico 0)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create-next-app@latest . </w:t>
      </w:r>
      <w:r>
        <w:rPr>
          <w:rStyle w:val="AttributeTok"/>
        </w:rPr>
        <w:t xml:space="preserve">--typescript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--tailwind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--eslint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"@/*"</w:t>
      </w:r>
      <w:r>
        <w:br/>
      </w:r>
      <w:r>
        <w:br/>
      </w:r>
      <w:r>
        <w:rPr>
          <w:rStyle w:val="CommentTok"/>
        </w:rPr>
        <w:t xml:space="preserve"># 2. inicializar o Supabase local e vincular ao projeto que o Bernardo já criou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init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ref-do-projeto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3. gerar os tipos a partir do schema real — este arquivo é o contrato de dados da v2.1,</w:t>
      </w:r>
      <w:r>
        <w:br/>
      </w:r>
      <w:r>
        <w:rPr>
          <w:rStyle w:val="CommentTok"/>
        </w:rPr>
        <w:t xml:space="preserve">#    e substitui a aba `_Meta_Colunas` da v2.0 (ver Glossário, "tipos gerados")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gen types typescript </w:t>
      </w:r>
      <w:r>
        <w:rPr>
          <w:rStyle w:val="AttributeTok"/>
        </w:rPr>
        <w:t xml:space="preserve">--linked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lib/tipos/database.ts</w:t>
      </w:r>
    </w:p>
    <w:p>
      <w:pPr>
        <w:pStyle w:val="FirstParagraph"/>
      </w:pPr>
      <w:r>
        <w:t xml:space="preserve">Antes de escrever a primeira migration, leia</w:t>
      </w:r>
      <w:r>
        <w:t xml:space="preserve"> </w:t>
      </w:r>
      <w:r>
        <w:rPr>
          <w:rStyle w:val="VerbatimChar"/>
        </w:rPr>
        <w:t xml:space="preserve">Fase 2 - Arquitetura/21-Schema-Fisico-PostgreSQL.md</w:t>
      </w:r>
      <w:r>
        <w:t xml:space="preserve"> </w:t>
      </w:r>
      <w:r>
        <w:t xml:space="preserve">e os scripts de</w:t>
      </w:r>
      <w:r>
        <w:t xml:space="preserve"> </w:t>
      </w:r>
      <w:r>
        <w:rPr>
          <w:rStyle w:val="VerbatimChar"/>
        </w:rPr>
        <w:t xml:space="preserve">sql/</w:t>
      </w:r>
      <w:r>
        <w:t xml:space="preserve"> </w:t>
      </w:r>
      <w:r>
        <w:rPr>
          <w:bCs/>
          <w:b/>
        </w:rPr>
        <w:t xml:space="preserve">na ordem numérica</w:t>
      </w:r>
      <w:r>
        <w:t xml:space="preserve"> </w:t>
      </w:r>
      <w:r>
        <w:t xml:space="preserve">— ela é a ordem de execução.</w:t>
      </w:r>
    </w:p>
    <w:p>
      <w:r>
        <w:pict>
          <v:rect style="width:0;height:1.5pt" o:hralign="center" o:hrstd="t" o:hr="t"/>
        </w:pict>
      </w:r>
    </w:p>
    <w:bookmarkEnd w:id="21"/>
    <w:bookmarkStart w:id="25" w:name="mapa-de-leitura-por-papel"/>
    <w:p>
      <w:pPr>
        <w:pStyle w:val="Heading2"/>
      </w:pPr>
      <w:r>
        <w:t xml:space="preserve">Mapa de leitura por papel</w:t>
      </w:r>
    </w:p>
    <w:bookmarkStart w:id="22" w:name="Xc61b6970feb9cc94a92036ed2e996605740cafb"/>
    <w:p>
      <w:pPr>
        <w:pStyle w:val="Heading3"/>
      </w:pPr>
      <w:r>
        <w:t xml:space="preserve">Quem vai</w:t>
      </w:r>
      <w:r>
        <w:t xml:space="preserve"> </w:t>
      </w:r>
      <w:r>
        <w:rPr>
          <w:bCs/>
          <w:b/>
        </w:rPr>
        <w:t xml:space="preserve">implementar</w:t>
      </w:r>
      <w:r>
        <w:t xml:space="preserve"> </w:t>
      </w:r>
      <w:r>
        <w:t xml:space="preserve">(escrever código, conduzir os ciclos Spec Kit)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Vibe Coding/40-Constitution-v2.1.md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princípios que prevalecem sobre qualquer plano ou tarefa. Em especial o</w:t>
            </w:r>
            <w:r>
              <w:t xml:space="preserve"> </w:t>
            </w:r>
            <w:r>
              <w:rPr>
                <w:bCs/>
                <w:b/>
              </w:rPr>
              <w:t xml:space="preserve">Princípio III</w:t>
            </w:r>
            <w:r>
              <w:t xml:space="preserve">, reescrito: deixa de proibir framework/banco externo/CI e passa a fixar a nova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2 - Arquitetura/20-Arquitetura-Alvo-Next-Supabase.md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desenho de conjunto e as fronteiras de camada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2 - Arquitetura/24-Estrutura-do-Repositorio-e-Convencoes.md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cada coisa mora e como se nomeia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1 - Requisitos/04-Regras-de-Negocio-a-Preservar.md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contrato.</w:t>
            </w:r>
            <w:r>
              <w:t xml:space="preserve"> </w:t>
            </w:r>
            <w:r>
              <w:t xml:space="preserve">As ~40 regras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, que viram funções puras em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2 - Arquitetura/21-Schema-Fisico-PostgreSQL.md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sql/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schema e os scripts, na ordem numérica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Vibe Coding/42-Prompts-por-Epico.md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prompt de partida do épico em que você vai trabalhar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1 - Requisitos/07-Glossario.md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permanente — sobretudo a coluna</w:t>
            </w:r>
            <w:r>
              <w:t xml:space="preserve"> </w:t>
            </w:r>
            <w:r>
              <w:rPr>
                <w:iCs/>
                <w:i/>
              </w:rPr>
              <w:t xml:space="preserve">Equivalente na v2.0</w:t>
            </w:r>
          </w:p>
        </w:tc>
      </w:tr>
    </w:tbl>
    <w:p>
      <w:pPr>
        <w:pStyle w:val="BlockText"/>
      </w:pPr>
      <w:r>
        <w:rPr>
          <w:bCs/>
          <w:b/>
        </w:rPr>
        <w:t xml:space="preserve">As duas regras que mais economizam retrabalho:</w:t>
      </w:r>
      <w:r>
        <w:t xml:space="preserve"> </w:t>
      </w:r>
      <w:r>
        <w:rPr>
          <w:bCs/>
          <w:b/>
        </w:rPr>
        <w:t xml:space="preserve">nada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 </w:t>
      </w:r>
      <w:r>
        <w:rPr>
          <w:bCs/>
          <w:b/>
        </w:rPr>
        <w:t xml:space="preserve">importa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</w:t>
      </w:r>
      <w:r>
        <w:t xml:space="preserve"> </w:t>
      </w:r>
      <w:r>
        <w:t xml:space="preserve">(regra pura ⇒ testável sem banco), e</w:t>
      </w:r>
      <w:r>
        <w:t xml:space="preserve"> </w:t>
      </w:r>
      <w:r>
        <w:rPr>
          <w:bCs/>
          <w:b/>
        </w:rPr>
        <w:t xml:space="preserve">nenhuma regra de negócio vive só na UI</w:t>
      </w:r>
      <w:r>
        <w:t xml:space="preserve">.</w:t>
      </w:r>
    </w:p>
    <w:bookmarkEnd w:id="22"/>
    <w:bookmarkStart w:id="23" w:name="X72a77c7e8b5654f510d70492750d2dde30b5d5d"/>
    <w:p>
      <w:pPr>
        <w:pStyle w:val="Heading3"/>
      </w:pPr>
      <w:r>
        <w:t xml:space="preserve">Quem vai</w:t>
      </w:r>
      <w:r>
        <w:t xml:space="preserve"> </w:t>
      </w:r>
      <w:r>
        <w:rPr>
          <w:bCs/>
          <w:b/>
        </w:rPr>
        <w:t xml:space="preserve">revisar requisito</w:t>
      </w:r>
      <w:r>
        <w:t xml:space="preserve"> </w:t>
      </w:r>
      <w:r>
        <w:t xml:space="preserve">(conferir escopo, fronteira e conformidade normativa)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1 - Requisitos/00-Visao-Geral-e-Escopo.md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Escopo, não-escopo e o que foi revogado em 25/08/2026 (seção 7.1)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1 - Requisitos/01-Stakeholders-e-Perfis-de-Usuario.md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fronteira organizacional (seção 0) e a matriz perfil × recurso × ação (seção 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1 - Requisitos/02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funcionais e não-funcionais, com a coluna</w:t>
            </w:r>
            <w:r>
              <w:t xml:space="preserve"> </w:t>
            </w:r>
            <w:r>
              <w:rPr>
                <w:iCs/>
                <w:i/>
              </w:rPr>
              <w:t xml:space="preserve">Destino na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1 - Requisitos/04-Regras-de-Negocio-a-Preservar.md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de risco e de conformidade de cada 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1 - Requisitos/08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09</w:t>
            </w:r>
            <w:r>
              <w:t xml:space="preserve"> </w:t>
            </w:r>
            <w:r>
              <w:rPr>
                <w:iCs/>
                <w:i/>
              </w:rPr>
              <w:t xml:space="preserve">(históricos)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fundamentação: decisões D1–D7, achados A-1..A-12, propostas P-1..P-14</w:t>
            </w:r>
          </w:p>
        </w:tc>
      </w:tr>
    </w:tbl>
    <w:p>
      <w:pPr>
        <w:pStyle w:val="BlockText"/>
      </w:pPr>
      <w:r>
        <w:rPr>
          <w:bCs/>
          <w:b/>
        </w:rPr>
        <w:t xml:space="preserve">O teste de escopo, em uma frase (Princípio IX):</w:t>
      </w:r>
      <w:r>
        <w:t xml:space="preserve"> </w:t>
      </w:r>
      <w:r>
        <w:rPr>
          <w:iCs/>
          <w:i/>
        </w:rPr>
        <w:t xml:space="preserve">este processo está atribuído à CIAARA-11 na Matriz de Responsabilidades?</w:t>
      </w:r>
      <w:r>
        <w:t xml:space="preserve"> </w:t>
      </w:r>
      <w:r>
        <w:t xml:space="preserve">Se não, está fora — por mais simples que seja implementar. É o critério que sustenta</w:t>
      </w:r>
      <w:r>
        <w:t xml:space="preserve"> </w:t>
      </w:r>
      <w:r>
        <w:rPr>
          <w:rStyle w:val="VerbatimChar"/>
        </w:rPr>
        <w:t xml:space="preserve">RNF-NORM-06</w:t>
      </w:r>
      <w:r>
        <w:t xml:space="preserve"> </w:t>
      </w:r>
      <w:r>
        <w:t xml:space="preserve">(o sistema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calcula nota, média, aprovação ou documento escolar).</w:t>
      </w:r>
    </w:p>
    <w:bookmarkEnd w:id="23"/>
    <w:bookmarkStart w:id="24" w:name="X2696830a97d72ab517f03429914e03251fbd609"/>
    <w:p>
      <w:pPr>
        <w:pStyle w:val="Heading3"/>
      </w:pPr>
      <w:r>
        <w:t xml:space="preserve">Quem vai</w:t>
      </w:r>
      <w:r>
        <w:t xml:space="preserve"> </w:t>
      </w:r>
      <w:r>
        <w:rPr>
          <w:bCs/>
          <w:b/>
        </w:rPr>
        <w:t xml:space="preserve">operar a migração</w:t>
      </w:r>
      <w:r>
        <w:t xml:space="preserve"> </w:t>
      </w:r>
      <w:r>
        <w:t xml:space="preserve">(ETL, corte, reconciliação)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3 - Migracao/30-Plano-de-Migracao-ETL.md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de carga, congelamento de escrita, corte, reconciliação, critério de aborto e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3 - Migracao/31-Mapa-De-Para-Sheets-PostgreSQL.md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por aba, coluna por coluna, com a transformação aplicada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1 - Requisitos/05-Modelo-de-Dados-Conceitual.md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entidades e as convenções (</w:t>
            </w:r>
            <w:r>
              <w:rPr>
                <w:rStyle w:val="VerbatimChar"/>
              </w:rPr>
              <w:t xml:space="preserve">codigo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origem_migracao_v1</w:t>
            </w:r>
            <w:r>
              <w:t xml:space="preserve">, exclusão lógica, vigência)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1 - Requisitos/00</w:t>
            </w:r>
            <w:r>
              <w:t xml:space="preserve">, seção</w:t>
            </w:r>
            <w:r>
              <w:t xml:space="preserve"> </w:t>
            </w: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critérios</w:t>
            </w:r>
            <w:r>
              <w:t xml:space="preserve"> </w:t>
            </w:r>
            <w:r>
              <w:rPr>
                <w:bCs/>
                <w:b/>
              </w:rPr>
              <w:t xml:space="preserve">CA-02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CA-03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CA-10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CA-11</w:t>
            </w:r>
            <w:r>
              <w:t xml:space="preserve"> </w:t>
            </w:r>
            <w:r>
              <w:t xml:space="preserve">— que são o portão do corte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 1 - Requisitos/07-Glossario.md</w:t>
            </w:r>
            <w:r>
              <w:t xml:space="preserve">, seção</w:t>
            </w:r>
            <w:r>
              <w:t xml:space="preserve"> </w:t>
            </w:r>
            <w:r>
              <w:rPr>
                <w:iCs/>
                <w:i/>
              </w:rPr>
              <w:t xml:space="preserve">Termos de migração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</w:t>
            </w:r>
            <w:r>
              <w:t xml:space="preserve"> </w:t>
            </w:r>
            <w:r>
              <w:t xml:space="preserve">“</w:t>
            </w:r>
            <w:r>
              <w:t xml:space="preserve">reconciliação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corte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rollback</w:t>
            </w:r>
            <w:r>
              <w:t xml:space="preserve">”</w:t>
            </w:r>
            <w:r>
              <w:t xml:space="preserve"> </w:t>
            </w:r>
            <w:r>
              <w:t xml:space="preserve">signifiquem a mesma coisa para todos</w:t>
            </w:r>
          </w:p>
        </w:tc>
      </w:tr>
    </w:tbl>
    <w:p>
      <w:pPr>
        <w:pStyle w:val="BlockText"/>
      </w:pPr>
      <w:r>
        <w:rPr>
          <w:bCs/>
          <w:b/>
        </w:rPr>
        <w:t xml:space="preserve">Duas decisões já tomadas, para não serem rediscutidas no meio do corte:</w:t>
      </w:r>
      <w:r>
        <w:t xml:space="preserve"> </w:t>
      </w:r>
      <w:r>
        <w:rPr>
          <w:bCs/>
          <w:b/>
        </w:rPr>
        <w:t xml:space="preserve">dupla escrita foi considerada e rejeitada</w:t>
      </w:r>
      <w:r>
        <w:t xml:space="preserve"> </w:t>
      </w:r>
      <w:r>
        <w:t xml:space="preserve">(o corte é único, com congelamento curto); e</w:t>
      </w:r>
      <w:r>
        <w:t xml:space="preserve"> </w:t>
      </w:r>
      <w:r>
        <w:rPr>
          <w:bCs/>
          <w:b/>
        </w:rPr>
        <w:t xml:space="preserve">a CAHO 2026 não é padrão-ouro</w:t>
      </w:r>
      <w:r>
        <w:t xml:space="preserve"> </w:t>
      </w:r>
      <w:r>
        <w:t xml:space="preserve">— validação é por invariante estrutural e matemático, nunca por diff com a saída histórica de um curso.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árvore-de-arquivos"/>
    <w:p>
      <w:pPr>
        <w:pStyle w:val="Heading2"/>
      </w:pPr>
      <w:r>
        <w:t xml:space="preserve">Árvore de arquivos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tem uma versão</w:t>
      </w:r>
      <w:r>
        <w:t xml:space="preserve"> </w:t>
      </w:r>
      <w:r>
        <w:rPr>
          <w:rStyle w:val="VerbatimChar"/>
          <w:bCs/>
          <w:b/>
        </w:rPr>
        <w:t xml:space="preserve">.docx</w:t>
      </w:r>
      <w:r>
        <w:t xml:space="preserve"> </w:t>
      </w:r>
      <w:r>
        <w:t xml:space="preserve">ao lado, para leitura e revisão fora do editor.</w:t>
      </w:r>
      <w:r>
        <w:t xml:space="preserve"> </w:t>
      </w: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.md</w:t>
      </w:r>
      <w:r>
        <w:rPr>
          <w:bCs/>
          <w:b/>
        </w:rPr>
        <w:t xml:space="preserve"> </w:t>
      </w:r>
      <w:r>
        <w:rPr>
          <w:bCs/>
          <w:b/>
        </w:rPr>
        <w:t xml:space="preserve">é a fonte de verdade</w:t>
      </w:r>
      <w:r>
        <w:t xml:space="preserve">; 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é derivado e nunca é editado diretamente.</w:t>
      </w:r>
    </w:p>
    <w:p>
      <w:pPr>
        <w:pStyle w:val="SourceCode"/>
      </w:pPr>
      <w:r>
        <w:rPr>
          <w:rStyle w:val="VerbatimChar"/>
        </w:rPr>
        <w:t xml:space="preserve">v2.1/</w:t>
      </w:r>
      <w:r>
        <w:br/>
      </w:r>
      <w:r>
        <w:rPr>
          <w:rStyle w:val="VerbatimChar"/>
        </w:rPr>
        <w:t xml:space="preserve">├── README.md                          Este índice: mapa de leitura, árvore, estado e primeiro comando</w:t>
      </w:r>
      <w:r>
        <w:br/>
      </w:r>
      <w:r>
        <w:rPr>
          <w:rStyle w:val="VerbatimChar"/>
        </w:rPr>
        <w:t xml:space="preserve">├── CLAUDE.md                          Contexto operacional do repositório de código: convenções, gotchas, comandos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Fase 1 - Requisitos/</w:t>
      </w:r>
      <w:r>
        <w:br/>
      </w:r>
      <w:r>
        <w:rPr>
          <w:rStyle w:val="VerbatimChar"/>
        </w:rPr>
        <w:t xml:space="preserve">│   ├── 00-Visao-Geral-e-Escopo        Por que migrar, o que entra, o que não entra, e os 12 critérios de aceite</w:t>
      </w:r>
      <w:r>
        <w:br/>
      </w:r>
      <w:r>
        <w:rPr>
          <w:rStyle w:val="VerbatimChar"/>
        </w:rPr>
        <w:t xml:space="preserve">│   ├── 01-Stakeholders-e-Perfis       Fronteira organizacional, os 9 perfis, matriz perfil × recurso × ação, ciclo de vida da conta</w:t>
      </w:r>
      <w:r>
        <w:br/>
      </w:r>
      <w:r>
        <w:rPr>
          <w:rStyle w:val="VerbatimChar"/>
        </w:rPr>
        <w:t xml:space="preserve">│   ├── 02-Requisitos-Funcionais       O que o sistema faz, módulo a módulo, com o destino de cada RF-</w:t>
      </w:r>
      <w:r>
        <w:br/>
      </w:r>
      <w:r>
        <w:rPr>
          <w:rStyle w:val="VerbatimChar"/>
        </w:rPr>
        <w:t xml:space="preserve">│   ├── 03-Requisitos-Nao-Funcionais   Desempenho, usabilidade, segurança, manutenibilidade — com RNF-PLAT-01..04 e RNF-SEG-01 revogados</w:t>
      </w:r>
      <w:r>
        <w:br/>
      </w:r>
      <w:r>
        <w:rPr>
          <w:rStyle w:val="VerbatimChar"/>
        </w:rPr>
        <w:t xml:space="preserve">│   ├── 04-Regras-de-Negocio           As ~40 regras RN-, com risco, conformidade e destino em lib/dominio/, constraint, trigger ou policy</w:t>
      </w:r>
      <w:r>
        <w:br/>
      </w:r>
      <w:r>
        <w:rPr>
          <w:rStyle w:val="VerbatimChar"/>
        </w:rPr>
        <w:t xml:space="preserve">│   ├── 05-Modelo-de-Dados-Conceitual  Entidades, relacionamentos e as convenções de dado da v2.1</w:t>
      </w:r>
      <w:r>
        <w:br/>
      </w:r>
      <w:r>
        <w:rPr>
          <w:rStyle w:val="VerbatimChar"/>
        </w:rPr>
        <w:t xml:space="preserve">│   ├── 06-Backlog-de-Epicos-V2.1      Os 14 épicos (0–13), sequenciamento e critérios de aceite de alto nível</w:t>
      </w:r>
      <w:r>
        <w:br/>
      </w:r>
      <w:r>
        <w:rPr>
          <w:rStyle w:val="VerbatimChar"/>
        </w:rPr>
        <w:t xml:space="preserve">│   ├── 07-Glossario                   Termos institucionais (invariáveis) + termos técnicos com equivalente na v2.0 + termos de migração</w:t>
      </w:r>
      <w:r>
        <w:br/>
      </w:r>
      <w:r>
        <w:rPr>
          <w:rStyle w:val="VerbatimChar"/>
        </w:rPr>
        <w:t xml:space="preserve">│   ├── 08-Relatorio-de-Triagem        [histórico, preservado] Os 48 comentários e as decisões D1–D7 que geraram a v1.1</w:t>
      </w:r>
      <w:r>
        <w:br/>
      </w:r>
      <w:r>
        <w:rPr>
          <w:rStyle w:val="VerbatimChar"/>
        </w:rPr>
        <w:t xml:space="preserve">│   ├── 09-Relatorio-de-Auditoria      [histórico, preservado] 12 achados, 7 recomendações, 14 propostas — a fundamentação normativa</w:t>
      </w:r>
      <w:r>
        <w:br/>
      </w:r>
      <w:r>
        <w:rPr>
          <w:rStyle w:val="VerbatimChar"/>
        </w:rPr>
        <w:t xml:space="preserve">│   └── 10-Plano-de-Execucao-Vibe      Como os épicos viram ciclos Spec Kit, a Definition of Done e o portão de CI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Fase 2 - Arquitetura/</w:t>
      </w:r>
      <w:r>
        <w:br/>
      </w:r>
      <w:r>
        <w:rPr>
          <w:rStyle w:val="VerbatimChar"/>
        </w:rPr>
        <w:t xml:space="preserve">│   ├── 20-Arquitetura-Alvo            App Router, Server/Client Components, Server Actions, o papel de lib/dominio/</w:t>
      </w:r>
      <w:r>
        <w:br/>
      </w:r>
      <w:r>
        <w:rPr>
          <w:rStyle w:val="VerbatimChar"/>
        </w:rPr>
        <w:t xml:space="preserve">│   ├── 21-Schema-Fisico-PostgreSQL    DDL comentado tabela a tabela: tipos, ENUM, constraints, índices, colunas geradas</w:t>
      </w:r>
      <w:r>
        <w:br/>
      </w:r>
      <w:r>
        <w:rPr>
          <w:rStyle w:val="VerbatimChar"/>
        </w:rPr>
        <w:t xml:space="preserve">│   ├── 22-Seguranca-RLS-Autenticacao  Convite e sessão, perfil_permissao, funções app.*, policies e os testes negativos obrigatórios</w:t>
      </w:r>
      <w:r>
        <w:br/>
      </w:r>
      <w:r>
        <w:rPr>
          <w:rStyle w:val="VerbatimChar"/>
        </w:rPr>
        <w:t xml:space="preserve">│   ├── 23-Design-System               Tokens CIAARA sob @theme, tema claro/noturno, components/ciaara/, rotas /print/*</w:t>
      </w:r>
      <w:r>
        <w:br/>
      </w:r>
      <w:r>
        <w:rPr>
          <w:rStyle w:val="VerbatimChar"/>
        </w:rPr>
        <w:t xml:space="preserve">│   ├── 24-Estrutura-do-Repositorio    Árvore de pastas, nomenclatura, Conventional Commits, organização de testes</w:t>
      </w:r>
      <w:r>
        <w:br/>
      </w:r>
      <w:r>
        <w:rPr>
          <w:rStyle w:val="VerbatimChar"/>
        </w:rPr>
        <w:t xml:space="preserve">│   └── 25-Camada-de-Dados-e-Estado    @supabase/ssr, URL como fonte de verdade (nuqs), revalidate*, degradação segura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Fase 3 - Migracao/</w:t>
      </w:r>
      <w:r>
        <w:br/>
      </w:r>
      <w:r>
        <w:rPr>
          <w:rStyle w:val="VerbatimChar"/>
        </w:rPr>
        <w:t xml:space="preserve">│   ├── 30-Plano-de-Migracao-ETL       Ordem de carga, congelamento de escrita, corte, reconciliação, aborto e rollback</w:t>
      </w:r>
      <w:r>
        <w:br/>
      </w:r>
      <w:r>
        <w:rPr>
          <w:rStyle w:val="VerbatimChar"/>
        </w:rPr>
        <w:t xml:space="preserve">│   └── 31-Mapa-De-Para                Aba por aba e coluna por coluna: origem, destino, tipo, transformação, ID legado em `codigo`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Vibe Coding/</w:t>
      </w:r>
      <w:r>
        <w:br/>
      </w:r>
      <w:r>
        <w:rPr>
          <w:rStyle w:val="VerbatimChar"/>
        </w:rPr>
        <w:t xml:space="preserve">│   ├── 40-Constitution-v2.1           Os princípios reescritos — em especial o Princípio III, que muda de sentido</w:t>
      </w:r>
      <w:r>
        <w:br/>
      </w:r>
      <w:r>
        <w:rPr>
          <w:rStyle w:val="VerbatimChar"/>
        </w:rPr>
        <w:t xml:space="preserve">│   ├── 41-Guia-de-Vibe-Coding         Como conduzir os ciclos Spec Kit nesta stack; a Definition of Done por fatia</w:t>
      </w:r>
      <w:r>
        <w:br/>
      </w:r>
      <w:r>
        <w:rPr>
          <w:rStyle w:val="VerbatimChar"/>
        </w:rPr>
        <w:t xml:space="preserve">│   └── 42-Prompts-por-Epico           O prompt de partida de cada um dos 14 épicos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sql/                               Fonte de supabase/migrations/*.sql e seed.sql — a ordem numérica É a ordem de execução</w:t>
      </w:r>
      <w:r>
        <w:br/>
      </w:r>
      <w:r>
        <w:rPr>
          <w:rStyle w:val="VerbatimChar"/>
        </w:rPr>
        <w:t xml:space="preserve">    ├── 00-extensoes-e-tipos.sql       Extensões, schema `app` e os ENUM normativos (perfil_usuario, escopo_curso, ...)</w:t>
      </w:r>
      <w:r>
        <w:br/>
      </w:r>
      <w:r>
        <w:rPr>
          <w:rStyle w:val="VerbatimChar"/>
        </w:rPr>
        <w:t xml:space="preserve">    ├── 01-tabelas-cadastro.sql        cursos, turmas, disciplinas, instrutores, instrutor_disciplina, usuarios, usuario_curso</w:t>
      </w:r>
      <w:r>
        <w:br/>
      </w:r>
      <w:r>
        <w:rPr>
          <w:rStyle w:val="VerbatimChar"/>
        </w:rPr>
        <w:t xml:space="preserve">    ├── 02-tabelas-fato.sql            registros_aula, avaliacoes, atividades_nao_letivas, planejamento_anual, migracao_log</w:t>
      </w:r>
      <w:r>
        <w:br/>
      </w:r>
      <w:r>
        <w:rPr>
          <w:rStyle w:val="VerbatimChar"/>
        </w:rPr>
        <w:t xml:space="preserve">    ├── 03-config-e-calendario.sql     config_listas, config_parametros, feriados, janelas_curso, reservas_proens, horarios</w:t>
      </w:r>
      <w:r>
        <w:br/>
      </w:r>
      <w:r>
        <w:rPr>
          <w:rStyle w:val="VerbatimChar"/>
        </w:rPr>
        <w:t xml:space="preserve">    ├── 04-views-e-funcoes.sql         Funções app.*, trigger set_auditoria() e as VIEWs de compatibilidade com as abas da v2.0</w:t>
      </w:r>
      <w:r>
        <w:br/>
      </w:r>
      <w:r>
        <w:rPr>
          <w:rStyle w:val="VerbatimChar"/>
        </w:rPr>
        <w:t xml:space="preserve">    └── 05-policies-rls.sql            RLS em toda tabela, policies por operação e o seed de perfil_permissao</w:t>
      </w:r>
    </w:p>
    <w:p>
      <w:r>
        <w:pict>
          <v:rect style="width:0;height:1.5pt" o:hralign="center" o:hrstd="t" o:hr="t"/>
        </w:pict>
      </w:r>
    </w:p>
    <w:bookmarkEnd w:id="26"/>
    <w:bookmarkStart w:id="27" w:name="ordem-de-leitura-recomendada"/>
    <w:p>
      <w:pPr>
        <w:pStyle w:val="Heading2"/>
      </w:pPr>
      <w:r>
        <w:t xml:space="preserve">Ordem de leitura recomendada</w:t>
      </w:r>
    </w:p>
    <w:p>
      <w:pPr>
        <w:pStyle w:val="FirstParagraph"/>
      </w:pPr>
      <w:r>
        <w:t xml:space="preserve">Se você vai ler a suíte inteira, esta é a sequência que faz cada documento ser entendido com o contexto que ele pressupõe: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00</w:t>
      </w:r>
      <w:r>
        <w:t xml:space="preserve"> </w:t>
      </w:r>
      <w:r>
        <w:t xml:space="preserve">— Visão Geral e Escopo. Estabelece por que a v2.1 existe e o que ela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01</w:t>
      </w:r>
      <w:r>
        <w:t xml:space="preserve"> </w:t>
      </w:r>
      <w:r>
        <w:t xml:space="preserve">— Stakeholders. A fronteira organizacional é pré-requisito para julgar qualquer escopo.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07</w:t>
      </w:r>
      <w:r>
        <w:t xml:space="preserve"> </w:t>
      </w:r>
      <w:r>
        <w:t xml:space="preserve">— Glossário. Lido</w:t>
      </w:r>
      <w:r>
        <w:t xml:space="preserve"> </w:t>
      </w:r>
      <w:r>
        <w:rPr>
          <w:bCs/>
          <w:b/>
        </w:rPr>
        <w:t xml:space="preserve">cedo</w:t>
      </w:r>
      <w:r>
        <w:t xml:space="preserve">, não no fim: sem ele, metade dos termos das seções seguintes é ruído.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04</w:t>
      </w:r>
      <w:r>
        <w:t xml:space="preserve"> </w:t>
      </w:r>
      <w:r>
        <w:t xml:space="preserve">— Regras de Negócio. O contrato que a migração precisa honrar.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05</w:t>
      </w:r>
      <w:r>
        <w:t xml:space="preserve"> </w:t>
      </w:r>
      <w:r>
        <w:t xml:space="preserve">— Modelo de Dados. As entidades sobre as quais as regras operam.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03</w:t>
      </w:r>
      <w:r>
        <w:t xml:space="preserve"> </w:t>
      </w:r>
      <w:r>
        <w:t xml:space="preserve">— Requisitos funcionais e não-funcionais, com os destinos.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06</w:t>
      </w:r>
      <w:r>
        <w:t xml:space="preserve"> </w:t>
      </w:r>
      <w:r>
        <w:t xml:space="preserve">— Backlog de Épicos. Como o trabalho é fatiado.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20</w:t>
      </w:r>
      <w:r>
        <w:rPr>
          <w:bCs/>
          <w:b/>
        </w:rPr>
        <w:t xml:space="preserve">–</w:t>
      </w:r>
      <w:r>
        <w:rPr>
          <w:rStyle w:val="VerbatimChar"/>
          <w:bCs/>
          <w:b/>
        </w:rPr>
        <w:t xml:space="preserve">25</w:t>
      </w:r>
      <w:r>
        <w:t xml:space="preserve"> </w:t>
      </w:r>
      <w:r>
        <w:t xml:space="preserve">— Arquitetura, na ordem numérica.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30</w:t>
      </w:r>
      <w:r>
        <w:rPr>
          <w:bCs/>
          <w:b/>
        </w:rPr>
        <w:t xml:space="preserve">–</w:t>
      </w:r>
      <w:r>
        <w:rPr>
          <w:rStyle w:val="VerbatimChar"/>
          <w:bCs/>
          <w:b/>
        </w:rPr>
        <w:t xml:space="preserve">31</w:t>
      </w:r>
      <w:r>
        <w:t xml:space="preserve"> </w:t>
      </w:r>
      <w:r>
        <w:t xml:space="preserve">— Migração de dados.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40</w:t>
      </w:r>
      <w:r>
        <w:rPr>
          <w:bCs/>
          <w:b/>
        </w:rPr>
        <w:t xml:space="preserve">–</w:t>
      </w:r>
      <w:r>
        <w:rPr>
          <w:rStyle w:val="VerbatimChar"/>
          <w:bCs/>
          <w:b/>
        </w:rPr>
        <w:t xml:space="preserve">42</w:t>
      </w:r>
      <w:r>
        <w:t xml:space="preserve"> </w:t>
      </w:r>
      <w:r>
        <w:t xml:space="preserve">— Vibe coding, imediatamente antes de começar a implementar.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09</w:t>
      </w:r>
      <w:r>
        <w:t xml:space="preserve"> </w:t>
      </w:r>
      <w:r>
        <w:t xml:space="preserve">— históricos, por consulta: quando quiser saber</w:t>
      </w:r>
      <w:r>
        <w:t xml:space="preserve"> </w:t>
      </w:r>
      <w:r>
        <w:rPr>
          <w:bCs/>
          <w:b/>
        </w:rPr>
        <w:t xml:space="preserve">por que</w:t>
      </w:r>
      <w:r>
        <w:t xml:space="preserve"> </w:t>
      </w:r>
      <w:r>
        <w:t xml:space="preserve">uma decisão é como é.</w:t>
      </w:r>
    </w:p>
    <w:p>
      <w:r>
        <w:pict>
          <v:rect style="width:0;height:1.5pt" o:hralign="center" o:hrstd="t" o:hr="t"/>
        </w:pict>
      </w:r>
    </w:p>
    <w:bookmarkEnd w:id="27"/>
    <w:bookmarkStart w:id="28" w:name="estado-do-projeto-25082026"/>
    <w:p>
      <w:pPr>
        <w:pStyle w:val="Heading2"/>
      </w:pPr>
      <w:r>
        <w:t xml:space="preserve">Estado do projeto (25/08/2026)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em produção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</w:t>
            </w:r>
            <w:r>
              <w:t xml:space="preserve"> </w:t>
            </w:r>
            <w:r>
              <w:t xml:space="preserve">— Apps Script + Sheets. Continua sendo a produção até o corte. Base viva:</w:t>
            </w:r>
            <w:r>
              <w:t xml:space="preserve"> </w:t>
            </w:r>
            <w:r>
              <w:rPr>
                <w:rStyle w:val="VerbatimChar"/>
              </w:rPr>
              <w:t xml:space="preserve">Banco de dados CIAARA-11 v2.0</w:t>
            </w:r>
            <w:r>
              <w:t xml:space="preserve">, 23 abas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Decisão de migrar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Tomada por Bernardo Villas Bôas dos Santos em</w:t>
            </w:r>
            <w:r>
              <w:t xml:space="preserve"> </w:t>
            </w:r>
            <w:r>
              <w:rPr>
                <w:bCs/>
                <w:b/>
              </w:rPr>
              <w:t xml:space="preserve">25/08/2026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Projeto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Criado pelo Bernardo</w:t>
            </w:r>
            <w:r>
              <w:t xml:space="preserve"> </w:t>
            </w:r>
            <w:r>
              <w:t xml:space="preserve">— vazio, aguardando o schema do Épico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Repositório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Criado pelo Bernardo</w:t>
            </w:r>
            <w:r>
              <w:t xml:space="preserve"> </w:t>
            </w:r>
            <w:r>
              <w:t xml:space="preserve">— aguardando o</w:t>
            </w:r>
            <w:r>
              <w:t xml:space="preserve"> </w:t>
            </w:r>
            <w:r>
              <w:rPr>
                <w:iCs/>
                <w:i/>
              </w:rPr>
              <w:t xml:space="preserve">scaffold</w:t>
            </w:r>
            <w:r>
              <w:t xml:space="preserve"> </w:t>
            </w:r>
            <w:r>
              <w:t xml:space="preserve">do Épico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Decidida, não em aberto: Next.js 15 · React 19 · TypeScript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 </w:t>
            </w:r>
            <w:r>
              <w:t xml:space="preserve">· Tailwind v4 · shadcn/ui · Supabase · Vercel · Vitest/Playwright/pgTAP · ETL em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Documentação Fase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Em redação —</w:t>
            </w:r>
            <w:r>
              <w:t xml:space="preserve"> </w:t>
            </w:r>
            <w:r>
              <w:rPr>
                <w:rStyle w:val="VerbatimChar"/>
              </w:rPr>
              <w:t xml:space="preserve">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  <w:r>
              <w:t xml:space="preserve"> </w:t>
            </w:r>
            <w:r>
              <w:t xml:space="preserve">escritos;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–</w:t>
            </w: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pendentes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Documentação Fases 2–3 e Vibe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 PostgreSQL 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sql/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Pendente (Épico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ETL 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Pendentes (Épicos 2 e o plano do documento 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Ambiente de preview e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Pendentes (Épico 0)</w:t>
            </w:r>
          </w:p>
        </w:tc>
      </w:tr>
    </w:tbl>
    <w:p>
      <w:pPr>
        <w:pStyle w:val="BodyText"/>
      </w:pPr>
      <w:r>
        <w:rPr>
          <w:bCs/>
          <w:b/>
        </w:rPr>
        <w:t xml:space="preserve">Sequenciamento dos épicos:</w:t>
      </w:r>
      <w:r>
        <w:t xml:space="preserve"> </w:t>
      </w:r>
      <w:r>
        <w:rPr>
          <w:rStyle w:val="VerbatimChar"/>
        </w:rPr>
        <w:t xml:space="preserve">0 → 1 → 2 → 3 → 4</w:t>
      </w:r>
      <w:r>
        <w:t xml:space="preserve">, depois por valor.</w:t>
      </w:r>
      <w:r>
        <w:t xml:space="preserve"> </w:t>
      </w:r>
      <w:r>
        <w:rPr>
          <w:bCs/>
          <w:b/>
        </w:rPr>
        <w:t xml:space="preserve">O Épico 2 (ETL) vem antes do 3 (Auth)</w:t>
      </w:r>
      <w:r>
        <w:t xml:space="preserve">: sem dado migrado não há o que proteger.</w:t>
      </w:r>
    </w:p>
    <w:p>
      <w:pPr>
        <w:pStyle w:val="BodyText"/>
      </w:pPr>
      <w:r>
        <w:rPr>
          <w:bCs/>
          <w:b/>
        </w:rPr>
        <w:t xml:space="preserve">Volumes, para dimensionar — não para otimizar:</w:t>
      </w:r>
      <w:r>
        <w:t xml:space="preserve"> </w:t>
      </w:r>
      <w:r>
        <w:t xml:space="preserve">24 cursos · 29 turmas · 175 disciplinas · 177 instrutores · 798 vínculos instrutor↔disciplina · ~1.753 registros de aula · 663 atividades não letivas · 111 avaliações · dezenas de usuários simultâneos no máximo.</w:t>
      </w:r>
      <w:r>
        <w:t xml:space="preserve"> </w:t>
      </w:r>
      <w:r>
        <w:rPr>
          <w:bCs/>
          <w:b/>
        </w:rPr>
        <w:t xml:space="preserve">É uma base pequena.</w:t>
      </w:r>
      <w:r>
        <w:t xml:space="preserve"> </w:t>
      </w:r>
      <w:r>
        <w:t xml:space="preserve">Priorize clareza de schema e manutenibilidade sobre desempenho; desempenho não é um problema real deste sistema.</w:t>
      </w:r>
    </w:p>
    <w:p>
      <w:r>
        <w:pict>
          <v:rect style="width:0;height:1.5pt" o:hralign="center" o:hrstd="t" o:hr="t"/>
        </w:pict>
      </w:r>
    </w:p>
    <w:bookmarkEnd w:id="28"/>
    <w:bookmarkStart w:id="29" w:name="X278d24697e172cb4823752f21b08f0f92cab622"/>
    <w:p>
      <w:pPr>
        <w:pStyle w:val="Heading2"/>
      </w:pPr>
      <w:r>
        <w:t xml:space="preserve">O que nunca muda, em nenhum documento desta pasta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Todo o corpo normativo:</w:t>
      </w:r>
      <w:r>
        <w:t xml:space="preserve"> </w:t>
      </w:r>
      <w:r>
        <w:t xml:space="preserve">DGPM-101/103, DEnsM-1002/1004/2001/2003, PCP-FCT-2, PROENS, Regimento Interno.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Termos intraduzíveis</w:t>
      </w:r>
      <w:r>
        <w:t xml:space="preserve">, jamais abreviados ou substituídos:</w:t>
      </w:r>
      <w:r>
        <w:t xml:space="preserve"> </w:t>
      </w:r>
      <w:r>
        <w:rPr>
          <w:bCs/>
          <w:b/>
        </w:rPr>
        <w:t xml:space="preserve">CHD, AEC, TAD, TR, TA, DSA, CHR, PROENS, DGPM-101/103, CAHO, LIQ, OS de Instrutoria, ROTA, LHFC, PM, OD, TFM</w:t>
      </w:r>
      <w:r>
        <w:t xml:space="preserve"> </w:t>
      </w:r>
      <w:r>
        <w:t xml:space="preserve">e as siglas de curso.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Disciplina</w:t>
      </w:r>
      <w:r>
        <w:rPr>
          <w:bCs/>
          <w:b/>
        </w:rPr>
        <w:t xml:space="preserve">”</w:t>
      </w:r>
      <w:r>
        <w:rPr>
          <w:bCs/>
          <w:b/>
        </w:rPr>
        <w:t xml:space="preserve">, nunca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Matéria</w:t>
      </w:r>
      <w:r>
        <w:rPr>
          <w:bCs/>
          <w:b/>
        </w:rPr>
        <w:t xml:space="preserve">”</w:t>
      </w:r>
      <w:r>
        <w:t xml:space="preserve"> </w:t>
      </w:r>
      <w:r>
        <w:t xml:space="preserve">(decisão P-14) — em schema, código, interface e documentação.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Os tetos:</w:t>
      </w:r>
      <w:r>
        <w:t xml:space="preserve"> </w:t>
      </w:r>
      <w:r>
        <w:t xml:space="preserve">AEC ≤ 10% do somatório das CHD · TAD ≤ 5% da CHR · TR ≤ 10% da CHR. E as faixas de CH docente: 20h → 8–12 h · 40h → 16–24 h · DE → 16–30 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9º TA é alerta informativo, nunca bloqueio.</w:t>
      </w:r>
      <w:r>
        <w:t xml:space="preserve"> </w:t>
      </w:r>
      <w:r>
        <w:t xml:space="preserve">Regra normativa não 100% verificável pelos dados vira alerta com justificativa, jamais trava (</w:t>
      </w:r>
      <w:r>
        <w:rPr>
          <w:rStyle w:val="VerbatimChar"/>
        </w:rPr>
        <w:t xml:space="preserve">RN-DEG-02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Nada é apagado:</w:t>
      </w:r>
      <w:r>
        <w:t xml:space="preserve"> </w:t>
      </w:r>
      <w:r>
        <w:t xml:space="preserve">exclusão lógica universal,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apenas-acrescenta, requisito revogado fica marcado e não some.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Português do Brasil</w:t>
      </w:r>
      <w:r>
        <w:t xml:space="preserve"> </w:t>
      </w:r>
      <w:r>
        <w:t xml:space="preserve">em interface, documentação, specs e mensagens de commit.</w:t>
      </w:r>
    </w:p>
    <w:p>
      <w:r>
        <w:pict>
          <v:rect style="width:0;height:1.5pt" o:hralign="center" o:hrstd="t" o:hr="t"/>
        </w:pict>
      </w:r>
    </w:p>
    <w:bookmarkEnd w:id="29"/>
    <w:bookmarkStart w:id="30" w:name="convenções-desta-documentação"/>
    <w:p>
      <w:pPr>
        <w:pStyle w:val="Heading2"/>
      </w:pPr>
      <w:r>
        <w:t xml:space="preserve">Convenções desta documentação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Frontmatter YAML</w:t>
      </w:r>
      <w:r>
        <w:t xml:space="preserve"> </w:t>
      </w:r>
      <w:r>
        <w:t xml:space="preserve">em todo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 fase: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date: "25/08/2026"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 "2.1"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Marcação inline de mudança:</w:t>
      </w:r>
      <w:r>
        <w:t xml:space="preserve"> </w:t>
      </w:r>
      <w:r>
        <w:rPr>
          <w:rStyle w:val="VerbatimChar"/>
        </w:rPr>
        <w:t xml:space="preserve">[PRESERVADO]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[MIGRAÇÃO v2.1]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[REVOGADO — v2.1]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[ABSORVIDO PELA PLATAFORMA]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[NOVO — v2.1]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Rastreabilidade obrigatória:</w:t>
      </w:r>
      <w:r>
        <w:t xml:space="preserve"> </w:t>
      </w:r>
      <w:r>
        <w:t xml:space="preserve">todo item cita seu identificador de origem (</w:t>
      </w:r>
      <w:r>
        <w:rPr>
          <w:rStyle w:val="VerbatimChar"/>
        </w:rPr>
        <w:t xml:space="preserve">RF-…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RN-…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RNF-…</w:t>
      </w:r>
      <w:r>
        <w:t xml:space="preserve">, achado, decisão, épico ou spec).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Numeração com faixas livres</w:t>
      </w:r>
      <w:r>
        <w:t xml:space="preserve"> </w:t>
      </w:r>
      <w:r>
        <w:t xml:space="preserve">(11–19, 26–29, 32–39, 43+): documento novo entra sem renumerar os existentes — renumerar quebraria toda citação cruzada, que é a espinha dorsal da suíte.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2026-08-26T11:08:31Z</dcterms:created>
  <dcterms:modified xsi:type="dcterms:W3CDTF">2026-08-26T11:08:31Z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