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Glossário</w:t>
      </w:r>
    </w:p>
    <w:p>
      <w:pPr>
        <w:pStyle w:val="Author"/>
      </w:pPr>
      <w:r>
        <w:t xml:space="preserve">Fase</w:t>
      </w:r>
      <w:r>
        <w:t xml:space="preserve"> </w:t>
      </w:r>
      <w:r>
        <w:t xml:space="preserve">1</w:t>
      </w:r>
      <w:r>
        <w:t xml:space="preserve"> </w:t>
      </w:r>
      <w:r>
        <w:t xml:space="preserve">do</w:t>
      </w:r>
      <w:r>
        <w:t xml:space="preserve"> </w:t>
      </w:r>
      <w:r>
        <w:t xml:space="preserve">SDLC</w:t>
      </w:r>
      <w:r>
        <w:t xml:space="preserve"> </w:t>
      </w:r>
      <w:r>
        <w:t xml:space="preserve">—</w:t>
      </w:r>
      <w:r>
        <w:t xml:space="preserve"> </w:t>
      </w:r>
      <w:r>
        <w:t xml:space="preserve">Requisitos</w:t>
      </w:r>
    </w:p>
    <w:p>
      <w:pPr>
        <w:pStyle w:val="Date"/>
      </w:pPr>
      <w:r>
        <w:t xml:space="preserve">25/08/2026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glossário-ciaara-11-versão-2.1"/>
    <w:p>
      <w:pPr>
        <w:pStyle w:val="Heading1"/>
      </w:pPr>
      <w:r>
        <w:t xml:space="preserve">Glossário — CIAARA-11 Versão 2.1</w:t>
      </w:r>
    </w:p>
    <w:bookmarkStart w:id="20" w:name="nota-de-migração-v2.1"/>
    <w:p>
      <w:pPr>
        <w:pStyle w:val="Heading2"/>
      </w:pPr>
      <w:r>
        <w:t xml:space="preserve">Nota de migração (v2.1)</w:t>
      </w:r>
    </w:p>
    <w:p>
      <w:pPr>
        <w:pStyle w:val="FirstParagraph"/>
      </w:pPr>
      <w:r>
        <w:t xml:space="preserve">Este documento é a reescrita do</w:t>
      </w:r>
      <w:r>
        <w:t xml:space="preserve"> </w:t>
      </w:r>
      <w:r>
        <w:rPr>
          <w:rStyle w:val="VerbatimChar"/>
        </w:rPr>
        <w:t xml:space="preserve">07-Glossario.md</w:t>
      </w:r>
      <w:r>
        <w:t xml:space="preserve"> </w:t>
      </w:r>
      <w:r>
        <w:t xml:space="preserve">da v2.0 para a</w:t>
      </w:r>
      <w:r>
        <w:t xml:space="preserve"> </w:t>
      </w:r>
      <w:r>
        <w:rPr>
          <w:bCs/>
          <w:b/>
        </w:rPr>
        <w:t xml:space="preserve">v2.1 — migração para Next.js + Supabase</w:t>
      </w:r>
      <w:r>
        <w:t xml:space="preserve">. A regra que governa esta reescrita é simples e tem duas metades: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vocabulário institucional não se toca. [PRESERVADO]</w:t>
      </w:r>
      <w:r>
        <w:t xml:space="preserve"> </w:t>
      </w:r>
      <w:r>
        <w:t xml:space="preserve">Todos os termos do domínio de ensino, as grandezas normativas (CHT/CHR/CHD/AEC/TAD/TR/TA), os códigos regimentais e as siglas de curso são reproduzidos</w:t>
      </w:r>
      <w:r>
        <w:t xml:space="preserve"> </w:t>
      </w:r>
      <w:r>
        <w:rPr>
          <w:bCs/>
          <w:b/>
        </w:rPr>
        <w:t xml:space="preserve">sem uma vírgula de alteração</w:t>
      </w:r>
      <w:r>
        <w:t xml:space="preserve">. São termos</w:t>
      </w:r>
      <w:r>
        <w:t xml:space="preserve"> </w:t>
      </w:r>
      <w:r>
        <w:rPr>
          <w:bCs/>
          <w:b/>
        </w:rPr>
        <w:t xml:space="preserve">intraduzíveis por decisão de constitution</w:t>
      </w:r>
      <w:r>
        <w:t xml:space="preserve">: nunca traduzidos, nunca abreviados de outra forma, nunca substituídos por sinônimo — em schema, código, interface, spec, commit ou documentação. Uma migração de plataforma que alterasse qualquer entrada desta parte estaria, por definição, errada.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vocabulário técnico é substituído. [MIGRAÇÃO v2.1]</w:t>
      </w:r>
      <w:r>
        <w:t xml:space="preserve"> </w:t>
      </w:r>
      <w:r>
        <w:t xml:space="preserve">A seção</w:t>
      </w:r>
      <w:r>
        <w:t xml:space="preserve"> </w:t>
      </w:r>
      <w:r>
        <w:t xml:space="preserve">“</w:t>
      </w:r>
      <w:r>
        <w:t xml:space="preserve">Termos técnicos do sistema</w:t>
      </w:r>
      <w:r>
        <w:t xml:space="preserve">”</w:t>
      </w:r>
      <w:r>
        <w:t xml:space="preserve"> </w:t>
      </w:r>
      <w:r>
        <w:t xml:space="preserve">sai de Apps Script/Sheets e entra em Next.js/PostgreSQL. Nenhum termo antigo é apagado: cada entrada nova traz a coluna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Equivalente na v2.0</w:t>
      </w:r>
      <w:r>
        <w:rPr>
          <w:bCs/>
          <w:b/>
        </w:rPr>
        <w:t xml:space="preserve">”</w:t>
      </w:r>
      <w:r>
        <w:t xml:space="preserve">, para que quem vem do sistema anterior consiga traduzir o que já sabe. Ver seção</w:t>
      </w:r>
      <w:r>
        <w:t xml:space="preserve"> </w:t>
      </w:r>
      <w:r>
        <w:rPr>
          <w:bCs/>
          <w:b/>
        </w:rPr>
        <w:t xml:space="preserve">Termos técnicos do sistema (v2.0 → v2.1)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[NOVO — v2.1]</w:t>
      </w:r>
      <w:r>
        <w:t xml:space="preserve"> </w:t>
      </w:r>
      <w:r>
        <w:t xml:space="preserve">Seção</w:t>
      </w:r>
      <w:r>
        <w:t xml:space="preserve"> </w:t>
      </w:r>
      <w:r>
        <w:rPr>
          <w:bCs/>
          <w:b/>
        </w:rPr>
        <w:t xml:space="preserve">Termos de migração</w:t>
      </w:r>
      <w:r>
        <w:t xml:space="preserve">, com o vocabulário do corte: paridade funcional, reconciliação, cutover, rollback, congelamento de escrita e dupla escrita. São palavras que a v2.0 nunca precisou, e que na v2.1 aparecem em decisão de risco — precisam significar exatamente a mesma coisa para todos.</w:t>
      </w:r>
    </w:p>
    <w:p>
      <w:pPr>
        <w:pStyle w:val="FirstParagraph"/>
      </w:pPr>
      <w:r>
        <w:rPr>
          <w:iCs/>
          <w:i/>
        </w:rPr>
        <w:t xml:space="preserve">Nota de revisão herdada (v1.3, 01/08/2026): todas as divergências ⚠️ registradas na v1.2 foram resolvidas por decisão do responsável (documento 09, propostas P-1 a P-14, aprovadas em 01/08/2026) — exceto a de sequenciamento pedagógico, que não gerava entrada própria neste glossário. As entradas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AEC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Atividade Extraclasse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Atividade Extracurricular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Estudo Individual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TA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Regime de Trabalho</w:t>
      </w:r>
      <w:r>
        <w:rPr>
          <w:iCs/>
          <w:i/>
        </w:rPr>
        <w:t xml:space="preserve"> </w:t>
      </w:r>
      <w:r>
        <w:rPr>
          <w:iCs/>
          <w:i/>
        </w:rPr>
        <w:t xml:space="preserve">foram atualizadas para refletir a taxonomia final (Alternativa 1 — taxonomia normativa completa, com Estudo Individual em categoria à parte) e a fundamentação curricular do 9º TA.</w:t>
      </w:r>
    </w:p>
    <w:p>
      <w:pPr>
        <w:pStyle w:val="BodyText"/>
      </w:pPr>
      <w:r>
        <w:rPr>
          <w:iCs/>
          <w:i/>
        </w:rPr>
        <w:t xml:space="preserve">Nota de revisão herdada (v1.2, 31/07/2026): alinhamento ao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Glossário Oficial do SEN/DEnsM consolidado</w:t>
      </w:r>
      <w:r>
        <w:rPr>
          <w:iCs/>
          <w:i/>
        </w:rPr>
        <w:t xml:space="preserve">. Onde a definição interna do projeto divergia da definição normativa, a normativa prevalece e a divergência fica registrada explicitamente na própria entrada.</w:t>
      </w:r>
    </w:p>
    <w:p>
      <w:r>
        <w:pict>
          <v:rect style="width:0;height:1.5pt" o:hralign="center" o:hrstd="t" o:hr="t"/>
        </w:pict>
      </w:r>
    </w:p>
    <w:bookmarkEnd w:id="20"/>
    <w:bookmarkStart w:id="21" w:name="X9b81732b95a30b433198004536d37cbb1a0d0e9"/>
    <w:p>
      <w:pPr>
        <w:pStyle w:val="Heading2"/>
      </w:pPr>
      <w:r>
        <w:t xml:space="preserve">Nota de vocabulário:</w:t>
      </w:r>
      <w:r>
        <w:t xml:space="preserve"> </w:t>
      </w:r>
      <w:r>
        <w:t xml:space="preserve">“</w:t>
      </w:r>
      <w:r>
        <w:t xml:space="preserve">Matéria</w:t>
      </w:r>
      <w:r>
        <w:t xml:space="preserve">”</w:t>
      </w:r>
      <w:r>
        <w:t xml:space="preserve"> </w:t>
      </w:r>
      <w:r>
        <w:t xml:space="preserve">(sistema) ×</w:t>
      </w:r>
      <w:r>
        <w:t xml:space="preserve"> </w:t>
      </w:r>
      <w:r>
        <w:t xml:space="preserve">“</w:t>
      </w:r>
      <w:r>
        <w:t xml:space="preserve">Disciplina</w:t>
      </w:r>
      <w:r>
        <w:t xml:space="preserve">”</w:t>
      </w:r>
      <w:r>
        <w:t xml:space="preserve"> </w:t>
      </w:r>
      <w:r>
        <w:t xml:space="preserve">(norma)</w:t>
      </w:r>
      <w:r>
        <w:t xml:space="preserve"> </w:t>
      </w:r>
      <w:r>
        <w:rPr>
          <w:bCs/>
          <w:b/>
        </w:rPr>
        <w:t xml:space="preserve">[PRESERVADO — e reforçado na v2.1]</w:t>
      </w:r>
    </w:p>
    <w:p>
      <w:pPr>
        <w:pStyle w:val="FirstParagraph"/>
      </w:pPr>
      <w:r>
        <w:t xml:space="preserve">Todo o corpo normativo do SEN — e, por consequência, currículos, PlaDis, CHD e os documentos oficiais do CIAARA — usa o termo</w:t>
      </w:r>
      <w:r>
        <w:t xml:space="preserve"> </w:t>
      </w:r>
      <w:r>
        <w:rPr>
          <w:bCs/>
          <w:b/>
        </w:rPr>
        <w:t xml:space="preserve">Disciplina</w:t>
      </w:r>
      <w:r>
        <w:t xml:space="preserve">. O sistema CIAARA-11, desde a v1.0, usava</w:t>
      </w:r>
      <w:r>
        <w:t xml:space="preserve"> </w:t>
      </w:r>
      <w:r>
        <w:rPr>
          <w:bCs/>
          <w:b/>
        </w:rPr>
        <w:t xml:space="preserve">Matéria</w:t>
      </w:r>
      <w:r>
        <w:t xml:space="preserve"> </w:t>
      </w:r>
      <w:r>
        <w:t xml:space="preserve">em nomes de aba, coluna e tela (</w:t>
      </w:r>
      <w:r>
        <w:rPr>
          <w:rStyle w:val="VerbatimChar"/>
        </w:rPr>
        <w:t xml:space="preserve">Cad_Matérias</w:t>
      </w:r>
      <w:r>
        <w:t xml:space="preserve">,</w:t>
      </w:r>
      <w:r>
        <w:t xml:space="preserve"> </w:t>
      </w:r>
      <w:r>
        <w:rPr>
          <w:rStyle w:val="VerbatimChar"/>
        </w:rPr>
        <w:t xml:space="preserve">ID_Materia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Nome_Materia</w:t>
      </w:r>
      <w:r>
        <w:t xml:space="preserve">). São o mesmo conceito. Este glossário adota</w:t>
      </w:r>
      <w:r>
        <w:t xml:space="preserve"> </w:t>
      </w:r>
      <w:r>
        <w:rPr>
          <w:bCs/>
          <w:b/>
        </w:rPr>
        <w:t xml:space="preserve">Disciplina</w:t>
      </w:r>
      <w:r>
        <w:t xml:space="preserve"> </w:t>
      </w:r>
      <w:r>
        <w:t xml:space="preserve">como termo normativo preferencial em toda a redação.</w:t>
      </w:r>
    </w:p>
    <w:p>
      <w:pPr>
        <w:pStyle w:val="BodyText"/>
      </w:pPr>
      <w:r>
        <w:rPr>
          <w:bCs/>
          <w:b/>
        </w:rPr>
        <w:t xml:space="preserve">[RESOLVIDO — v2.0, PRESERVADO — v2.1]</w:t>
      </w:r>
      <w:r>
        <w:t xml:space="preserve"> </w:t>
      </w:r>
      <w:r>
        <w:t xml:space="preserve">A proposta</w:t>
      </w:r>
      <w:r>
        <w:t xml:space="preserve"> </w:t>
      </w:r>
      <w:r>
        <w:rPr>
          <w:bCs/>
          <w:b/>
        </w:rPr>
        <w:t xml:space="preserve">P-14</w:t>
      </w:r>
      <w:r>
        <w:t xml:space="preserve"> </w:t>
      </w:r>
      <w:r>
        <w:t xml:space="preserve">foi aprovada e</w:t>
      </w:r>
      <w:r>
        <w:t xml:space="preserve"> </w:t>
      </w:r>
      <w:r>
        <w:rPr>
          <w:bCs/>
          <w:b/>
        </w:rPr>
        <w:t xml:space="preserve">executada fisicamente na v2.0</w:t>
      </w:r>
      <w:r>
        <w:t xml:space="preserve">: a base de dados passou a usar</w:t>
      </w:r>
      <w:r>
        <w:t xml:space="preserve"> </w:t>
      </w:r>
      <w:r>
        <w:rPr>
          <w:rStyle w:val="VerbatimChar"/>
        </w:rPr>
        <w:t xml:space="preserve">Cad_Disciplinas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Instrutor_Disciplina</w:t>
      </w:r>
      <w:r>
        <w:t xml:space="preserve">,</w:t>
      </w:r>
      <w:r>
        <w:t xml:space="preserve"> </w:t>
      </w:r>
      <w:r>
        <w:rPr>
          <w:rStyle w:val="VerbatimChar"/>
        </w:rPr>
        <w:t xml:space="preserve">ID_Disciplina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Nome_Disciplina</w:t>
      </w:r>
      <w:r>
        <w:t xml:space="preserve">, por migração versionada (</w:t>
      </w:r>
      <w:r>
        <w:rPr>
          <w:rStyle w:val="VerbatimChar"/>
        </w:rPr>
        <w:t xml:space="preserve">migracao/renomear_materia_para_disciplina.py</w:t>
      </w:r>
      <w:r>
        <w:t xml:space="preserve">), com o log acrescentando linhas novas em vez de reescrever as existentes. A FK/PK</w:t>
      </w:r>
      <w:r>
        <w:t xml:space="preserve"> </w:t>
      </w:r>
      <w:r>
        <w:rPr>
          <w:rStyle w:val="VerbatimChar"/>
        </w:rPr>
        <w:t xml:space="preserve">ID_Grade</w:t>
      </w:r>
      <w:r>
        <w:t xml:space="preserve"> </w:t>
      </w:r>
      <w:r>
        <w:t xml:space="preserve">foi deliberadamente mantida — não é sinônimo direto de</w:t>
      </w:r>
      <w:r>
        <w:t xml:space="preserve"> </w:t>
      </w:r>
      <w:r>
        <w:t xml:space="preserve">“</w:t>
      </w:r>
      <w:r>
        <w:t xml:space="preserve">Disciplina</w:t>
      </w:r>
      <w:r>
        <w:t xml:space="preserve">”</w:t>
      </w:r>
      <w:r>
        <w:t xml:space="preserve">, é o</w:t>
      </w:r>
      <w:r>
        <w:t xml:space="preserve"> </w:t>
      </w:r>
      <w:r>
        <w:rPr>
          <w:bCs/>
          <w:b/>
        </w:rPr>
        <w:t xml:space="preserve">slot na grade curricular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Regra da v2.1, sem exceção: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Disciplina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é o nome canônico.</w:t>
      </w:r>
      <w:r>
        <w:t xml:space="preserve"> </w:t>
      </w:r>
      <w:r>
        <w:t xml:space="preserve">Vale para nome de tabela (</w:t>
      </w:r>
      <w:r>
        <w:rPr>
          <w:rStyle w:val="VerbatimChar"/>
        </w:rPr>
        <w:t xml:space="preserve">disciplinas</w:t>
      </w:r>
      <w:r>
        <w:t xml:space="preserve">), de coluna (</w:t>
      </w:r>
      <w:r>
        <w:rPr>
          <w:rStyle w:val="VerbatimChar"/>
        </w:rPr>
        <w:t xml:space="preserve">disciplina_id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nome_disciplina</w:t>
      </w:r>
      <w:r>
        <w:t xml:space="preserve">), de tipo TypeScript (</w:t>
      </w:r>
      <w:r>
        <w:rPr>
          <w:rStyle w:val="VerbatimChar"/>
        </w:rPr>
        <w:t xml:space="preserve">Disciplina</w:t>
      </w:r>
      <w:r>
        <w:t xml:space="preserve">), de rota (</w:t>
      </w:r>
      <w:r>
        <w:rPr>
          <w:rStyle w:val="VerbatimChar"/>
        </w:rPr>
        <w:t xml:space="preserve">/disciplinas</w:t>
      </w:r>
      <w:r>
        <w:t xml:space="preserve">), de componente, de mensagem de interface, de spec e de mensagem de commit.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Matéria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não aparece em artefato novo</w:t>
      </w:r>
      <w:r>
        <w:t xml:space="preserve"> </w:t>
      </w:r>
      <w:r>
        <w:t xml:space="preserve">— sobrevive apenas como sinônimo aceito em conversa e no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legado migrado, onde é histórico e por isso imutável. Uma tabela</w:t>
      </w:r>
      <w:r>
        <w:t xml:space="preserve"> </w:t>
      </w:r>
      <w:r>
        <w:rPr>
          <w:rStyle w:val="VerbatimChar"/>
        </w:rPr>
        <w:t xml:space="preserve">materias</w:t>
      </w:r>
      <w:r>
        <w:t xml:space="preserve"> </w:t>
      </w:r>
      <w:r>
        <w:t xml:space="preserve">na v2.1 seria uma regressão de vocabulário, não uma escolha de estilo.</w:t>
      </w:r>
    </w:p>
    <w:p>
      <w:r>
        <w:pict>
          <v:rect style="width:0;height:1.5pt" o:hralign="center" o:hrstd="t" o:hr="t"/>
        </w:pict>
      </w:r>
    </w:p>
    <w:bookmarkEnd w:id="21"/>
    <w:bookmarkStart w:id="22" w:name="X6bf213bb0ae2f682cb3d0b23afbdcf2bd30dee3"/>
    <w:p>
      <w:pPr>
        <w:pStyle w:val="Heading2"/>
      </w:pPr>
      <w:r>
        <w:t xml:space="preserve">Termos institucionais e do domínio de ensino</w:t>
      </w:r>
      <w:r>
        <w:t xml:space="preserve"> </w:t>
      </w:r>
      <w:r>
        <w:rPr>
          <w:bCs/>
          <w:b/>
        </w:rPr>
        <w:t xml:space="preserve">[PRESERVADO — sem alteração]</w:t>
      </w:r>
    </w:p>
    <w:p>
      <w:pPr>
        <w:pStyle w:val="FirstParagraph"/>
      </w:pPr>
      <w:r>
        <w:rPr>
          <w:bCs/>
          <w:b/>
        </w:rPr>
        <w:t xml:space="preserve">CIAARA.</w:t>
      </w:r>
      <w:r>
        <w:t xml:space="preserve"> </w:t>
      </w:r>
      <w:r>
        <w:t xml:space="preserve">Centro de Instrução e Adestramento Almirante Radler de Aquino — organização de ensino da Marinha do Brasil responsável por cursos de hidrografia, oceanografia, meteorologia, navegação e auxílios à navegação.</w:t>
      </w:r>
    </w:p>
    <w:p>
      <w:pPr>
        <w:pStyle w:val="BodyText"/>
      </w:pPr>
      <w:r>
        <w:rPr>
          <w:bCs/>
          <w:b/>
        </w:rPr>
        <w:t xml:space="preserve">DHN.</w:t>
      </w:r>
      <w:r>
        <w:t xml:space="preserve"> </w:t>
      </w:r>
      <w:r>
        <w:t xml:space="preserve">Diretoria de Hidrografia e Navegação — diretoria da Marinha à qual as áreas de conhecimento ministradas pelo CIAARA se relacionam.</w:t>
      </w:r>
    </w:p>
    <w:p>
      <w:pPr>
        <w:pStyle w:val="BodyText"/>
      </w:pPr>
      <w:r>
        <w:rPr>
          <w:bCs/>
          <w:b/>
        </w:rPr>
        <w:t xml:space="preserve">PROENS.</w:t>
      </w:r>
      <w:r>
        <w:t xml:space="preserve"> </w:t>
      </w:r>
      <w:r>
        <w:t xml:space="preserve">Programa de Ensino — documento de planejamento anual do CIAARA, elaborado conforme a DGPM-101, que define calendário escolar, cursos/turmas do ano, grade curricular semanal e reservas de Administração/Tempo Reserva por curso. É a diretiva-mãe que o sistema CIAARA-11 opera e acompanha.</w:t>
      </w:r>
    </w:p>
    <w:p>
      <w:pPr>
        <w:pStyle w:val="BodyText"/>
      </w:pPr>
      <w:r>
        <w:rPr>
          <w:bCs/>
          <w:b/>
        </w:rPr>
        <w:t xml:space="preserve">DGPM-101.</w:t>
      </w:r>
      <w:r>
        <w:t xml:space="preserve"> </w:t>
      </w:r>
      <w:r>
        <w:t xml:space="preserve">Publicação</w:t>
      </w:r>
      <w:r>
        <w:t xml:space="preserve"> </w:t>
      </w:r>
      <w:r>
        <w:t xml:space="preserve">“</w:t>
      </w:r>
      <w:r>
        <w:t xml:space="preserve">Normas para os Cursos e Estágios do Sistema de Ensino Naval (SEN)</w:t>
      </w:r>
      <w:r>
        <w:t xml:space="preserve">”</w:t>
      </w:r>
      <w:r>
        <w:t xml:space="preserve"> </w:t>
      </w:r>
      <w:r>
        <w:t xml:space="preserve">— norma da Marinha que rege a elaboração do PROENS.</w:t>
      </w:r>
    </w:p>
    <w:p>
      <w:pPr>
        <w:pStyle w:val="BodyText"/>
      </w:pPr>
      <w:r>
        <w:rPr>
          <w:bCs/>
          <w:b/>
        </w:rPr>
        <w:t xml:space="preserve">OM.</w:t>
      </w:r>
      <w:r>
        <w:t xml:space="preserve"> </w:t>
      </w:r>
      <w:r>
        <w:t xml:space="preserve">Organização Militar — unidade à qual um instrutor está vinculado (ex.: CHM, DHN, CIAARA, BHMN, CAMR, INPG, HNMD, EN).</w:t>
      </w:r>
    </w:p>
    <w:p>
      <w:pPr>
        <w:pStyle w:val="BodyText"/>
      </w:pPr>
      <w:r>
        <w:rPr>
          <w:bCs/>
          <w:b/>
        </w:rPr>
        <w:t xml:space="preserve">P/G.</w:t>
      </w:r>
      <w:r>
        <w:t xml:space="preserve"> </w:t>
      </w:r>
      <w:r>
        <w:t xml:space="preserve">Posto/Graduação — patente do militar (ex.: CMG, CF, CC, CT, 1°Ten, 2°Ten, SO, 1°SG, 2°SG, 3°SG, CB, MN), base do cálculo de antiguidade no sistema.</w:t>
      </w:r>
    </w:p>
    <w:p>
      <w:pPr>
        <w:pStyle w:val="BodyText"/>
      </w:pPr>
      <w:r>
        <w:rPr>
          <w:bCs/>
          <w:b/>
        </w:rPr>
        <w:t xml:space="preserve">NIP.</w:t>
      </w:r>
      <w:r>
        <w:t xml:space="preserve"> </w:t>
      </w:r>
      <w:r>
        <w:t xml:space="preserve">Número de Identificação do Pessoal Militar.</w:t>
      </w:r>
    </w:p>
    <w:p>
      <w:pPr>
        <w:pStyle w:val="BodyText"/>
      </w:pPr>
      <w:r>
        <w:rPr>
          <w:bCs/>
          <w:b/>
        </w:rPr>
        <w:t xml:space="preserve">TA. [CORRIGIDO — v1.2; RESOLVIDO — v1.3]</w:t>
      </w:r>
      <w:r>
        <w:t xml:space="preserve"> </w:t>
      </w:r>
      <w:r>
        <w:t xml:space="preserve">Tempo de Aula — unidade básica de medida de tempo de efetiva atividade de ensino. Definição normativa completa (Glossário DEnsM, §2): o TA tem duração de</w:t>
      </w:r>
      <w:r>
        <w:t xml:space="preserve"> </w:t>
      </w:r>
      <w:r>
        <w:rPr>
          <w:bCs/>
          <w:b/>
        </w:rPr>
        <w:t xml:space="preserve">45 ou 50 minutos</w:t>
      </w:r>
      <w:r>
        <w:t xml:space="preserve">; para efeito de cálculo de carga horária,</w:t>
      </w:r>
      <w:r>
        <w:t xml:space="preserve"> </w:t>
      </w:r>
      <w:r>
        <w:rPr>
          <w:bCs/>
          <w:b/>
        </w:rPr>
        <w:t xml:space="preserve">1 TA equivale a 1 hora</w:t>
      </w:r>
      <w:r>
        <w:t xml:space="preserve"> </w:t>
      </w:r>
      <w:r>
        <w:t xml:space="preserve">(aula + intervalo); o padrão geral é de</w:t>
      </w:r>
      <w:r>
        <w:t xml:space="preserve"> </w:t>
      </w:r>
      <w:r>
        <w:rPr>
          <w:bCs/>
          <w:b/>
        </w:rPr>
        <w:t xml:space="preserve">7 TA de 50 minutos</w:t>
      </w:r>
      <w:r>
        <w:t xml:space="preserve"> </w:t>
      </w:r>
      <w:r>
        <w:t xml:space="preserve">(intervalos de 10 min)</w:t>
      </w:r>
      <w:r>
        <w:t xml:space="preserve"> </w:t>
      </w:r>
      <w:r>
        <w:rPr>
          <w:bCs/>
          <w:b/>
        </w:rPr>
        <w:t xml:space="preserve">ou 8 TA de 45 minutos</w:t>
      </w:r>
      <w:r>
        <w:t xml:space="preserve"> </w:t>
      </w:r>
      <w:r>
        <w:t xml:space="preserve">(intervalos de 5 min), com um</w:t>
      </w:r>
      <w:r>
        <w:t xml:space="preserve"> </w:t>
      </w:r>
      <w:r>
        <w:rPr>
          <w:bCs/>
          <w:b/>
        </w:rPr>
        <w:t xml:space="preserve">9º TA opcional de apoio</w:t>
      </w:r>
      <w:r>
        <w:t xml:space="preserve"> </w:t>
      </w:r>
      <w:r>
        <w:t xml:space="preserve">admitido quando o</w:t>
      </w:r>
      <w:r>
        <w:t xml:space="preserve"> </w:t>
      </w:r>
      <w:r>
        <w:rPr>
          <w:bCs/>
          <w:b/>
        </w:rPr>
        <w:t xml:space="preserve">currículo do curso</w:t>
      </w:r>
      <w:r>
        <w:t xml:space="preserve"> </w:t>
      </w:r>
      <w:r>
        <w:t xml:space="preserve">o autorizar explicitamente como situação especial (confirmado nos currículos de CAHO, C-Ap-HN e C-Ap-FR). Toda carga horária no sistema é contada em TA.</w:t>
      </w:r>
      <w:r>
        <w:t xml:space="preserve"> </w:t>
      </w:r>
      <w:r>
        <w:rPr>
          <w:iCs/>
          <w:i/>
        </w:rPr>
        <w:t xml:space="preserve">A configuração de horário com 9 TA diários encontrada na base (documento 09, achado A-3) foi confirmada como exceção curricular legítima, não como não conformidade — e é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alerta informativo, nunca bloqueio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CH.</w:t>
      </w:r>
      <w:r>
        <w:t xml:space="preserve"> </w:t>
      </w:r>
      <w:r>
        <w:t xml:space="preserve">Carga Horária — soma de tempos de aula (TA) previstos ou executados. No vocabulário normativo, decompõe-se nas quatro grandezas abaixo.</w:t>
      </w:r>
    </w:p>
    <w:p>
      <w:pPr>
        <w:pStyle w:val="BodyText"/>
      </w:pPr>
      <w:r>
        <w:rPr>
          <w:bCs/>
          <w:b/>
        </w:rPr>
        <w:t xml:space="preserve">CHT.</w:t>
      </w:r>
      <w:r>
        <w:t xml:space="preserve"> </w:t>
      </w:r>
      <w:r>
        <w:t xml:space="preserve">Carga Horária Total — somatório de todos os TA de um curso, pela fórmula normativa</w:t>
      </w:r>
      <w:r>
        <w:t xml:space="preserve"> </w:t>
      </w:r>
      <w:r>
        <w:rPr>
          <w:bCs/>
          <w:b/>
        </w:rPr>
        <w:t xml:space="preserve">CHT = CHD + AEC + TAD + TR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CHR.</w:t>
      </w:r>
      <w:r>
        <w:t xml:space="preserve"> </w:t>
      </w:r>
      <w:r>
        <w:t xml:space="preserve">Carga Horária Real — somatório estrito das cargas horárias de todas as disciplinas do currículo. É a base de cálculo dos tetos de TAD e TR.</w:t>
      </w:r>
    </w:p>
    <w:p>
      <w:pPr>
        <w:pStyle w:val="BodyText"/>
      </w:pPr>
      <w:r>
        <w:rPr>
          <w:bCs/>
          <w:b/>
        </w:rPr>
        <w:t xml:space="preserve">CHD.</w:t>
      </w:r>
      <w:r>
        <w:t xml:space="preserve"> </w:t>
      </w:r>
      <w:r>
        <w:t xml:space="preserve">Carga Horária da Disciplina — somatório dos TA destinados a uma disciplina,</w:t>
      </w:r>
      <w:r>
        <w:t xml:space="preserve"> </w:t>
      </w:r>
      <w:r>
        <w:rPr>
          <w:bCs/>
          <w:b/>
        </w:rPr>
        <w:t xml:space="preserve">incluindo o tempo de avaliações e de vista/comentários de prova</w:t>
      </w:r>
      <w:r>
        <w:t xml:space="preserve">. Esta inclusão é normativa e fundamenta o requisito de que avaliação e vista de prova consumam TA e apareçam no Detalhe Semanal de Aula (documento 02, RF-AVAL-04).</w:t>
      </w:r>
    </w:p>
    <w:p>
      <w:pPr>
        <w:pStyle w:val="BodyText"/>
      </w:pPr>
      <w:r>
        <w:rPr>
          <w:bCs/>
          <w:b/>
        </w:rPr>
        <w:t xml:space="preserve">AEC. [RESOLVIDO — v1.3]</w:t>
      </w:r>
      <w:r>
        <w:t xml:space="preserve"> </w:t>
      </w:r>
      <w:r>
        <w:t xml:space="preserve">Atividades Extraclasse — atividades que complementam o ensino (palestras, visitas técnicas, viagens, treinamentos esportivos) e que</w:t>
      </w:r>
      <w:r>
        <w:t xml:space="preserve"> </w:t>
      </w:r>
      <w:r>
        <w:rPr>
          <w:bCs/>
          <w:b/>
        </w:rPr>
        <w:t xml:space="preserve">não são computadas na carga horária das disciplinas</w:t>
      </w:r>
      <w:r>
        <w:t xml:space="preserve">, com teto de</w:t>
      </w:r>
      <w:r>
        <w:t xml:space="preserve"> </w:t>
      </w:r>
      <w:r>
        <w:rPr>
          <w:bCs/>
          <w:b/>
        </w:rPr>
        <w:t xml:space="preserve">10% do somatório das CHD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TAD.</w:t>
      </w:r>
      <w:r>
        <w:t xml:space="preserve"> </w:t>
      </w:r>
      <w:r>
        <w:t xml:space="preserve">Tempo para a Administração — tempo destinado a atividades programadas pelo Comando/Superintendência de Ensino (identificação de alunos, processamento de resultados). Teto normativo:</w:t>
      </w:r>
      <w:r>
        <w:t xml:space="preserve"> </w:t>
      </w:r>
      <w:r>
        <w:rPr>
          <w:bCs/>
          <w:b/>
        </w:rPr>
        <w:t xml:space="preserve">5% da CHR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TR.</w:t>
      </w:r>
      <w:r>
        <w:t xml:space="preserve"> </w:t>
      </w:r>
      <w:r>
        <w:t xml:space="preserve">Tempo Reserva — margem de segurança para reposição de TA planejados e não cumpridos por intercorrências. Teto normativo:</w:t>
      </w:r>
      <w:r>
        <w:t xml:space="preserve"> </w:t>
      </w:r>
      <w:r>
        <w:rPr>
          <w:bCs/>
          <w:b/>
        </w:rPr>
        <w:t xml:space="preserve">10% da CHR</w:t>
      </w:r>
      <w:r>
        <w:t xml:space="preserve">. É a grandeza que a documentação interna vinha chamando informalmente de</w:t>
      </w:r>
      <w:r>
        <w:t xml:space="preserve"> </w:t>
      </w:r>
      <w:r>
        <w:t xml:space="preserve">“</w:t>
      </w:r>
      <w:r>
        <w:t xml:space="preserve">gordura</w:t>
      </w:r>
      <w:r>
        <w:t xml:space="preserve">”</w:t>
      </w:r>
      <w:r>
        <w:t xml:space="preserve">; o termo normativo correto é</w:t>
      </w:r>
      <w:r>
        <w:t xml:space="preserve"> </w:t>
      </w:r>
      <w:r>
        <w:rPr>
          <w:bCs/>
          <w:b/>
        </w:rPr>
        <w:t xml:space="preserve">Tempo Reserva</w:t>
      </w:r>
      <w:r>
        <w:t xml:space="preserve">, e é ele que prevalece.</w:t>
      </w:r>
    </w:p>
    <w:p>
      <w:pPr>
        <w:pStyle w:val="BodyText"/>
      </w:pPr>
      <w:r>
        <w:rPr>
          <w:bCs/>
          <w:b/>
        </w:rPr>
        <w:t xml:space="preserve">PM.</w:t>
      </w:r>
      <w:r>
        <w:t xml:space="preserve"> </w:t>
      </w:r>
      <w:r>
        <w:t xml:space="preserve">Prova Mista — avaliação escrita padrão do CIAARA, no motor preditivo sempre alocada como bloco fechado de 3 TAs contíguos. Modalidade de prova que reúne, simultaneamente, questões objetivas e dissertativas (Glossário DEnsM §5; documento 04, RN-2027-04).</w:t>
      </w:r>
    </w:p>
    <w:p>
      <w:pPr>
        <w:pStyle w:val="BodyText"/>
      </w:pPr>
      <w:r>
        <w:rPr>
          <w:bCs/>
          <w:b/>
        </w:rPr>
        <w:t xml:space="preserve">PP.</w:t>
      </w:r>
      <w:r>
        <w:t xml:space="preserve"> </w:t>
      </w:r>
      <w:r>
        <w:t xml:space="preserve">Prova Prática. ·</w:t>
      </w:r>
      <w:r>
        <w:t xml:space="preserve"> </w:t>
      </w:r>
      <w:r>
        <w:rPr>
          <w:bCs/>
          <w:b/>
        </w:rPr>
        <w:t xml:space="preserve">PE.</w:t>
      </w:r>
      <w:r>
        <w:t xml:space="preserve"> </w:t>
      </w:r>
      <w:r>
        <w:t xml:space="preserve">Prova Escrita (Objetiva). ·</w:t>
      </w:r>
      <w:r>
        <w:t xml:space="preserve"> </w:t>
      </w:r>
      <w:r>
        <w:rPr>
          <w:bCs/>
          <w:b/>
        </w:rPr>
        <w:t xml:space="preserve">PT.</w:t>
      </w:r>
      <w:r>
        <w:t xml:space="preserve"> </w:t>
      </w:r>
      <w:r>
        <w:t xml:space="preserve">Prova a Distância/Eletrônica (usada em cursos EAD/semipresenciais).</w:t>
      </w:r>
    </w:p>
    <w:p>
      <w:pPr>
        <w:pStyle w:val="BodyText"/>
      </w:pPr>
      <w:r>
        <w:rPr>
          <w:bCs/>
          <w:b/>
        </w:rPr>
        <w:t xml:space="preserve">OD.</w:t>
      </w:r>
      <w:r>
        <w:t xml:space="preserve"> </w:t>
      </w:r>
      <w:r>
        <w:t xml:space="preserve">Observação de Desempenho — avaliação por acompanhamento de desempenho prático (ex.: seminário, folha de avaliação de estágio prático), em vez de prova formal.</w:t>
      </w:r>
    </w:p>
    <w:p>
      <w:pPr>
        <w:pStyle w:val="BodyText"/>
      </w:pPr>
      <w:r>
        <w:rPr>
          <w:bCs/>
          <w:b/>
        </w:rPr>
        <w:t xml:space="preserve">TI / TG.</w:t>
      </w:r>
      <w:r>
        <w:t xml:space="preserve"> </w:t>
      </w:r>
      <w:r>
        <w:t xml:space="preserve">Trabalho Individual / Trabalho em Grupo.</w:t>
      </w:r>
    </w:p>
    <w:p>
      <w:pPr>
        <w:pStyle w:val="BodyText"/>
      </w:pPr>
      <w:r>
        <w:rPr>
          <w:bCs/>
          <w:b/>
        </w:rPr>
        <w:t xml:space="preserve">MF.</w:t>
      </w:r>
      <w:r>
        <w:t xml:space="preserve"> </w:t>
      </w:r>
      <w:r>
        <w:t xml:space="preserve">Média Final — nota consolidada de uma disciplina a partir das avaliações aplicadas.</w:t>
      </w:r>
      <w:r>
        <w:t xml:space="preserve"> </w:t>
      </w:r>
      <w:r>
        <w:rPr>
          <w:bCs/>
          <w:b/>
        </w:rPr>
        <w:t xml:space="preserve">Nota de escopo:</w:t>
      </w:r>
      <w:r>
        <w:t xml:space="preserve"> </w:t>
      </w:r>
      <w:r>
        <w:t xml:space="preserve">o CIAARA-11</w:t>
      </w:r>
      <w:r>
        <w:t xml:space="preserve"> </w:t>
      </w:r>
      <w:r>
        <w:rPr>
          <w:bCs/>
          <w:b/>
        </w:rPr>
        <w:t xml:space="preserve">não calcula MF</w:t>
      </w:r>
      <w:r>
        <w:t xml:space="preserve"> </w:t>
      </w:r>
      <w:r>
        <w:t xml:space="preserve">(</w:t>
      </w:r>
      <w:r>
        <w:rPr>
          <w:rStyle w:val="VerbatimChar"/>
        </w:rPr>
        <w:t xml:space="preserve">RNF-NORM-06</w:t>
      </w:r>
      <w:r>
        <w:t xml:space="preserve">, decisão D5) — a competência é da CIAARA-32 e da CIAARA-12.3. O termo consta aqui para leitura de documento normativo, não como funcionalidade.</w:t>
      </w:r>
    </w:p>
    <w:p>
      <w:pPr>
        <w:pStyle w:val="BodyText"/>
      </w:pPr>
      <w:r>
        <w:rPr>
          <w:bCs/>
          <w:b/>
        </w:rPr>
        <w:t xml:space="preserve">TFM.</w:t>
      </w:r>
      <w:r>
        <w:t xml:space="preserve"> </w:t>
      </w:r>
      <w:r>
        <w:t xml:space="preserve">Treinamento Físico Militar — disciplina presente em praticamente todos os cursos, com regra própria e rígida de distribuição semanal (teto de 6 TAs/semana no motor preditivo — documento 04, RN-DIST-03).</w:t>
      </w:r>
    </w:p>
    <w:p>
      <w:pPr>
        <w:pStyle w:val="BodyText"/>
      </w:pPr>
      <w:r>
        <w:rPr>
          <w:bCs/>
          <w:b/>
        </w:rPr>
        <w:t xml:space="preserve">LHFC.</w:t>
      </w:r>
      <w:r>
        <w:t xml:space="preserve"> </w:t>
      </w:r>
      <w:r>
        <w:t xml:space="preserve">Levantamento Hidroceanográfico de Fim de Curso — atividade prática de encerramento de curso, de caráter eliminatório e sem teto de distribuição semanal (junto com</w:t>
      </w:r>
      <w:r>
        <w:t xml:space="preserve"> </w:t>
      </w:r>
      <w:r>
        <w:t xml:space="preserve">“</w:t>
      </w:r>
      <w:r>
        <w:t xml:space="preserve">Prática de Fim de Curso</w:t>
      </w:r>
      <w:r>
        <w:t xml:space="preserve">”</w:t>
      </w:r>
      <w:r>
        <w:t xml:space="preserve">, tratada de forma equivalente pelo sistema).</w:t>
      </w:r>
    </w:p>
    <w:p>
      <w:pPr>
        <w:pStyle w:val="BodyText"/>
      </w:pPr>
      <w:r>
        <w:rPr>
          <w:bCs/>
          <w:b/>
        </w:rPr>
        <w:t xml:space="preserve">DSA.</w:t>
      </w:r>
      <w:r>
        <w:t xml:space="preserve"> </w:t>
      </w:r>
      <w:r>
        <w:t xml:space="preserve">Detalhe Semanal de Aula — documento (e módulo do sistema) que detalha, dia a dia e tempo de aula a tempo de aula, o que foi ministrado em uma turma numa semana; impresso e assinado semanalmente. Conta com motor de sugestão automática de preenchimento desde a v2.0 (ver</w:t>
      </w:r>
      <w:r>
        <w:t xml:space="preserve"> </w:t>
      </w:r>
      <w:r>
        <w:rPr>
          <w:bCs/>
          <w:b/>
        </w:rPr>
        <w:t xml:space="preserve">FET</w:t>
      </w:r>
      <w:r>
        <w:t xml:space="preserve">; documento 02, RF-DSA-08).</w:t>
      </w:r>
    </w:p>
    <w:p>
      <w:pPr>
        <w:pStyle w:val="BodyText"/>
      </w:pPr>
      <w:r>
        <w:rPr>
          <w:bCs/>
          <w:b/>
        </w:rPr>
        <w:t xml:space="preserve">Atividade Extraclasse. [RESOLVIDO — v1.3]</w:t>
      </w:r>
      <w:r>
        <w:t xml:space="preserve"> </w:t>
      </w:r>
      <w:r>
        <w:t xml:space="preserve">Sinônimo de</w:t>
      </w:r>
      <w:r>
        <w:t xml:space="preserve"> </w:t>
      </w:r>
      <w:r>
        <w:rPr>
          <w:bCs/>
          <w:b/>
        </w:rPr>
        <w:t xml:space="preserve">AEC</w:t>
      </w:r>
      <w:r>
        <w:t xml:space="preserve"> </w:t>
      </w:r>
      <w:r>
        <w:t xml:space="preserve">— ver entrada própria. Atividade que complementa o ensino — palestra, visita técnica, viagem, treinamento esportivo —</w:t>
      </w:r>
      <w:r>
        <w:t xml:space="preserve"> </w:t>
      </w:r>
      <w:r>
        <w:rPr>
          <w:bCs/>
          <w:b/>
        </w:rPr>
        <w:t xml:space="preserve">não computada na carga horária da disciplina</w:t>
      </w:r>
      <w:r>
        <w:t xml:space="preserve">, com teto de 10% do somatório das CHD.</w:t>
      </w:r>
    </w:p>
    <w:p>
      <w:pPr>
        <w:pStyle w:val="BodyText"/>
      </w:pPr>
      <w:r>
        <w:rPr>
          <w:bCs/>
          <w:b/>
        </w:rPr>
        <w:t xml:space="preserve">Atividade Extracurricular. [RENOMEADO — v1.3]</w:t>
      </w:r>
      <w:r>
        <w:t xml:space="preserve"> </w:t>
      </w:r>
      <w:r>
        <w:t xml:space="preserve">Termo</w:t>
      </w:r>
      <w:r>
        <w:t xml:space="preserve"> </w:t>
      </w:r>
      <w:r>
        <w:rPr>
          <w:bCs/>
          <w:b/>
        </w:rPr>
        <w:t xml:space="preserve">descontinuado</w:t>
      </w:r>
      <w:r>
        <w:t xml:space="preserve">. O vocabulário normativo não usa este termo; a norma distribui o que o sistema chamava de</w:t>
      </w:r>
      <w:r>
        <w:t xml:space="preserve"> </w:t>
      </w:r>
      <w:r>
        <w:t xml:space="preserve">“</w:t>
      </w:r>
      <w:r>
        <w:t xml:space="preserve">extracurricular</w:t>
      </w:r>
      <w:r>
        <w:t xml:space="preserve">”</w:t>
      </w:r>
      <w:r>
        <w:t xml:space="preserve"> </w:t>
      </w:r>
      <w:r>
        <w:t xml:space="preserve">entre</w:t>
      </w:r>
      <w:r>
        <w:t xml:space="preserve"> </w:t>
      </w:r>
      <w:r>
        <w:rPr>
          <w:bCs/>
          <w:b/>
        </w:rPr>
        <w:t xml:space="preserve">AEC</w:t>
      </w:r>
      <w:r>
        <w:t xml:space="preserve">,</w:t>
      </w:r>
      <w:r>
        <w:t xml:space="preserve"> </w:t>
      </w:r>
      <w:r>
        <w:rPr>
          <w:bCs/>
          <w:b/>
        </w:rPr>
        <w:t xml:space="preserve">TAD</w:t>
      </w:r>
      <w:r>
        <w:t xml:space="preserve">,</w:t>
      </w:r>
      <w:r>
        <w:t xml:space="preserve"> </w:t>
      </w:r>
      <w:r>
        <w:rPr>
          <w:bCs/>
          <w:b/>
        </w:rPr>
        <w:t xml:space="preserve">TR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Estudo Individual</w:t>
      </w:r>
      <w:r>
        <w:t xml:space="preserve">, cada um com teto ou regra própria. A aba</w:t>
      </w:r>
      <w:r>
        <w:t xml:space="preserve"> </w:t>
      </w:r>
      <w:r>
        <w:rPr>
          <w:rStyle w:val="VerbatimChar"/>
        </w:rPr>
        <w:t xml:space="preserve">Eventos_Extracurriculares</w:t>
      </w:r>
      <w:r>
        <w:t xml:space="preserve"> </w:t>
      </w:r>
      <w:r>
        <w:t xml:space="preserve">foi recategorizada nesses quatro destinos na migração da v2.0, e a tabela correspondente da v2.1 se chama</w:t>
      </w:r>
      <w:r>
        <w:t xml:space="preserve"> </w:t>
      </w:r>
      <w:r>
        <w:rPr>
          <w:rStyle w:val="VerbatimChar"/>
        </w:rPr>
        <w:t xml:space="preserve">atividades_nao_letivas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Estudo Individual. [RESOLVIDO — v1.3]</w:t>
      </w:r>
      <w:r>
        <w:t xml:space="preserve"> </w:t>
      </w:r>
      <w:r>
        <w:t xml:space="preserve">Tempo de estudo dirigido do aluno, o tipo de lançamento mais frequente da base (531 dos 663 registros de atividades, contando Monitoria e Português para Estrangeiros na recategorização). Normativamente associado ao regime de Estudo Obrigatório, que destina 20% das horas-aula diárias a estudo individual (10% sem esse regime).</w:t>
      </w:r>
      <w:r>
        <w:t xml:space="preserve"> </w:t>
      </w:r>
      <w:r>
        <w:rPr>
          <w:bCs/>
          <w:b/>
        </w:rPr>
        <w:t xml:space="preserve">Registrado em categoria própria</w:t>
      </w:r>
      <w:r>
        <w:t xml:space="preserve">, separada de AEC/TAD/TR.</w:t>
      </w:r>
    </w:p>
    <w:p>
      <w:pPr>
        <w:pStyle w:val="BodyText"/>
      </w:pPr>
      <w:r>
        <w:rPr>
          <w:bCs/>
          <w:b/>
        </w:rPr>
        <w:t xml:space="preserve">Vista de Prova.</w:t>
      </w:r>
      <w:r>
        <w:t xml:space="preserve"> </w:t>
      </w:r>
      <w:r>
        <w:t xml:space="preserve">Sessão de apresentação e comentário do resultado da avaliação aos alunos. Normativamente integra a</w:t>
      </w:r>
      <w:r>
        <w:t xml:space="preserve"> </w:t>
      </w:r>
      <w:r>
        <w:rPr>
          <w:bCs/>
          <w:b/>
        </w:rPr>
        <w:t xml:space="preserve">CHD</w:t>
      </w:r>
      <w:r>
        <w:t xml:space="preserve"> </w:t>
      </w:r>
      <w:r>
        <w:t xml:space="preserve">da disciplina — ou seja,</w:t>
      </w:r>
      <w:r>
        <w:t xml:space="preserve"> </w:t>
      </w:r>
      <w:r>
        <w:rPr>
          <w:bCs/>
          <w:b/>
        </w:rPr>
        <w:t xml:space="preserve">consome TA</w:t>
      </w:r>
      <w:r>
        <w:t xml:space="preserve"> </w:t>
      </w:r>
      <w:r>
        <w:t xml:space="preserve">e deve constar do Detalhe Semanal de Aula.</w:t>
      </w:r>
    </w:p>
    <w:p>
      <w:pPr>
        <w:pStyle w:val="BodyText"/>
      </w:pPr>
      <w:r>
        <w:rPr>
          <w:bCs/>
          <w:b/>
        </w:rPr>
        <w:t xml:space="preserve">CIAARA-11 (código regimental).</w:t>
      </w:r>
      <w:r>
        <w:t xml:space="preserve"> </w:t>
      </w:r>
      <w:r>
        <w:t xml:space="preserve">Código da</w:t>
      </w:r>
      <w:r>
        <w:t xml:space="preserve"> </w:t>
      </w:r>
      <w:r>
        <w:rPr>
          <w:bCs/>
          <w:b/>
        </w:rPr>
        <w:t xml:space="preserve">Divisão de Administração Acadêmica</w:t>
      </w:r>
      <w:r>
        <w:t xml:space="preserve"> </w:t>
      </w:r>
      <w:r>
        <w:t xml:space="preserve">do CIAARA no Regimento Interno. O sistema leva o nome da divisão que o opera —</w:t>
      </w:r>
      <w:r>
        <w:t xml:space="preserve"> </w:t>
      </w:r>
      <w:r>
        <w:rPr>
          <w:bCs/>
          <w:b/>
        </w:rPr>
        <w:t xml:space="preserve">não é um número de versão</w:t>
      </w:r>
      <w:r>
        <w:t xml:space="preserve">. Ver documento 01, seção 0.</w:t>
      </w:r>
    </w:p>
    <w:p>
      <w:pPr>
        <w:pStyle w:val="BodyText"/>
      </w:pPr>
      <w:r>
        <w:rPr>
          <w:bCs/>
          <w:b/>
        </w:rPr>
        <w:t xml:space="preserve">CIAARA-10 · 12 · 13 · 14 · 31 · 32.</w:t>
      </w:r>
      <w:r>
        <w:t xml:space="preserve"> </w:t>
      </w:r>
      <w:r>
        <w:t xml:space="preserve">Departamento de Ensino · Divisão de Orientação Educacional e Pedagógica · Divisão de Ensino a Distância · Divisão de Recursos Instrucionais · Divisão de Coordenação de Alunos · Divisão de Registro Escolar. Detalhamento de papéis e fronteiras de escopo no documento 01.</w:t>
      </w:r>
    </w:p>
    <w:p>
      <w:pPr>
        <w:pStyle w:val="BodyText"/>
      </w:pPr>
      <w:r>
        <w:rPr>
          <w:bCs/>
          <w:b/>
        </w:rPr>
        <w:t xml:space="preserve">Cronos</w:t>
      </w:r>
      <w:r>
        <w:t xml:space="preserve"> </w:t>
      </w:r>
      <w:r>
        <w:rPr>
          <w:iCs/>
          <w:i/>
        </w:rPr>
        <w:t xml:space="preserve">(v1.0)</w:t>
      </w:r>
      <w:r>
        <w:t xml:space="preserve"> </w:t>
      </w:r>
      <w:r>
        <w:rPr>
          <w:bCs/>
          <w:b/>
        </w:rPr>
        <w:t xml:space="preserve">/ Cronograma</w:t>
      </w:r>
      <w:r>
        <w:t xml:space="preserve"> </w:t>
      </w:r>
      <w:r>
        <w:rPr>
          <w:iCs/>
          <w:i/>
        </w:rPr>
        <w:t xml:space="preserve">(v2.0 em diante)</w:t>
      </w:r>
      <w:r>
        <w:rPr>
          <w:bCs/>
          <w:b/>
        </w:rPr>
        <w:t xml:space="preserve">.</w:t>
      </w:r>
      <w:r>
        <w:t xml:space="preserve"> </w:t>
      </w:r>
      <w:r>
        <w:t xml:space="preserve">Na v1.0,</w:t>
      </w:r>
      <w:r>
        <w:t xml:space="preserve"> </w:t>
      </w:r>
      <w:r>
        <w:t xml:space="preserve">“</w:t>
      </w:r>
      <w:r>
        <w:t xml:space="preserve">Cronos</w:t>
      </w:r>
      <w:r>
        <w:t xml:space="preserve">”</w:t>
      </w:r>
      <w:r>
        <w:t xml:space="preserve"> </w:t>
      </w:r>
      <w:r>
        <w:t xml:space="preserve">era o módulo que comparava carga horária prevista e executada por semana e por matéria. Desde a v2.0 ele se funde com o Diagrama de Alocação em um único módulo chamado</w:t>
      </w:r>
      <w:r>
        <w:t xml:space="preserve"> </w:t>
      </w:r>
      <w:r>
        <w:rPr>
          <w:bCs/>
          <w:b/>
        </w:rPr>
        <w:t xml:space="preserve">Cronograma</w:t>
      </w:r>
      <w:r>
        <w:t xml:space="preserve"> </w:t>
      </w:r>
      <w:r>
        <w:t xml:space="preserve">(decisão D4; documento 02, RF-CRONOS), cobrindo tanto a previsão quanto a execução real, para qualquer ano.</w:t>
      </w:r>
    </w:p>
    <w:p>
      <w:pPr>
        <w:pStyle w:val="BodyText"/>
      </w:pPr>
      <w:r>
        <w:rPr>
          <w:bCs/>
          <w:b/>
        </w:rPr>
        <w:t xml:space="preserve">Diagrama de Alocação</w:t>
      </w:r>
      <w:r>
        <w:t xml:space="preserve"> </w:t>
      </w:r>
      <w:r>
        <w:rPr>
          <w:iCs/>
          <w:i/>
        </w:rPr>
        <w:t xml:space="preserve">(v1.0, termo retirado)</w:t>
      </w:r>
      <w:r>
        <w:rPr>
          <w:bCs/>
          <w:b/>
        </w:rPr>
        <w:t xml:space="preserve">.</w:t>
      </w:r>
      <w:r>
        <w:t xml:space="preserve"> </w:t>
      </w:r>
      <w:r>
        <w:t xml:space="preserve">Módulo que mostrava a distribuição semanal de carga horária por matéria (ou por instrutor), com fonte de dados real ou simulada. Absorvido pelo módulo</w:t>
      </w:r>
      <w:r>
        <w:t xml:space="preserve"> </w:t>
      </w:r>
      <w:r>
        <w:rPr>
          <w:bCs/>
          <w:b/>
        </w:rPr>
        <w:t xml:space="preserve">Cronograma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Motor preditivo.</w:t>
      </w:r>
      <w:r>
        <w:t xml:space="preserve"> </w:t>
      </w:r>
      <w:r>
        <w:t xml:space="preserve">Função que simula a distribuição completa da grade curricular de um ano futuro, espelhando as janelas oficiais do PROENS do ano corrente. Generalizado para qualquer ano informado desde a v2.0 (não mais</w:t>
      </w:r>
      <w:r>
        <w:t xml:space="preserve"> </w:t>
      </w:r>
      <w:r>
        <w:rPr>
          <w:rStyle w:val="VerbatimChar"/>
        </w:rPr>
        <w:t xml:space="preserve">gerarPlanejamento2027()</w:t>
      </w:r>
      <w:r>
        <w:t xml:space="preserve">).</w:t>
      </w:r>
      <w:r>
        <w:t xml:space="preserve"> </w:t>
      </w:r>
      <w:r>
        <w:rPr>
          <w:iCs/>
          <w:i/>
        </w:rPr>
        <w:t xml:space="preserve">[MIGRAÇÃO v2.1]</w:t>
      </w:r>
      <w:r>
        <w:t xml:space="preserve"> </w:t>
      </w:r>
      <w:r>
        <w:t xml:space="preserve">Na v2.1 vive em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função pura, sem acesso a banco</w:t>
      </w:r>
      <w:r>
        <w:t xml:space="preserve"> </w:t>
      </w:r>
      <w:r>
        <w:t xml:space="preserve">— recebe dados, devolve distribuição.</w:t>
      </w:r>
    </w:p>
    <w:p>
      <w:pPr>
        <w:pStyle w:val="BodyText"/>
      </w:pPr>
      <w:r>
        <w:rPr>
          <w:bCs/>
          <w:b/>
        </w:rPr>
        <w:t xml:space="preserve">FET (Free Timetabling Software).</w:t>
      </w:r>
      <w:r>
        <w:t xml:space="preserve"> </w:t>
      </w:r>
      <w:r>
        <w:t xml:space="preserve">Software livre de montagem automática de grades horárias, citado por Bernardo como referência de</w:t>
      </w:r>
      <w:r>
        <w:t xml:space="preserve"> </w:t>
      </w:r>
      <w:r>
        <w:rPr>
          <w:bCs/>
          <w:b/>
        </w:rPr>
        <w:t xml:space="preserve">comportamento</w:t>
      </w:r>
      <w:r>
        <w:t xml:space="preserve"> </w:t>
      </w:r>
      <w:r>
        <w:t xml:space="preserve">(não de tecnologia) para o motor de sugestão do DSA — propor uma prévia semanal respeitando prioridades e limites, sem travar o ajuste manual (documento 02, RF-DSA-08).</w:t>
      </w:r>
    </w:p>
    <w:p>
      <w:pPr>
        <w:pStyle w:val="BodyText"/>
      </w:pPr>
      <w:r>
        <w:rPr>
          <w:bCs/>
          <w:b/>
        </w:rPr>
        <w:t xml:space="preserve">Margem de Capacidade</w:t>
      </w:r>
      <w:r>
        <w:t xml:space="preserve"> </w:t>
      </w:r>
      <w:r>
        <w:rPr>
          <w:iCs/>
          <w:i/>
        </w:rPr>
        <w:t xml:space="preserve">(termo interno)</w:t>
      </w:r>
      <w:r>
        <w:t xml:space="preserve">. Folga entre a carga horária já alocada e o teto (rígido ou recomendado) de uma disciplina, instrutor ou curso; usado pelo motor preditivo e pelo Cronograma para decidir prioridade de alocação.</w:t>
      </w:r>
      <w:r>
        <w:t xml:space="preserve"> </w:t>
      </w:r>
      <w:r>
        <w:rPr>
          <w:bCs/>
          <w:b/>
        </w:rPr>
        <w:t xml:space="preserve">Nota: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designa a reserva de calendário do curso — essa grandeza tem nome normativo próprio,</w:t>
      </w:r>
      <w:r>
        <w:t xml:space="preserve"> </w:t>
      </w:r>
      <w:r>
        <w:rPr>
          <w:bCs/>
          <w:b/>
        </w:rPr>
        <w:t xml:space="preserve">Tempo Reserva (TR)</w:t>
      </w:r>
      <w:r>
        <w:t xml:space="preserve">.</w:t>
      </w:r>
      <w:r>
        <w:t xml:space="preserve"> </w:t>
      </w:r>
      <w:r>
        <w:t xml:space="preserve">“</w:t>
      </w:r>
      <w:r>
        <w:t xml:space="preserve">Margem de Capacidade</w:t>
      </w:r>
      <w:r>
        <w:t xml:space="preserve">”</w:t>
      </w:r>
      <w:r>
        <w:t xml:space="preserve"> </w:t>
      </w:r>
      <w:r>
        <w:t xml:space="preserve">fica restrito ao sentido algorítmico de folga instantânea de alocação.</w:t>
      </w:r>
    </w:p>
    <w:p>
      <w:pPr>
        <w:pStyle w:val="BodyText"/>
      </w:pPr>
      <w:r>
        <w:rPr>
          <w:bCs/>
          <w:b/>
        </w:rPr>
        <w:t xml:space="preserve">Regime de Trabalho (docente).</w:t>
      </w:r>
      <w:r>
        <w:t xml:space="preserve"> </w:t>
      </w:r>
      <w:r>
        <w:t xml:space="preserve">Número de horas semanais que o docente dedica ao estabelecimento de ensino:</w:t>
      </w:r>
      <w:r>
        <w:t xml:space="preserve"> </w:t>
      </w:r>
      <w:r>
        <w:rPr>
          <w:bCs/>
          <w:b/>
        </w:rPr>
        <w:t xml:space="preserve">Parcial (20h)</w:t>
      </w:r>
      <w:r>
        <w:t xml:space="preserve">,</w:t>
      </w:r>
      <w:r>
        <w:t xml:space="preserve"> </w:t>
      </w:r>
      <w:r>
        <w:rPr>
          <w:bCs/>
          <w:b/>
        </w:rPr>
        <w:t xml:space="preserve">Integral (40h)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Dedicação Exclusiva (DE)</w:t>
      </w:r>
      <w:r>
        <w:t xml:space="preserve">.</w:t>
      </w:r>
      <w:r>
        <w:t xml:space="preserve"> </w:t>
      </w:r>
      <w:r>
        <w:rPr>
          <w:bCs/>
          <w:b/>
        </w:rPr>
        <w:t xml:space="preserve">Distinção crítica:</w:t>
      </w:r>
      <w:r>
        <w:t xml:space="preserve"> </w:t>
      </w:r>
      <w:r>
        <w:t xml:space="preserve">o número do regime</w:t>
      </w:r>
      <w:r>
        <w:t xml:space="preserve"> </w:t>
      </w:r>
      <w:r>
        <w:rPr>
          <w:bCs/>
          <w:b/>
        </w:rPr>
        <w:t xml:space="preserve">não é</w:t>
      </w:r>
      <w:r>
        <w:t xml:space="preserve"> </w:t>
      </w:r>
      <w:r>
        <w:t xml:space="preserve">o limite de horas de aula. As faixas normativas de</w:t>
      </w:r>
      <w:r>
        <w:t xml:space="preserve"> </w:t>
      </w:r>
      <w:r>
        <w:rPr>
          <w:iCs/>
          <w:i/>
        </w:rPr>
        <w:t xml:space="preserve">horas de aula</w:t>
      </w:r>
      <w:r>
        <w:t xml:space="preserve"> </w:t>
      </w:r>
      <w:r>
        <w:t xml:space="preserve">por regime são:</w:t>
      </w:r>
      <w:r>
        <w:t xml:space="preserve"> </w:t>
      </w:r>
      <w:r>
        <w:rPr>
          <w:bCs/>
          <w:b/>
        </w:rPr>
        <w:t xml:space="preserve">20h → 8 a 12 h</w:t>
      </w:r>
      <w:r>
        <w:t xml:space="preserve">;</w:t>
      </w:r>
      <w:r>
        <w:t xml:space="preserve"> </w:t>
      </w:r>
      <w:r>
        <w:rPr>
          <w:bCs/>
          <w:b/>
        </w:rPr>
        <w:t xml:space="preserve">40h → 16 a 24 h</w:t>
      </w:r>
      <w:r>
        <w:t xml:space="preserve">;</w:t>
      </w:r>
      <w:r>
        <w:t xml:space="preserve"> </w:t>
      </w:r>
      <w:r>
        <w:rPr>
          <w:bCs/>
          <w:b/>
        </w:rPr>
        <w:t xml:space="preserve">DE → 16 a 30 h</w:t>
      </w:r>
      <w:r>
        <w:t xml:space="preserve"> </w:t>
      </w:r>
      <w:r>
        <w:t xml:space="preserve">(DGPM-103; Glossário DEnsM §12). O restante é</w:t>
      </w:r>
      <w:r>
        <w:t xml:space="preserve"> </w:t>
      </w:r>
      <w:r>
        <w:rPr>
          <w:bCs/>
          <w:b/>
        </w:rPr>
        <w:t xml:space="preserve">Tempo de Permanência</w:t>
      </w:r>
      <w:r>
        <w:t xml:space="preserve">. O defeito em que o motor preditivo usava o número do regime como teto de aula (achado A-2) foi corrigido — documento 04, RN-2027-06 revisada.</w:t>
      </w:r>
    </w:p>
    <w:p>
      <w:pPr>
        <w:pStyle w:val="BodyText"/>
      </w:pPr>
      <w:r>
        <w:rPr>
          <w:bCs/>
          <w:b/>
        </w:rPr>
        <w:t xml:space="preserve">Tempo de Permanência (docente).</w:t>
      </w:r>
      <w:r>
        <w:t xml:space="preserve"> </w:t>
      </w:r>
      <w:r>
        <w:t xml:space="preserve">Tempo total a que o docente fica sujeito para cumprir seu regime, incluindo sala de aula e atividades complementares; o mínimo deve igualar a carga horária máxima do regime.</w:t>
      </w:r>
    </w:p>
    <w:p>
      <w:pPr>
        <w:pStyle w:val="BodyText"/>
      </w:pPr>
      <w:r>
        <w:rPr>
          <w:bCs/>
          <w:b/>
        </w:rPr>
        <w:t xml:space="preserve">CoPeCoD.</w:t>
      </w:r>
      <w:r>
        <w:t xml:space="preserve"> </w:t>
      </w:r>
      <w:r>
        <w:t xml:space="preserve">Comissão Permanente do Corpo Docente — comissão que gerencia os processos do pessoal docente, presidida pelo Superintendente de Ensino. Audita o cumprimento, pela CIAARA-11, dos limites semanais de aula dos docentes.</w:t>
      </w:r>
    </w:p>
    <w:p>
      <w:pPr>
        <w:pStyle w:val="BodyText"/>
      </w:pPr>
      <w:r>
        <w:rPr>
          <w:bCs/>
          <w:b/>
        </w:rPr>
        <w:t xml:space="preserve">PCQD.</w:t>
      </w:r>
      <w:r>
        <w:t xml:space="preserve"> </w:t>
      </w:r>
      <w:r>
        <w:t xml:space="preserve">Plano de Capacitação e Qualificação de Docentes — planejamento anual das ações de aprimoramento técnico-pedagógico, aprovado até 15 de janeiro; exige que</w:t>
      </w:r>
      <w:r>
        <w:t xml:space="preserve"> </w:t>
      </w:r>
      <w:r>
        <w:rPr>
          <w:bCs/>
          <w:b/>
        </w:rPr>
        <w:t xml:space="preserve">100% dos docentes participem de ao menos um evento de capacitação a cada três anos</w:t>
      </w:r>
      <w:r>
        <w:t xml:space="preserve"> </w:t>
      </w:r>
      <w:r>
        <w:t xml:space="preserve">(instrutores de Liderança: um evento anual).</w:t>
      </w:r>
    </w:p>
    <w:p>
      <w:pPr>
        <w:pStyle w:val="BodyText"/>
      </w:pPr>
      <w:r>
        <w:rPr>
          <w:bCs/>
          <w:b/>
        </w:rPr>
        <w:t xml:space="preserve">SISCDI.</w:t>
      </w:r>
      <w:r>
        <w:t xml:space="preserve"> </w:t>
      </w:r>
      <w:r>
        <w:t xml:space="preserve">Sistema do Corpo Docente Integrado — sistema externo da DEnsM, alimentado</w:t>
      </w:r>
      <w:r>
        <w:t xml:space="preserve"> </w:t>
      </w:r>
      <w:r>
        <w:rPr>
          <w:bCs/>
          <w:b/>
        </w:rPr>
        <w:t xml:space="preserve">trimestralmente</w:t>
      </w:r>
      <w:r>
        <w:t xml:space="preserve"> </w:t>
      </w:r>
      <w:r>
        <w:t xml:space="preserve">(março, junho, setembro e dezembro) pela CIAARA-11 em conjunto com a CIAARA-32, com ratificação por mensagem à DEnsM até o último dia útil do trimestre.</w:t>
      </w:r>
    </w:p>
    <w:p>
      <w:pPr>
        <w:pStyle w:val="BodyText"/>
      </w:pPr>
      <w:r>
        <w:rPr>
          <w:bCs/>
          <w:b/>
        </w:rPr>
        <w:t xml:space="preserve">PlaCur / PlaDis / PA.</w:t>
      </w:r>
      <w:r>
        <w:t xml:space="preserve"> </w:t>
      </w:r>
      <w:r>
        <w:t xml:space="preserve">Plano de Curso · Plano de Disciplina · Plano de Aula. São documentos normativos do currículo; o CIAARA-11 opera a execução do que eles definem, mas</w:t>
      </w:r>
      <w:r>
        <w:t xml:space="preserve"> </w:t>
      </w:r>
      <w:r>
        <w:rPr>
          <w:bCs/>
          <w:b/>
        </w:rPr>
        <w:t xml:space="preserve">não os elabora nem os armazena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RC.</w:t>
      </w:r>
      <w:r>
        <w:t xml:space="preserve"> </w:t>
      </w:r>
      <w:r>
        <w:t xml:space="preserve">Referencial de Competências — descreve o perfil profissional e as competências (Conhecimentos, Habilidades e Atitudes) necessárias ao exercício de cargos e funções.</w:t>
      </w:r>
    </w:p>
    <w:p>
      <w:pPr>
        <w:pStyle w:val="BodyText"/>
      </w:pPr>
      <w:r>
        <w:rPr>
          <w:bCs/>
          <w:b/>
        </w:rPr>
        <w:t xml:space="preserve">RAInt / RAPE.</w:t>
      </w:r>
      <w:r>
        <w:t xml:space="preserve"> </w:t>
      </w:r>
      <w:r>
        <w:t xml:space="preserve">Relatório de Avaliação Interna (retrospectiva crítica anual, homologada pelo Conselho de Ensino e enviada à DEnsM até 30 de março) · Relatório de Avaliação Pós-Escolar (consolida a verificação de competências do egresso em contexto real de trabalho, enviado em até 60 dias após o período de observação).</w:t>
      </w:r>
    </w:p>
    <w:p>
      <w:pPr>
        <w:pStyle w:val="BodyText"/>
      </w:pPr>
      <w:r>
        <w:rPr>
          <w:bCs/>
          <w:b/>
        </w:rPr>
        <w:t xml:space="preserve">Instrutor Efetivo / Eventual / Convidado.</w:t>
      </w:r>
      <w:r>
        <w:t xml:space="preserve"> </w:t>
      </w:r>
      <w:r>
        <w:t xml:space="preserve">Subdivisão normativa do Instrutor da Ativa:</w:t>
      </w:r>
      <w:r>
        <w:t xml:space="preserve"> </w:t>
      </w:r>
      <w:r>
        <w:rPr>
          <w:bCs/>
          <w:b/>
        </w:rPr>
        <w:t xml:space="preserve">Efetivo</w:t>
      </w:r>
      <w:r>
        <w:t xml:space="preserve"> </w:t>
      </w:r>
      <w:r>
        <w:t xml:space="preserve">(lotado no estabelecimento, exerce exclusivamente instrutoria),</w:t>
      </w:r>
      <w:r>
        <w:t xml:space="preserve"> </w:t>
      </w:r>
      <w:r>
        <w:rPr>
          <w:bCs/>
          <w:b/>
        </w:rPr>
        <w:t xml:space="preserve">Eventual</w:t>
      </w:r>
      <w:r>
        <w:t xml:space="preserve"> </w:t>
      </w:r>
      <w:r>
        <w:t xml:space="preserve">(tem função administrativa na OM e também instrui) e</w:t>
      </w:r>
      <w:r>
        <w:t xml:space="preserve"> </w:t>
      </w:r>
      <w:r>
        <w:rPr>
          <w:bCs/>
          <w:b/>
        </w:rPr>
        <w:t xml:space="preserve">Convidado</w:t>
      </w:r>
      <w:r>
        <w:t xml:space="preserve"> </w:t>
      </w:r>
      <w:r>
        <w:t xml:space="preserve">(lotado em OM diferente daquela onde instrui). O campo</w:t>
      </w:r>
      <w:r>
        <w:t xml:space="preserve"> </w:t>
      </w:r>
      <w:r>
        <w:t xml:space="preserve">“</w:t>
      </w:r>
      <w:r>
        <w:t xml:space="preserve">Categoria</w:t>
      </w:r>
      <w:r>
        <w:t xml:space="preserve">”</w:t>
      </w:r>
      <w:r>
        <w:t xml:space="preserve"> </w:t>
      </w:r>
      <w:r>
        <w:t xml:space="preserve">do cadastro de instrutores deve ser lido à luz desta taxonomia.</w:t>
      </w:r>
    </w:p>
    <w:p>
      <w:pPr>
        <w:pStyle w:val="BodyText"/>
      </w:pPr>
      <w:r>
        <w:rPr>
          <w:bCs/>
          <w:b/>
        </w:rPr>
        <w:t xml:space="preserve">TTC.</w:t>
      </w:r>
      <w:r>
        <w:t xml:space="preserve"> </w:t>
      </w:r>
      <w:r>
        <w:t xml:space="preserve">Tarefa por Tempo Certo — militar da reserva remunerada contratado para instrutoria por prazo determinado; enquadramento obrigatório no regime de 40 horas; exige FAO ≥ 8 (Oficiais) ou AMC ≥</w:t>
      </w:r>
      <w:r>
        <w:t xml:space="preserve"> </w:t>
      </w:r>
      <w:r>
        <w:t xml:space="preserve">“</w:t>
      </w:r>
      <w:r>
        <w:t xml:space="preserve">Muito Bom</w:t>
      </w:r>
      <w:r>
        <w:t xml:space="preserve">”</w:t>
      </w:r>
      <w:r>
        <w:t xml:space="preserve"> </w:t>
      </w:r>
      <w:r>
        <w:t xml:space="preserve">(Praças).</w:t>
      </w:r>
    </w:p>
    <w:p>
      <w:pPr>
        <w:pStyle w:val="BodyText"/>
      </w:pPr>
      <w:r>
        <w:rPr>
          <w:bCs/>
          <w:b/>
        </w:rPr>
        <w:t xml:space="preserve">LIQ.</w:t>
      </w:r>
      <w:r>
        <w:t xml:space="preserve"> </w:t>
      </w:r>
      <w:r>
        <w:t xml:space="preserve">Lista de Instrutores Qualificados — documento que relaciona, por trimestre, os instrutores habilitados por disciplina de cada curso. Automatizada na v2.0 (</w:t>
      </w:r>
      <w:r>
        <w:rPr>
          <w:rStyle w:val="VerbatimChar"/>
        </w:rPr>
        <w:t xml:space="preserve">specs/027-liq-automacao</w:t>
      </w:r>
      <w:r>
        <w:t xml:space="preserve">, regras RN-LIQ-01..04), com fundamento normativo na NORMHIDRO 30-23.</w:t>
      </w:r>
    </w:p>
    <w:p>
      <w:pPr>
        <w:pStyle w:val="BodyText"/>
      </w:pPr>
      <w:r>
        <w:rPr>
          <w:bCs/>
          <w:b/>
        </w:rPr>
        <w:t xml:space="preserve">OS de Instrutoria.</w:t>
      </w:r>
      <w:r>
        <w:t xml:space="preserve"> </w:t>
      </w:r>
      <w:r>
        <w:t xml:space="preserve">Ordem de Serviço de Instrutoria — documento emitido pelo Encarregado da CIAARA-11 agrupando, por instrutor, as aulas efetivamente realizadas em um curso ou período. Módulo gerador implantado na v2.0 (</w:t>
      </w:r>
      <w:r>
        <w:rPr>
          <w:rStyle w:val="VerbatimChar"/>
        </w:rPr>
        <w:t xml:space="preserve">specs/028-os-instrutoria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ROTA / Avaliação Externa.</w:t>
      </w:r>
      <w:r>
        <w:t xml:space="preserve"> </w:t>
      </w:r>
      <w:r>
        <w:t xml:space="preserve">Planilha institucional de avaliação de corpo docente e infraestrutura, usada por organizações de ensino da Marinha para fins de acreditação/inspeção, mantida</w:t>
      </w:r>
      <w:r>
        <w:t xml:space="preserve"> </w:t>
      </w:r>
      <w:r>
        <w:rPr>
          <w:bCs/>
          <w:b/>
        </w:rPr>
        <w:t xml:space="preserve">à parte</w:t>
      </w:r>
      <w:r>
        <w:t xml:space="preserve"> </w:t>
      </w:r>
      <w:r>
        <w:t xml:space="preserve">do CIAARA-11. O apoio é</w:t>
      </w:r>
      <w:r>
        <w:t xml:space="preserve"> </w:t>
      </w:r>
      <w:r>
        <w:rPr>
          <w:bCs/>
          <w:b/>
        </w:rPr>
        <w:t xml:space="preserve">leve</w:t>
      </w:r>
      <w:r>
        <w:t xml:space="preserve">: organizar os dados que o sistema já possui para facilitar o preenchimento manual,</w:t>
      </w:r>
      <w:r>
        <w:t xml:space="preserve"> </w:t>
      </w:r>
      <w:r>
        <w:rPr>
          <w:bCs/>
          <w:b/>
        </w:rPr>
        <w:t xml:space="preserve">sem gerar nem submeter a planilha automaticamente</w:t>
      </w:r>
      <w:r>
        <w:t xml:space="preserve"> </w:t>
      </w:r>
      <w:r>
        <w:t xml:space="preserve">(decisão D7; documento 02, RF-ROTA).</w:t>
      </w:r>
    </w:p>
    <w:p>
      <w:pPr>
        <w:pStyle w:val="BodyText"/>
      </w:pPr>
      <w:r>
        <w:rPr>
          <w:bCs/>
          <w:b/>
        </w:rPr>
        <w:t xml:space="preserve">Turma.</w:t>
      </w:r>
      <w:r>
        <w:t xml:space="preserve"> </w:t>
      </w:r>
      <w:r>
        <w:t xml:space="preserve">Ocorrência concreta de um curso em um ano letivo (ex.:</w:t>
      </w:r>
      <w:r>
        <w:t xml:space="preserve"> </w:t>
      </w:r>
      <w:r>
        <w:t xml:space="preserve">“</w:t>
      </w:r>
      <w:r>
        <w:t xml:space="preserve">CAHO 2026</w:t>
      </w:r>
      <w:r>
        <w:t xml:space="preserve">”</w:t>
      </w:r>
      <w:r>
        <w:t xml:space="preserve">), com data de início/término, número de alunos e modalidade próprios — distinta do</w:t>
      </w:r>
      <w:r>
        <w:t xml:space="preserve"> </w:t>
      </w:r>
      <w:r>
        <w:rPr>
          <w:bCs/>
          <w:b/>
        </w:rPr>
        <w:t xml:space="preserve">curso</w:t>
      </w:r>
      <w:r>
        <w:t xml:space="preserve">, que é o catálogo/grade que pode ter várias turmas ao longo dos anos.</w:t>
      </w:r>
    </w:p>
    <w:p>
      <w:pPr>
        <w:pStyle w:val="BodyText"/>
      </w:pPr>
      <w:r>
        <w:rPr>
          <w:bCs/>
          <w:b/>
        </w:rPr>
        <w:t xml:space="preserve">Classificação (do curso).</w:t>
      </w:r>
      <w:r>
        <w:t xml:space="preserve"> </w:t>
      </w:r>
      <w:r>
        <w:t xml:space="preserve">Categoria administrativa do curso: Curso Regular, Curso Expedito, Curso Especial, Curso de Aperfeiçoamento Avançado, ou Estágio de Qualificação.</w:t>
      </w:r>
      <w:r>
        <w:t xml:space="preserve"> </w:t>
      </w:r>
      <w:r>
        <w:rPr>
          <w:iCs/>
          <w:i/>
        </w:rPr>
        <w:t xml:space="preserve">[Nota v2.1]</w:t>
      </w:r>
      <w:r>
        <w:t xml:space="preserve"> </w:t>
      </w:r>
      <w:r>
        <w:t xml:space="preserve">É a grandeza que alimenta o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rPr>
          <w:rStyle w:val="VerbatimChar"/>
        </w:rPr>
        <w:t xml:space="preserve">escopo_curso</w:t>
      </w:r>
      <w:r>
        <w:t xml:space="preserve"> </w:t>
      </w:r>
      <w:r>
        <w:t xml:space="preserve">do RBAC (documento 01, seção 2.3).</w:t>
      </w:r>
    </w:p>
    <w:p>
      <w:pPr>
        <w:pStyle w:val="BodyText"/>
      </w:pPr>
      <w:r>
        <w:rPr>
          <w:bCs/>
          <w:b/>
        </w:rPr>
        <w:t xml:space="preserve">EAD / Semipresencial / Presencial.</w:t>
      </w:r>
      <w:r>
        <w:t xml:space="preserve"> </w:t>
      </w:r>
      <w:r>
        <w:t xml:space="preserve">Modalidades de ministração de um curso ou turma; determinam qual regra de capacidade diária de TAs se aplica (documento 04, RN-MAT-04).</w:t>
      </w:r>
    </w:p>
    <w:p>
      <w:pPr>
        <w:pStyle w:val="BodyText"/>
      </w:pPr>
      <w:r>
        <w:rPr>
          <w:bCs/>
          <w:b/>
        </w:rPr>
        <w:t xml:space="preserve">LP.</w:t>
      </w:r>
      <w:r>
        <w:t xml:space="preserve"> </w:t>
      </w:r>
      <w:r>
        <w:t xml:space="preserve">Licença de Pagamento — um dia inteiro não letivo por mês, calculado automaticamente pelo motor preditivo (1ª segunda-feira útil do mês, com reserva para a 1ª sexta-feira útil).</w:t>
      </w:r>
    </w:p>
    <w:p>
      <w:pPr>
        <w:pStyle w:val="BodyText"/>
      </w:pPr>
      <w:r>
        <w:rPr>
          <w:bCs/>
          <w:b/>
        </w:rPr>
        <w:t xml:space="preserve">AD / TR.</w:t>
      </w:r>
      <w:r>
        <w:t xml:space="preserve"> </w:t>
      </w:r>
      <w:r>
        <w:t xml:space="preserve">Administração / Tempo Reserva — categorias de tempo não letivo reservadas por curso conforme o PROENS.</w:t>
      </w:r>
    </w:p>
    <w:p>
      <w:r>
        <w:pict>
          <v:rect style="width:0;height:1.5pt" o:hralign="center" o:hrstd="t" o:hr="t"/>
        </w:pict>
      </w:r>
    </w:p>
    <w:bookmarkEnd w:id="22"/>
    <w:bookmarkStart w:id="23" w:name="Xa1c236123c9223f05e6844cc1a8bdf7ea9cc52f"/>
    <w:p>
      <w:pPr>
        <w:pStyle w:val="Heading2"/>
      </w:pPr>
      <w:r>
        <w:t xml:space="preserve">Siglas de cursos e estágios citadas neste conjunto de documentos</w:t>
      </w:r>
      <w:r>
        <w:t xml:space="preserve"> </w:t>
      </w:r>
      <w:r>
        <w:rPr>
          <w:bCs/>
          <w:b/>
        </w:rPr>
        <w:t xml:space="preserve">[PRESERVADO — sem alteração]</w:t>
      </w:r>
    </w:p>
    <w:p>
      <w:pPr>
        <w:pStyle w:val="FirstParagraph"/>
      </w:pPr>
      <w:r>
        <w:t xml:space="preserve">CAHO (Aperfeiçoamento de Hidrografia para Oficiais) · C-Ap-HN (Aperfeiçoamento de Hidrografia e Navegação) · C-Ap-FR (Aperfeiçoamento de Faroleiro) · C-Espc-HN (Especialização em Hidrografia e Navegação) · C-Espc-FR (Especialização de Faroleiro) · C-Esp-ALH (Especial em Análise de Levantamentos Hidrográficos) · C-Esp-ME (Especial de Meteorologia) · C-Esp-OpAP (Especial de Operações em Águas Polares) · C-ApA-AuxNav-PR-SP, C-ApA-PCN-PR-EAD, C-ApA-PrevMe-PR-EAD, C-ApA-OcOp-PR-SP (Aperfeiçoamento Avançado para Praças, semipresenciais/EAD) · C-Exp-AgMag, C-Exp-BATI, C-Exp-MetocOf(-SP), C-Exp-Obs-ME (Cursos Expeditos) · EST-QF-APHID, EST-QF-APOC, EST-QF-PROC-MF-EAD, EST-QF-EM2040PHS, EST-QF-PGRS100, EST-QF-MAREFLU (Estágios de Qualificação).</w:t>
      </w:r>
    </w:p>
    <w:p>
      <w:pPr>
        <w:pStyle w:val="BlockText"/>
      </w:pPr>
      <w:r>
        <w:rPr>
          <w:bCs/>
          <w:b/>
        </w:rPr>
        <w:t xml:space="preserve">Regra permanente:</w:t>
      </w:r>
      <w:r>
        <w:t xml:space="preserve"> </w:t>
      </w:r>
      <w:r>
        <w:t xml:space="preserve">estas siglas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são expandidas, traduzidas ou</w:t>
      </w:r>
      <w:r>
        <w:t xml:space="preserve"> </w:t>
      </w:r>
      <w:r>
        <w:t xml:space="preserve">“</w:t>
      </w:r>
      <w:r>
        <w:t xml:space="preserve">normalizadas</w:t>
      </w:r>
      <w:r>
        <w:t xml:space="preserve">”</w:t>
      </w:r>
      <w:r>
        <w:t xml:space="preserve"> </w:t>
      </w:r>
      <w:r>
        <w:t xml:space="preserve">em código, schema, rota, interface ou commit.</w:t>
      </w:r>
      <w:r>
        <w:t xml:space="preserve"> </w:t>
      </w:r>
      <w:r>
        <w:rPr>
          <w:rStyle w:val="VerbatimChar"/>
        </w:rPr>
        <w:t xml:space="preserve">CAHO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CAHO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9" w:name="Xa86a1ae813cfaed5c79f00f1241a9c2b6f950fe"/>
    <w:p>
      <w:pPr>
        <w:pStyle w:val="Heading2"/>
      </w:pPr>
      <w:r>
        <w:t xml:space="preserve">Termos técnicos do sistema (v2.0 → v2.1)</w:t>
      </w:r>
      <w:r>
        <w:t xml:space="preserve"> </w:t>
      </w:r>
      <w:r>
        <w:rPr>
          <w:bCs/>
          <w:b/>
        </w:rPr>
        <w:t xml:space="preserve">[MIGRAÇÃO v2.1 — seção substituída]</w:t>
      </w:r>
    </w:p>
    <w:p>
      <w:pPr>
        <w:pStyle w:val="FirstParagraph"/>
      </w:pPr>
      <w:r>
        <w:t xml:space="preserve">Esta seção substitui a</w:t>
      </w:r>
      <w:r>
        <w:t xml:space="preserve"> </w:t>
      </w:r>
      <w:r>
        <w:t xml:space="preserve">“</w:t>
      </w:r>
      <w:r>
        <w:t xml:space="preserve">Termos técnicos do sistema (v1.0 → v2.0)</w:t>
      </w:r>
      <w:r>
        <w:t xml:space="preserve">”</w:t>
      </w:r>
      <w:r>
        <w:t xml:space="preserve"> </w:t>
      </w:r>
      <w:r>
        <w:t xml:space="preserve">da v2.0. Nenhum termo antigo foi apagado: a coluna</w:t>
      </w:r>
      <w:r>
        <w:t xml:space="preserve"> </w:t>
      </w:r>
      <w:r>
        <w:rPr>
          <w:bCs/>
          <w:b/>
        </w:rPr>
        <w:t xml:space="preserve">Equivalente na v2.0</w:t>
      </w:r>
      <w:r>
        <w:t xml:space="preserve"> </w:t>
      </w:r>
      <w:r>
        <w:t xml:space="preserve">existe justamente para quem já conhece o sistema anterior e precisa traduzir o que sabe.</w:t>
      </w:r>
    </w:p>
    <w:bookmarkStart w:id="24" w:name="framework-e-execução"/>
    <w:p>
      <w:pPr>
        <w:pStyle w:val="Heading3"/>
      </w:pPr>
      <w:r>
        <w:t xml:space="preserve">Framework e execução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 (v2.1)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Equivalente na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roteamento do Next.js em que</w:t>
            </w:r>
            <w:r>
              <w:t xml:space="preserve"> </w:t>
            </w:r>
            <w:r>
              <w:rPr>
                <w:bCs/>
                <w:b/>
              </w:rPr>
              <w:t xml:space="preserve">a estrutura de pastas de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app/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 o mapa de URLs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app/turmas/[turma]/dsa/page.tsx</w:t>
            </w:r>
            <w:r>
              <w:t xml:space="preserve"> </w:t>
            </w:r>
            <w:r>
              <w:t xml:space="preserve">responde por</w:t>
            </w:r>
            <w:r>
              <w:t xml:space="preserve"> </w:t>
            </w:r>
            <w:r>
              <w:rPr>
                <w:rStyle w:val="VerbatimChar"/>
              </w:rPr>
              <w:t xml:space="preserve">/turmas/CAHO-2026/dsa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</w:t>
            </w:r>
            <w:r>
              <w:t xml:space="preserve"> </w:t>
            </w:r>
            <w:r>
              <w:rPr>
                <w:rStyle w:val="VerbatimChar"/>
              </w:rPr>
              <w:t xml:space="preserve">TAB_LOADERS</w:t>
            </w:r>
            <w:r>
              <w:t xml:space="preserve"> </w:t>
            </w:r>
            <w:r>
              <w:t xml:space="preserve">+ função</w:t>
            </w:r>
            <w:r>
              <w:t xml:space="preserve"> </w:t>
            </w:r>
            <w:r>
              <w:rPr>
                <w:rStyle w:val="VerbatimChar"/>
              </w:rPr>
              <w:t xml:space="preserve">irPara()</w:t>
            </w:r>
            <w:r>
              <w:t xml:space="preserve">, que trocava classes CSS no DOM sem mudar a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RSC — React Server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React que</w:t>
            </w:r>
            <w:r>
              <w:t xml:space="preserve"> </w:t>
            </w:r>
            <w:r>
              <w:rPr>
                <w:bCs/>
                <w:b/>
              </w:rPr>
              <w:t xml:space="preserve">executa no servidor</w:t>
            </w:r>
            <w:r>
              <w:t xml:space="preserve"> </w:t>
            </w:r>
            <w:r>
              <w:t xml:space="preserve">e chega ao navegador já renderizado, sem enviar seu código JavaScript. Pode consultar o banco diretamente. É o padrão da v2.1.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existia. O</w:t>
            </w:r>
            <w:r>
              <w:t xml:space="preserve"> </w:t>
            </w:r>
            <w:r>
              <w:rPr>
                <w:rStyle w:val="VerbatimChar"/>
              </w:rPr>
              <w:t xml:space="preserve">.gs</w:t>
            </w:r>
            <w:r>
              <w:t xml:space="preserve"> </w:t>
            </w:r>
            <w:r>
              <w:t xml:space="preserve">montava HTML ou o navegador montava tudo em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Sinônimo prático de RSC.</w:t>
            </w:r>
            <w:r>
              <w:t xml:space="preserve"> </w:t>
            </w:r>
            <w:r>
              <w:rPr>
                <w:bCs/>
                <w:b/>
              </w:rPr>
              <w:t xml:space="preserve">É o padrão</w:t>
            </w:r>
            <w:r>
              <w:t xml:space="preserve">: um componente só deixa de ser Server Component quando tem motivo.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include()</w:t>
            </w:r>
            <w:r>
              <w:t xml:space="preserve"> </w:t>
            </w:r>
            <w:r>
              <w:t xml:space="preserve">de um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parcial pelo</w:t>
            </w:r>
            <w:r>
              <w:t xml:space="preserve"> </w:t>
            </w:r>
            <w:r>
              <w:rPr>
                <w:rStyle w:val="VerbatimChar"/>
              </w:rPr>
              <w:t xml:space="preserve">HtmlService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marcado com</w:t>
            </w:r>
            <w:r>
              <w:t xml:space="preserve"> </w:t>
            </w:r>
            <w:r>
              <w:rPr>
                <w:rStyle w:val="VerbatimChar"/>
              </w:rPr>
              <w:t xml:space="preserve">"use client"</w:t>
            </w:r>
            <w:r>
              <w:t xml:space="preserve"> </w:t>
            </w:r>
            <w:r>
              <w:t xml:space="preserve">no topo, que roda no navegador. Necessário só quando há</w:t>
            </w:r>
            <w:r>
              <w:t xml:space="preserve"> </w:t>
            </w:r>
            <w:r>
              <w:rPr>
                <w:bCs/>
                <w:b/>
              </w:rPr>
              <w:t xml:space="preserve">interação</w:t>
            </w:r>
            <w:r>
              <w:t xml:space="preserve"> </w:t>
            </w:r>
            <w:r>
              <w:t xml:space="preserve">(estado local, evento,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  <w:r>
              <w:t xml:space="preserve">). Regra:</w:t>
            </w:r>
            <w:r>
              <w:t xml:space="preserve"> </w:t>
            </w:r>
            <w:r>
              <w:rPr>
                <w:rStyle w:val="VerbatimChar"/>
              </w:rPr>
              <w:t xml:space="preserve">"use client"</w:t>
            </w:r>
            <w:r>
              <w:t xml:space="preserve"> </w:t>
            </w:r>
            <w:r>
              <w:t xml:space="preserve">é exceção justificada, nunca ponto de partida.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o JavaScript de</w:t>
            </w:r>
            <w:r>
              <w:t xml:space="preserve"> </w:t>
            </w:r>
            <w:r>
              <w:rPr>
                <w:rStyle w:val="VerbatimChar"/>
              </w:rPr>
              <w:t xml:space="preserve">ViewX.html</w:t>
            </w:r>
            <w:r>
              <w:t xml:space="preserve"> </w:t>
            </w:r>
            <w:r>
              <w:t xml:space="preserve">— que era, por falta de alternativa, 100%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 assíncrona marcada com</w:t>
            </w:r>
            <w:r>
              <w:t xml:space="preserve"> </w:t>
            </w:r>
            <w:r>
              <w:rPr>
                <w:rStyle w:val="VerbatimChar"/>
              </w:rPr>
              <w:t xml:space="preserve">"use server"</w:t>
            </w:r>
            <w:r>
              <w:t xml:space="preserve"> </w:t>
            </w:r>
            <w:r>
              <w:t xml:space="preserve">que o cliente chama como se fosse local, mas que</w:t>
            </w:r>
            <w:r>
              <w:t xml:space="preserve"> </w:t>
            </w:r>
            <w:r>
              <w:rPr>
                <w:bCs/>
                <w:b/>
              </w:rPr>
              <w:t xml:space="preserve">executa no servidor</w:t>
            </w:r>
            <w:r>
              <w:t xml:space="preserve">. É o caminho único de escrita da v2.1, sempre com validação Zod.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google.script.run.minhaFuncao()</w:t>
            </w:r>
            <w:r>
              <w:t xml:space="preserve"> </w:t>
            </w:r>
            <w:r>
              <w:t xml:space="preserve">chamando uma função</w:t>
            </w:r>
            <w:r>
              <w:t xml:space="preserve"> </w:t>
            </w:r>
            <w:r>
              <w:rPr>
                <w:rStyle w:val="VerbatimChar"/>
              </w:rPr>
              <w:t xml:space="preserve">.gs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que roda antes da rota, em toda requisição. Na v2.1 valida a sessão do Supabase e redireciona quem não está autenticado.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 de e-mail em</w:t>
            </w:r>
            <w:r>
              <w:t xml:space="preserve"> </w:t>
            </w:r>
            <w:r>
              <w:rPr>
                <w:rStyle w:val="VerbatimChar"/>
              </w:rPr>
              <w:t xml:space="preserve">getContextoInicial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searchParams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parâmetros da URL depois do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?turma=CAHO-2026&amp;semana=12</w:t>
            </w:r>
            <w:r>
              <w:t xml:space="preserve">). Na v2.1 são</w:t>
            </w:r>
            <w:r>
              <w:t xml:space="preserve"> </w:t>
            </w:r>
            <w:r>
              <w:rPr>
                <w:bCs/>
                <w:b/>
              </w:rPr>
              <w:t xml:space="preserve">a fonte de verdade do estado de navegação</w:t>
            </w:r>
            <w:r>
              <w:t xml:space="preserve">, geridos por</w:t>
            </w:r>
            <w:r>
              <w:t xml:space="preserve"> </w:t>
            </w:r>
            <w:r>
              <w:rPr>
                <w:rStyle w:val="VerbatimChar"/>
              </w:rPr>
              <w:t xml:space="preserve">nuqs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  <w:r>
              <w:t xml:space="preserve"> </w:t>
            </w:r>
            <w:r>
              <w:rPr>
                <w:rStyle w:val="VerbatimChar"/>
              </w:rPr>
              <w:t xml:space="preserve">AppState</w:t>
            </w:r>
            <w:r>
              <w:t xml:space="preserve"> </w:t>
            </w:r>
            <w:r>
              <w:t xml:space="preserve">(Épico D) e, antes dele, as globais soltas</w:t>
            </w:r>
            <w:r>
              <w:t xml:space="preserve"> </w:t>
            </w:r>
            <w:r>
              <w:rPr>
                <w:rStyle w:val="VerbatimChar"/>
              </w:rPr>
              <w:t xml:space="preserve">CTX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turmaSel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cursoSel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revalidatePath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revalidateTag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Instruções que invalidam o cache do servidor após uma escrita, para que a próxima leitura traga o dado novo.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Rechamada manual do loader da view após salvar</w:t>
            </w:r>
          </w:p>
        </w:tc>
      </w:tr>
    </w:tbl>
    <w:bookmarkEnd w:id="24"/>
    <w:bookmarkStart w:id="25" w:name="banco-de-dados-e-segurança"/>
    <w:p>
      <w:pPr>
        <w:pStyle w:val="Heading3"/>
      </w:pPr>
      <w:r>
        <w:t xml:space="preserve">Banco de dados e segurança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 (v2.1)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Equivalente na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RLS — Row Level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do PostgreSQL que decide,</w:t>
            </w:r>
            <w:r>
              <w:t xml:space="preserve"> </w:t>
            </w:r>
            <w:r>
              <w:rPr>
                <w:bCs/>
                <w:b/>
              </w:rPr>
              <w:t xml:space="preserve">linha a linha</w:t>
            </w:r>
            <w:r>
              <w:t xml:space="preserve">, o que cada usuário pode ler ou escrever. A regra vive</w:t>
            </w:r>
            <w:r>
              <w:t xml:space="preserve"> </w:t>
            </w:r>
            <w:r>
              <w:rPr>
                <w:bCs/>
                <w:b/>
              </w:rPr>
              <w:t xml:space="preserve">no banco</w:t>
            </w:r>
            <w:r>
              <w:t xml:space="preserve">, não na aplicação. Toda tabela da v2.1 tem</w:t>
            </w:r>
            <w:r>
              <w:t xml:space="preserve"> </w:t>
            </w:r>
            <w:r>
              <w:rPr>
                <w:rStyle w:val="VerbatimChar"/>
              </w:rPr>
              <w:t xml:space="preserve">ENABLE ROW LEVEL SECURITY</w:t>
            </w:r>
            <w:r>
              <w:t xml:space="preserve">, e</w:t>
            </w:r>
            <w:r>
              <w:t xml:space="preserve"> </w:t>
            </w:r>
            <w:r>
              <w:rPr>
                <w:bCs/>
                <w:b/>
              </w:rPr>
              <w:t xml:space="preserve">tabela sem policy é inacessível por padrão</w:t>
            </w:r>
            <w:r>
              <w:t xml:space="preserve"> </w:t>
            </w:r>
            <w:r>
              <w:t xml:space="preserve">— isso é intencional.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exigirFuncao(PERFIS...)</w:t>
            </w:r>
            <w:r>
              <w:t xml:space="preserve"> </w:t>
            </w:r>
            <w:r>
              <w:t xml:space="preserve">no topo de cada função</w:t>
            </w:r>
            <w:r>
              <w:t xml:space="preserve"> </w:t>
            </w:r>
            <w:r>
              <w:rPr>
                <w:rStyle w:val="VerbatimChar"/>
              </w:rPr>
              <w:t xml:space="preserve">.gs</w:t>
            </w:r>
            <w:r>
              <w:t xml:space="preserve"> </w:t>
            </w:r>
            <w:r>
              <w:t xml:space="preserve">de escrita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regra RLS nomeada, por tabela e por operação (</w:t>
            </w:r>
            <w:r>
              <w:rPr>
                <w:rStyle w:val="VerbatimChar"/>
              </w:rPr>
              <w:t xml:space="preserve">select</w:t>
            </w:r>
            <w:r>
              <w:t xml:space="preserve">/</w:t>
            </w:r>
            <w:r>
              <w:rPr>
                <w:rStyle w:val="VerbatimChar"/>
              </w:rPr>
              <w:t xml:space="preserve">insert</w:t>
            </w:r>
            <w:r>
              <w:t xml:space="preserve">/</w:t>
            </w:r>
            <w:r>
              <w:rPr>
                <w:rStyle w:val="VerbatimChar"/>
              </w:rPr>
              <w:t xml:space="preserve">update</w:t>
            </w:r>
            <w:r>
              <w:t xml:space="preserve">/</w:t>
            </w:r>
            <w:r>
              <w:rPr>
                <w:rStyle w:val="VerbatimChar"/>
              </w:rPr>
              <w:t xml:space="preserve">delete</w:t>
            </w:r>
            <w:r>
              <w:t xml:space="preserve">), escrita em SQL. É o que materializa</w:t>
            </w:r>
            <w:r>
              <w:t xml:space="preserve"> </w:t>
            </w:r>
            <w:r>
              <w:rPr>
                <w:rStyle w:val="VerbatimChar"/>
              </w:rPr>
              <w:t xml:space="preserve">RNF-SEG-02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linha da matriz de perfis do documento 01, aplicada à mão em cada 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perfil_permissao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(perfil, recurso, acao, permitido)</w:t>
            </w:r>
            <w:r>
              <w:t xml:space="preserve"> </w:t>
            </w:r>
            <w:r>
              <w:t xml:space="preserve">que guarda a</w:t>
            </w:r>
            <w:r>
              <w:t xml:space="preserve"> </w:t>
            </w:r>
            <w:r>
              <w:rPr>
                <w:bCs/>
                <w:b/>
              </w:rPr>
              <w:t xml:space="preserve">matriz de permissões como dado</w:t>
            </w:r>
            <w:r>
              <w:t xml:space="preserve">. As policies a consultam por função. Trocar uma permissão vira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 não migration.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Constantes de perfil no código</w:t>
            </w:r>
            <w:r>
              <w:t xml:space="preserve"> </w:t>
            </w:r>
            <w:r>
              <w:rPr>
                <w:rStyle w:val="VerbatimChar"/>
              </w:rPr>
              <w:t xml:space="preserve">.gs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PERFIS_DIVISAO_ADMIN_ACADEMICA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  <w:r>
              <w:t xml:space="preserve"> </w:t>
            </w:r>
            <w:r>
              <w:rPr>
                <w:rStyle w:val="VerbatimChar"/>
              </w:rPr>
              <w:t xml:space="preserve">.sql</w:t>
            </w:r>
            <w:r>
              <w:t xml:space="preserve"> </w:t>
            </w:r>
            <w:r>
              <w:t xml:space="preserve">numerado e versionado que altera o schema (</w:t>
            </w:r>
            <w:r>
              <w:rPr>
                <w:rStyle w:val="VerbatimChar"/>
              </w:rPr>
              <w:t xml:space="preserve">supabase/migrations/*.sql</w:t>
            </w:r>
            <w:r>
              <w:t xml:space="preserve">). Roda em ordem, é revisável em</w:t>
            </w:r>
            <w:r>
              <w:t xml:space="preserve"> </w:t>
            </w:r>
            <w:r>
              <w:rPr>
                <w:iCs/>
                <w:i/>
              </w:rPr>
              <w:t xml:space="preserve">pull request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deve ser revertível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Python em</w:t>
            </w:r>
            <w:r>
              <w:t xml:space="preserve"> </w:t>
            </w:r>
            <w:r>
              <w:rPr>
                <w:rStyle w:val="VerbatimChar"/>
              </w:rPr>
              <w:t xml:space="preserve">migracao/*.py</w:t>
            </w:r>
            <w:r>
              <w:t xml:space="preserve"> </w:t>
            </w:r>
            <w:r>
              <w:t xml:space="preserve">+ edição manual da planilha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inicial de dados que o sistema precisa para funcionar —</w:t>
            </w:r>
            <w:r>
              <w:t xml:space="preserve"> </w:t>
            </w:r>
            <w:r>
              <w:rPr>
                <w:rStyle w:val="VerbatimChar"/>
              </w:rPr>
              <w:t xml:space="preserve">perfil_permissao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config_parametros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config_listas</w:t>
            </w:r>
            <w:r>
              <w:t xml:space="preserve">. Fica em</w:t>
            </w:r>
            <w:r>
              <w:t xml:space="preserve"> </w:t>
            </w:r>
            <w:r>
              <w:rPr>
                <w:rStyle w:val="VerbatimChar"/>
              </w:rPr>
              <w:t xml:space="preserve">supabase/seed.sql</w:t>
            </w:r>
            <w:r>
              <w:t xml:space="preserve"> </w:t>
            </w:r>
            <w:r>
              <w:t xml:space="preserve">e é reaplicável do zero.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Constantes no</w:t>
            </w:r>
            <w:r>
              <w:t xml:space="preserve"> </w:t>
            </w:r>
            <w:r>
              <w:rPr>
                <w:rStyle w:val="VerbatimChar"/>
              </w:rPr>
              <w:t xml:space="preserve">Código.gs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FERIADOS_2027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RESERVAS_PROENS</w:t>
            </w:r>
            <w:r>
              <w:t xml:space="preserve">) e semeadura manual de aba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 SQL exposta como chamada remota (</w:t>
            </w:r>
            <w:r>
              <w:rPr>
                <w:rStyle w:val="VerbatimChar"/>
              </w:rPr>
              <w:t xml:space="preserve">supabase.rpc('nome', {...})</w:t>
            </w:r>
            <w:r>
              <w:t xml:space="preserve">). Usada quando a operação é essencialmente de banco (agregação pesada, verificação transacional). Não é o padrão — o padrão é Server 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  <w:r>
              <w:t xml:space="preserve"> </w:t>
            </w:r>
            <w:r>
              <w:rPr>
                <w:rStyle w:val="VerbatimChar"/>
              </w:rPr>
              <w:t xml:space="preserve">.gs</w:t>
            </w:r>
            <w:r>
              <w:t xml:space="preserve"> </w:t>
            </w:r>
            <w:r>
              <w:t xml:space="preserve">chamada por</w:t>
            </w:r>
            <w:r>
              <w:t xml:space="preserve"> </w:t>
            </w:r>
            <w:r>
              <w:rPr>
                <w:rStyle w:val="VerbatimChar"/>
              </w:rPr>
              <w:t xml:space="preserve">google.script.run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 Deno hospedada pelo Supabase, executada perto do usuário, fora do ciclo do Next.js. Reservada para</w:t>
            </w:r>
            <w:r>
              <w:t xml:space="preserve"> </w:t>
            </w:r>
            <w:r>
              <w:rPr>
                <w:iCs/>
                <w:i/>
              </w:rPr>
              <w:t xml:space="preserve">webhook</w:t>
            </w:r>
            <w:r>
              <w:t xml:space="preserve"> </w:t>
            </w:r>
            <w:r>
              <w:t xml:space="preserve">e tarefa agendada.</w:t>
            </w:r>
            <w:r>
              <w:t xml:space="preserve"> </w:t>
            </w:r>
            <w:r>
              <w:rPr>
                <w:bCs/>
                <w:b/>
              </w:rPr>
              <w:t xml:space="preserve">Não é onde regra de negócio mora.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Gatilho de tempo (</w:t>
            </w:r>
            <w:r>
              <w:rPr>
                <w:rStyle w:val="VerbatimChar"/>
              </w:rPr>
              <w:t xml:space="preserve">ScriptApp</w:t>
            </w:r>
            <w:r>
              <w:t xml:space="preserve"> </w:t>
            </w:r>
            <w:r>
              <w:t xml:space="preserve">trigger) do Apps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PITR — Point-in-Time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Recuperação do banco para</w:t>
            </w:r>
            <w:r>
              <w:t xml:space="preserve"> </w:t>
            </w:r>
            <w:r>
              <w:rPr>
                <w:bCs/>
                <w:b/>
              </w:rPr>
              <w:t xml:space="preserve">qualquer instante</w:t>
            </w:r>
            <w:r>
              <w:t xml:space="preserve"> </w:t>
            </w:r>
            <w:r>
              <w:t xml:space="preserve">dentro da janela de retenção, não só para o último backup diário. Recurso de plano pago do Supabase; requisito operacional da v2.1 (documento 00, §5.3).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versões do Google Sheets +</w:t>
            </w:r>
            <w:r>
              <w:t xml:space="preserve"> </w:t>
            </w:r>
            <w:r>
              <w:rPr>
                <w:rStyle w:val="VerbatimChar"/>
              </w:rPr>
              <w:t xml:space="preserve">baseline/v1-snapshot/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tipos gerados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  <w:r>
              <w:t xml:space="preserve"> </w:t>
            </w:r>
            <w:r>
              <w:rPr>
                <w:rStyle w:val="VerbatimChar"/>
              </w:rPr>
              <w:t xml:space="preserve">lib/tipos/database.ts</w:t>
            </w:r>
            <w:r>
              <w:t xml:space="preserve"> </w:t>
            </w:r>
            <w:r>
              <w:t xml:space="preserve">produzido por</w:t>
            </w:r>
            <w:r>
              <w:t xml:space="preserve"> </w:t>
            </w:r>
            <w:r>
              <w:rPr>
                <w:rStyle w:val="VerbatimChar"/>
              </w:rPr>
              <w:t xml:space="preserve">supabase gen types typescript</w:t>
            </w:r>
            <w:r>
              <w:t xml:space="preserve">, que traduz o schema real em tipos TypeScript. Se a coluna mudar e o código não acompanhar,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tsc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acusa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_Meta_Colunas</w:t>
            </w:r>
            <w:r>
              <w:t xml:space="preserve">, mantida à mão para dar ao Sheets um contrato de coluna que ele não tinha.</w:t>
            </w:r>
            <w:r>
              <w:t xml:space="preserve"> </w:t>
            </w:r>
            <w:r>
              <w:rPr>
                <w:bCs/>
                <w:b/>
              </w:rPr>
              <w:t xml:space="preserve">[ABSORVIDO PELA PLATAFORMA]</w:t>
            </w:r>
            <w:r>
              <w:t xml:space="preserve"> </w:t>
            </w:r>
            <w:r>
              <w:t xml:space="preserve">— tabela aposentada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text unique not null</w:t>
            </w:r>
            <w:r>
              <w:t xml:space="preserve"> </w:t>
            </w:r>
            <w:r>
              <w:t xml:space="preserve">que guarda o</w:t>
            </w:r>
            <w:r>
              <w:t xml:space="preserve"> </w:t>
            </w:r>
            <w:r>
              <w:rPr>
                <w:rStyle w:val="VerbatimChar"/>
              </w:rPr>
              <w:t xml:space="preserve">ID_*</w:t>
            </w:r>
            <w:r>
              <w:t xml:space="preserve"> </w:t>
            </w:r>
            <w:r>
              <w:t xml:space="preserve">legado da v2.0 (</w:t>
            </w:r>
            <w:r>
              <w:rPr>
                <w:rStyle w:val="VerbatimChar"/>
              </w:rPr>
              <w:t xml:space="preserve">CUR-000001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VIN-000123</w:t>
            </w:r>
            <w:r>
              <w:t xml:space="preserve">). Garante rastreabilidade 1:1 com o histórico.</w:t>
            </w:r>
            <w:r>
              <w:t xml:space="preserve"> </w:t>
            </w:r>
            <w:r>
              <w:rPr>
                <w:bCs/>
                <w:b/>
              </w:rPr>
              <w:t xml:space="preserve">FKs apontam para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id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(uuid), nunca para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codigo</w:t>
            </w:r>
            <w:r>
              <w:rPr>
                <w:bCs/>
                <w:b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próprio</w:t>
            </w:r>
            <w:r>
              <w:t xml:space="preserve"> </w:t>
            </w:r>
            <w:r>
              <w:rPr>
                <w:rStyle w:val="VerbatimChar"/>
              </w:rPr>
              <w:t xml:space="preserve">ID_*</w:t>
            </w:r>
            <w:r>
              <w:t xml:space="preserve"> </w:t>
            </w:r>
            <w:r>
              <w:t xml:space="preserve">como chave primária da aba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exclusão 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</w:t>
            </w:r>
            <w:r>
              <w:t xml:space="preserve"> </w:t>
            </w:r>
            <w:r>
              <w:rPr>
                <w:rStyle w:val="VerbatimChar"/>
              </w:rPr>
              <w:t xml:space="preserve">status = 'inativo'</w:t>
            </w:r>
            <w:r>
              <w:t xml:space="preserve"> </w:t>
            </w:r>
            <w:r>
              <w:t xml:space="preserve">em vez de apagar. Universal na v2.1, com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rPr>
                <w:bCs/>
                <w:b/>
              </w:rPr>
              <w:t xml:space="preserve">explícito</w:t>
            </w:r>
            <w:r>
              <w:t xml:space="preserve">, nunca inferido de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Nada é apagado, nunca.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regra, aplicada por convenção de código (documento 04, RN-INST-02)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vigência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</w:t>
            </w:r>
            <w:r>
              <w:t xml:space="preserve"> </w:t>
            </w:r>
            <w:r>
              <w:rPr>
                <w:rStyle w:val="VerbatimChar"/>
              </w:rPr>
              <w:t xml:space="preserve">vigente_de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vigente_ate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= vigente). A resolução é sempre pelo maior</w:t>
            </w:r>
            <w:r>
              <w:t xml:space="preserve"> </w:t>
            </w:r>
            <w:r>
              <w:rPr>
                <w:rStyle w:val="VerbatimChar"/>
              </w:rPr>
              <w:t xml:space="preserve">vigente_de &lt;= data_do_fato</w:t>
            </w:r>
            <w:r>
              <w:t xml:space="preserve">, de modo que</w:t>
            </w:r>
            <w:r>
              <w:t xml:space="preserve"> </w:t>
            </w:r>
            <w:r>
              <w:rPr>
                <w:bCs/>
                <w:b/>
              </w:rPr>
              <w:t xml:space="preserve">nenhuma edição reinterpreta o passado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Colunas de vigência em</w:t>
            </w:r>
            <w:r>
              <w:t xml:space="preserve"> </w:t>
            </w:r>
            <w:r>
              <w:rPr>
                <w:rStyle w:val="VerbatimChar"/>
              </w:rPr>
              <w:t xml:space="preserve">Cad_Cursos_Regime_Historico</w:t>
            </w:r>
            <w:r>
              <w:t xml:space="preserve">, resolvidas em JavaScript</w:t>
            </w:r>
          </w:p>
        </w:tc>
      </w:tr>
    </w:tbl>
    <w:bookmarkEnd w:id="25"/>
    <w:bookmarkStart w:id="26" w:name="interface-e-design"/>
    <w:p>
      <w:pPr>
        <w:pStyle w:val="Heading3"/>
      </w:pPr>
      <w:r>
        <w:t xml:space="preserve">Interface e design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 (v2.1)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Equivalente na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 CSS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de estilo por classes utilitárias, configurado</w:t>
            </w:r>
            <w:r>
              <w:t xml:space="preserve"> </w:t>
            </w:r>
            <w:r>
              <w:rPr>
                <w:bCs/>
                <w:b/>
              </w:rPr>
              <w:t xml:space="preserve">em CSS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 </w:t>
            </w:r>
            <w:r>
              <w:t xml:space="preserve">(não em arquivo JS).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 via CDN + CSS ad hoc por 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de componentes acessíveis (Radix +</w:t>
            </w:r>
            <w:r>
              <w:t xml:space="preserve"> </w:t>
            </w:r>
            <w:r>
              <w:rPr>
                <w:rStyle w:val="VerbatimChar"/>
              </w:rPr>
              <w:t xml:space="preserve">cva</w:t>
            </w:r>
            <w:r>
              <w:t xml:space="preserve">) que são</w:t>
            </w:r>
            <w:r>
              <w:t xml:space="preserve"> </w:t>
            </w:r>
            <w:r>
              <w:rPr>
                <w:bCs/>
                <w:b/>
              </w:rPr>
              <w:t xml:space="preserve">copiados para dentro do repositório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components/ui/</w:t>
            </w:r>
            <w:r>
              <w:t xml:space="preserve"> </w:t>
            </w:r>
            <w:r>
              <w:t xml:space="preserve">e versionados — não é dependência opaca, é código do projeto.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 do Bootstrap + HTML repetido por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de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Variável CSS que carrega uma decisão visual (</w:t>
            </w:r>
            <w:r>
              <w:rPr>
                <w:rStyle w:val="VerbatimChar"/>
              </w:rPr>
              <w:t xml:space="preserve">--color-ciaara-azul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--color-ciaara-ink</w:t>
            </w:r>
            <w:r>
              <w:t xml:space="preserve">, escalas de espaçamento e tipografia), declarada uma vez sob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 </w:t>
            </w:r>
            <w:r>
              <w:t xml:space="preserve">e consumida em todo lugar.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Variáveis CSS da v1.0 + o objeto global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UI</w:t>
            </w:r>
            <w:r>
              <w:t xml:space="preserve"> </w:t>
            </w:r>
            <w:r>
              <w:t xml:space="preserve">da v2.0.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UI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deixa de existir como objeto</w:t>
            </w:r>
            <w:r>
              <w:t xml:space="preserve">: vira tokens + biblioteca tipada.</w:t>
            </w:r>
            <w:r>
              <w:t xml:space="preserve"> </w:t>
            </w:r>
            <w:r>
              <w:rPr>
                <w:rStyle w:val="VerbatimChar"/>
              </w:rPr>
              <w:t xml:space="preserve">RF-DS</w:t>
            </w:r>
            <w:r>
              <w:t xml:space="preserve"> </w:t>
            </w:r>
            <w:r>
              <w:t xml:space="preserve">é preservado; o mecanismo muda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components/ciaara/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componentes de domínio do sistema:</w:t>
            </w:r>
            <w:r>
              <w:t xml:space="preserve"> </w:t>
            </w:r>
            <w:r>
              <w:rPr>
                <w:rStyle w:val="VerbatimChar"/>
              </w:rPr>
              <w:t xml:space="preserve">CardKpi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BadgeStatus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GradeAlocacao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FiltroAvancado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AlertaConformidade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TabelaDensa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SeletorTurma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Blocos de HTML/JS duplicados entre</w:t>
            </w:r>
            <w:r>
              <w:t xml:space="preserve"> </w:t>
            </w:r>
            <w:r>
              <w:rPr>
                <w:rStyle w:val="VerbatimChar"/>
              </w:rPr>
              <w:t xml:space="preserve">ViewInstrutores.html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ViewDisciplinas.html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 de impressão (</w:t>
            </w:r>
            <w:r>
              <w:rPr>
                <w:rStyle w:val="VerbatimChar"/>
                <w:bCs/>
                <w:b/>
              </w:rPr>
              <w:t xml:space="preserve">/print/*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 que renderiza</w:t>
            </w:r>
            <w:r>
              <w:t xml:space="preserve"> </w:t>
            </w:r>
            <w:r>
              <w:rPr>
                <w:bCs/>
                <w:b/>
              </w:rPr>
              <w:t xml:space="preserve">sem o shell da aplicação</w:t>
            </w:r>
            <w:r>
              <w:t xml:space="preserve">, com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e quebra de página controlada:</w:t>
            </w:r>
            <w:r>
              <w:t xml:space="preserve"> </w:t>
            </w:r>
            <w:r>
              <w:rPr>
                <w:rStyle w:val="VerbatimChar"/>
              </w:rPr>
              <w:t xml:space="preserve">dsa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relatorio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cronograma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ficha-instrutor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os-instrutoria</w:t>
            </w:r>
            <w:r>
              <w:t xml:space="preserve">. Impressão é requisito (</w:t>
            </w:r>
            <w:r>
              <w:rPr>
                <w:rStyle w:val="VerbatimChar"/>
              </w:rPr>
              <w:t xml:space="preserve">RNF-COMP-01</w:t>
            </w:r>
            <w:r>
              <w:t xml:space="preserve">), não detalhe.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Blocos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e telas dedicadas dentro das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next-themes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que gere tema claro/noturno por classe no elemento raiz, com persistência no navegador — preserva</w:t>
            </w:r>
            <w:r>
              <w:t xml:space="preserve"> </w:t>
            </w:r>
            <w:r>
              <w:rPr>
                <w:rStyle w:val="VerbatimChar"/>
              </w:rPr>
              <w:t xml:space="preserve">RNF-USA-05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Alternância de tema implementada à mão na v1.0/v2.0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de gráficos em React usada na v2.1.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ApexCharts (adotada no Épico 009), com helper único</w:t>
            </w:r>
            <w:r>
              <w:t xml:space="preserve"> </w:t>
            </w:r>
            <w:r>
              <w:rPr>
                <w:rStyle w:val="VerbatimChar"/>
              </w:rPr>
              <w:t xml:space="preserve">renderizarGrafico_</w:t>
            </w:r>
          </w:p>
        </w:tc>
      </w:tr>
    </w:tbl>
    <w:bookmarkEnd w:id="26"/>
    <w:bookmarkStart w:id="27" w:name="testes-entrega-e-qualidade"/>
    <w:p>
      <w:pPr>
        <w:pStyle w:val="Heading3"/>
      </w:pPr>
      <w:r>
        <w:t xml:space="preserve">Testes, entrega e qualidade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 (v2.1)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Equivalente na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Executor de testes de unidade. Na v2.1 cobre</w:t>
            </w:r>
            <w:r>
              <w:t xml:space="preserve"> </w:t>
            </w:r>
            <w:r>
              <w:rPr>
                <w:bCs/>
                <w:b/>
              </w:rPr>
              <w:t xml:space="preserve">toda função de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lib/dominio/</w:t>
            </w:r>
            <w:r>
              <w:t xml:space="preserve"> </w:t>
            </w:r>
            <w:r>
              <w:t xml:space="preserve">e os</w:t>
            </w:r>
            <w:r>
              <w:t xml:space="preserve"> </w:t>
            </w:r>
            <w:r>
              <w:rPr>
                <w:bCs/>
                <w:b/>
              </w:rPr>
              <w:t xml:space="preserve">testes negativos de RLS</w:t>
            </w:r>
            <w:r>
              <w:t xml:space="preserve"> </w:t>
            </w:r>
            <w:r>
              <w:t xml:space="preserve">com cliente autenticado.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Suíte de invariantes em</w:t>
            </w:r>
            <w:r>
              <w:t xml:space="preserve"> </w:t>
            </w:r>
            <w:r>
              <w:rPr>
                <w:rStyle w:val="VerbatimChar"/>
              </w:rPr>
              <w:t xml:space="preserve">tests/*.test.js</w:t>
            </w:r>
            <w:r>
              <w:t xml:space="preserve"> </w:t>
            </w:r>
            <w:r>
              <w:t xml:space="preserve">(466 testes ao fim da v2.0)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de ponta a ponta em navegador real: percorre a tela como o usuário, inclusive as rotas de impressão.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existia — o teste de aceite era</w:t>
            </w:r>
            <w:r>
              <w:t xml:space="preserve"> </w:t>
            </w:r>
            <w:r>
              <w:rPr>
                <w:bCs/>
                <w:b/>
              </w:rPr>
              <w:t xml:space="preserve">manual, contra a planilha ao vivo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de teste</w:t>
            </w:r>
            <w:r>
              <w:t xml:space="preserve"> </w:t>
            </w:r>
            <w:r>
              <w:rPr>
                <w:bCs/>
                <w:b/>
              </w:rPr>
              <w:t xml:space="preserve">dentro do PostgreSQL</w:t>
            </w:r>
            <w:r>
              <w:t xml:space="preserve">: contagens, integridade referencial e uma asserção nomeada por regra</w:t>
            </w:r>
            <w:r>
              <w:t xml:space="preserve"> </w:t>
            </w:r>
            <w:r>
              <w:rPr>
                <w:rStyle w:val="VerbatimChar"/>
              </w:rPr>
              <w:t xml:space="preserve">RN-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iCs/>
                <w:i/>
              </w:rPr>
              <w:t xml:space="preserve">Risco: Alto</w:t>
            </w:r>
            <w:r>
              <w:t xml:space="preserve">. Um</w:t>
            </w:r>
            <w:r>
              <w:t xml:space="preserve"> </w:t>
            </w:r>
            <w:r>
              <w:rPr>
                <w:iCs/>
                <w:i/>
              </w:rPr>
              <w:t xml:space="preserve">stub</w:t>
            </w:r>
            <w:r>
              <w:t xml:space="preserve"> </w:t>
            </w:r>
            <w:r>
              <w:t xml:space="preserve">rastreável e explicitamente pendente é melhor que cobertura fingida (Princípio VIII).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dos testes de invariante, escritos em JavaScript sobre leitura de aba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 (integração contínua)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automática do portão de qualidade a cada</w:t>
            </w:r>
            <w:r>
              <w:t xml:space="preserve"> </w:t>
            </w:r>
            <w:r>
              <w:rPr>
                <w:iCs/>
                <w:i/>
              </w:rPr>
              <w:t xml:space="preserve">push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eslint</w:t>
            </w:r>
            <w:r>
              <w:t xml:space="preserve">, Vitest, pgTAP, Playwright.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Proibida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RNF-PLAT-04</w:t>
            </w:r>
            <w:r>
              <w:t xml:space="preserve"> </w:t>
            </w:r>
            <w:r>
              <w:t xml:space="preserve">e pelo Princípio III.</w:t>
            </w:r>
            <w:r>
              <w:t xml:space="preserve"> </w:t>
            </w:r>
            <w:r>
              <w:rPr>
                <w:bCs/>
                <w:b/>
              </w:rPr>
              <w:t xml:space="preserve">[REVOGADO — v2.1]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preview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completo e descartável publicado pela Vercel</w:t>
            </w:r>
            <w:r>
              <w:t xml:space="preserve"> </w:t>
            </w:r>
            <w:r>
              <w:rPr>
                <w:bCs/>
                <w:b/>
              </w:rPr>
              <w:t xml:space="preserve">para cada branch</w:t>
            </w:r>
            <w:r>
              <w:t xml:space="preserve">, com seu próprio banco de teste. Permite testar de verdade sem tocar em produção.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existia:</w:t>
            </w:r>
            <w:r>
              <w:t xml:space="preserve"> </w:t>
            </w:r>
            <w:r>
              <w:rPr>
                <w:bCs/>
                <w:b/>
              </w:rPr>
              <w:t xml:space="preserve">uma URL só, que era a produção</w:t>
            </w:r>
            <w:r>
              <w:t xml:space="preserve">. Daí a marca</w:t>
            </w:r>
            <w:r>
              <w:t xml:space="preserve"> </w:t>
            </w:r>
            <w:r>
              <w:t xml:space="preserve">“</w:t>
            </w:r>
            <w:r>
              <w:t xml:space="preserve">teste de aceite contra a planilha ao vivo ainda pendente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lib/dominio/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 onde as ~40 regras</w:t>
            </w:r>
            <w:r>
              <w:t xml:space="preserve"> </w:t>
            </w:r>
            <w:r>
              <w:rPr>
                <w:rStyle w:val="VerbatimChar"/>
              </w:rPr>
              <w:t xml:space="preserve">RN-</w:t>
            </w:r>
            <w:r>
              <w:t xml:space="preserve"> </w:t>
            </w:r>
            <w:r>
              <w:t xml:space="preserve">viram</w:t>
            </w:r>
            <w:r>
              <w:t xml:space="preserve"> </w:t>
            </w:r>
            <w:r>
              <w:rPr>
                <w:bCs/>
                <w:b/>
              </w:rPr>
              <w:t xml:space="preserve">funções TypeScript puras, sem I/O</w:t>
            </w:r>
            <w:r>
              <w:t xml:space="preserve">. Regra permanente:</w:t>
            </w:r>
            <w:r>
              <w:t xml:space="preserve"> </w:t>
            </w:r>
            <w:r>
              <w:rPr>
                <w:bCs/>
                <w:b/>
              </w:rPr>
              <w:t xml:space="preserve">nada em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lib/dominio/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importa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supabase</w:t>
            </w:r>
            <w:r>
              <w:t xml:space="preserve">. Puras ⇒ testáveis sem banco ⇒ a suíte da v2.0 porta quase 1:1. É o item mais importante da migração.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espalhadas entre</w:t>
            </w:r>
            <w:r>
              <w:t xml:space="preserve"> </w:t>
            </w:r>
            <w:r>
              <w:rPr>
                <w:rStyle w:val="VerbatimChar"/>
              </w:rPr>
              <w:t xml:space="preserve">MotorPreditivo.gs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Cronograma.gs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Liq.gs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Estatisticas.gs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de validação de esquema em TypeScript, usada nas fronteiras (formulário e Server Action) com</w:t>
            </w:r>
            <w:r>
              <w:t xml:space="preserve"> </w:t>
            </w:r>
            <w:r>
              <w:rPr>
                <w:bCs/>
                <w:b/>
              </w:rPr>
              <w:t xml:space="preserve">o mesmo esquema no cliente e no servidor</w:t>
            </w:r>
            <w:r>
              <w:t xml:space="preserve">. Atende</w:t>
            </w:r>
            <w:r>
              <w:t xml:space="preserve"> </w:t>
            </w:r>
            <w:r>
              <w:rPr>
                <w:rStyle w:val="VerbatimChar"/>
              </w:rPr>
              <w:t xml:space="preserve">RNF-MAN-02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duplicada à mão entre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.gs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Conventional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de mensagem de commit (</w:t>
            </w:r>
            <w:r>
              <w:rPr>
                <w:rStyle w:val="VerbatimChar"/>
              </w:rPr>
              <w:t xml:space="preserve">feat(RF-DSA-08): …</w:t>
            </w:r>
            <w:r>
              <w:t xml:space="preserve">) que cita o identificador de origem — Princípio VIII.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prática, no formato</w:t>
            </w:r>
            <w:r>
              <w:t xml:space="preserve"> </w:t>
            </w:r>
            <w:r>
              <w:t xml:space="preserve">“</w:t>
            </w:r>
            <w:r>
              <w:t xml:space="preserve">Missão N</w:t>
            </w:r>
            <w:r>
              <w:t xml:space="preserve">”</w:t>
            </w:r>
            <w:r>
              <w:t xml:space="preserve"> </w:t>
            </w:r>
            <w:r>
              <w:t xml:space="preserve">(v1.0) e</w:t>
            </w:r>
            <w:r>
              <w:t xml:space="preserve"> </w:t>
            </w:r>
            <w:r>
              <w:rPr>
                <w:rStyle w:val="VerbatimChar"/>
              </w:rPr>
              <w:t xml:space="preserve">feat(RF-…)</w:t>
            </w:r>
            <w:r>
              <w:t xml:space="preserve"> </w:t>
            </w:r>
            <w:r>
              <w:t xml:space="preserve">(v2.0)</w:t>
            </w:r>
          </w:p>
        </w:tc>
      </w:tr>
    </w:tbl>
    <w:bookmarkEnd w:id="27"/>
    <w:bookmarkStart w:id="28" w:name="vibe-coding"/>
    <w:p>
      <w:pPr>
        <w:pStyle w:val="Heading3"/>
      </w:pPr>
      <w:r>
        <w:t xml:space="preserve">Vibe coding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desenvolvimento assistido em ciclos nomeados:</w:t>
            </w:r>
            <w:r>
              <w:t xml:space="preserve"> </w:t>
            </w:r>
            <w:r>
              <w:rPr>
                <w:rStyle w:val="VerbatimChar"/>
              </w:rPr>
              <w:t xml:space="preserve">specify → clarify → plan → tasks → analyze → implement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clarify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analyze</w:t>
            </w:r>
            <w:r>
              <w:t xml:space="preserve"> </w:t>
            </w:r>
            <w:r>
              <w:t xml:space="preserve">são</w:t>
            </w:r>
            <w:r>
              <w:t xml:space="preserve"> </w:t>
            </w:r>
            <w:r>
              <w:rPr>
                <w:bCs/>
                <w:b/>
              </w:rPr>
              <w:t xml:space="preserve">obrigatórios, não opcionais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39 ciclos executados na v2.0 (</w:t>
            </w:r>
            <w:r>
              <w:rPr>
                <w:rStyle w:val="VerbatimChar"/>
              </w:rPr>
              <w:t xml:space="preserve">specs/001-…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specs/039-…</w:t>
            </w:r>
            <w:r>
              <w:t xml:space="preserve">). O método atravessa a migração intacto; o que muda é a stack, não a disciplina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  <w:r>
              <w:t xml:space="preserve"> </w:t>
            </w:r>
            <w:r>
              <w:rPr>
                <w:rStyle w:val="VerbatimChar"/>
              </w:rPr>
              <w:t xml:space="preserve">.specify/memory/constitution.md</w:t>
            </w:r>
            <w:r>
              <w:t xml:space="preserve"> </w:t>
            </w:r>
            <w:r>
              <w:t xml:space="preserve">com os princípios que governam o repositório e</w:t>
            </w:r>
            <w:r>
              <w:t xml:space="preserve"> </w:t>
            </w:r>
            <w:r>
              <w:rPr>
                <w:bCs/>
                <w:b/>
              </w:rPr>
              <w:t xml:space="preserve">prevalecem sobre qualquer plano ou tarefa</w:t>
            </w:r>
            <w:r>
              <w:t xml:space="preserve">. Emenda exige decisão explícita de Bernardo, registrada com data e motivo.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 com reescrita]</w:t>
            </w:r>
            <w:r>
              <w:t xml:space="preserve"> </w:t>
            </w:r>
            <w:r>
              <w:t xml:space="preserve">— o</w:t>
            </w:r>
            <w:r>
              <w:t xml:space="preserve"> </w:t>
            </w:r>
            <w:r>
              <w:rPr>
                <w:bCs/>
                <w:b/>
              </w:rPr>
              <w:t xml:space="preserve">Princípio III</w:t>
            </w:r>
            <w:r>
              <w:t xml:space="preserve"> </w:t>
            </w:r>
            <w:r>
              <w:t xml:space="preserve">deixa de proibir framework/banco externo/CI e passa a fixar a nova stack e suas proibições. É</w:t>
            </w:r>
            <w:r>
              <w:t xml:space="preserve"> </w:t>
            </w:r>
            <w:r>
              <w:rPr>
                <w:bCs/>
                <w:b/>
              </w:rPr>
              <w:t xml:space="preserve">reescrito, não deletado</w:t>
            </w:r>
            <w:r>
              <w:t xml:space="preserve"> </w:t>
            </w:r>
            <w:r>
              <w:t xml:space="preserve">(documento 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grande de escopo, com valor próprio e critérios de aceite. A v2.1 tem 14 (0 a 13). Granularidade Spec Kit:</w:t>
            </w:r>
            <w:r>
              <w:t xml:space="preserve"> </w:t>
            </w:r>
            <w:r>
              <w:rPr>
                <w:bCs/>
                <w:b/>
              </w:rPr>
              <w:t xml:space="preserve">1 épico = 1 feature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Sequenciamento: 0 → 1 → 2 → 3 → 4, depois por valor.</w:t>
            </w:r>
            <w:r>
              <w:t xml:space="preserve"> </w:t>
            </w:r>
            <w:r>
              <w:rPr>
                <w:bCs/>
                <w:b/>
              </w:rPr>
              <w:t xml:space="preserve">2 antes de 3</w:t>
            </w:r>
            <w:r>
              <w:t xml:space="preserve">: sem dado migrado não há o que proteger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Recorte implementável de um épico, do banco à tela, que passa sozinho pela Definition of Done. É a unidade de commit e de</w:t>
            </w:r>
            <w:r>
              <w:t xml:space="preserve"> </w:t>
            </w:r>
            <w:r>
              <w:rPr>
                <w:iCs/>
                <w:i/>
              </w:rPr>
              <w:t xml:space="preserve">pull request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Herda o padrão da v1.0/v2.0: mudança cirúrgica, aditiva, um commit por unidade (Princípio VI)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na raiz do repositório com o contexto operacional do dia a dia: convenções, gotchas, comandos, o que nunca fazer. É o que o assistente lê antes de escrever código.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  <w:r>
              <w:t xml:space="preserve"> </w:t>
            </w:r>
            <w:r>
              <w:t xml:space="preserve">— existe desde a v2.0; reescrito para a nova stack (documento 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Complemento do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com instruções específicas por agente/ferramenta.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 — v2.1]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termos-de-migração-novo-v2.1"/>
    <w:p>
      <w:pPr>
        <w:pStyle w:val="Heading2"/>
      </w:pPr>
      <w:r>
        <w:t xml:space="preserve">Termos de migração</w:t>
      </w:r>
      <w:r>
        <w:t xml:space="preserve"> </w:t>
      </w:r>
      <w:r>
        <w:rPr>
          <w:bCs/>
          <w:b/>
        </w:rPr>
        <w:t xml:space="preserve">[NOVO — v2.1]</w:t>
      </w:r>
    </w:p>
    <w:p>
      <w:pPr>
        <w:pStyle w:val="FirstParagraph"/>
      </w:pPr>
      <w:r>
        <w:t xml:space="preserve">Vocabulário do corte. Estas palavras aparecem em decisão de risco, e</w:t>
      </w:r>
      <w:r>
        <w:t xml:space="preserve"> </w:t>
      </w:r>
      <w:r>
        <w:rPr>
          <w:bCs/>
          <w:b/>
        </w:rPr>
        <w:t xml:space="preserve">precisam significar exatamente a mesma coisa para todos</w:t>
      </w:r>
      <w:r>
        <w:t xml:space="preserve"> </w:t>
      </w:r>
      <w:r>
        <w:t xml:space="preserve">— ambiguidade aqui custa dado.</w:t>
      </w:r>
    </w:p>
    <w:p>
      <w:pPr>
        <w:pStyle w:val="BodyText"/>
      </w:pPr>
      <w:r>
        <w:rPr>
          <w:bCs/>
          <w:b/>
        </w:rPr>
        <w:t xml:space="preserve">Paridade funcional.</w:t>
      </w:r>
      <w:r>
        <w:t xml:space="preserve"> </w:t>
      </w:r>
      <w:r>
        <w:t xml:space="preserve">Critério de sucesso da v2.1:</w:t>
      </w:r>
      <w:r>
        <w:t xml:space="preserve"> </w:t>
      </w:r>
      <w:r>
        <w:rPr>
          <w:bCs/>
          <w:b/>
        </w:rPr>
        <w:t xml:space="preserve">todo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RF-</w:t>
      </w:r>
      <w:r>
        <w:rPr>
          <w:bCs/>
          <w:b/>
        </w:rPr>
        <w:t xml:space="preserve"> </w:t>
      </w:r>
      <w:r>
        <w:rPr>
          <w:bCs/>
          <w:b/>
        </w:rPr>
        <w:t xml:space="preserve">implantado na v2.0 tem correspondente funcionando na v2.1, e toda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RN-</w:t>
      </w:r>
      <w:r>
        <w:rPr>
          <w:bCs/>
          <w:b/>
        </w:rPr>
        <w:t xml:space="preserve"> </w:t>
      </w:r>
      <w:r>
        <w:rPr>
          <w:bCs/>
          <w:b/>
        </w:rPr>
        <w:t xml:space="preserve">preservada produz o mesmo resultado.</w:t>
      </w:r>
      <w:r>
        <w:t xml:space="preserve"> </w:t>
      </w:r>
      <w:r>
        <w:t xml:space="preserve">Paridade é verificada por</w:t>
      </w:r>
      <w:r>
        <w:t xml:space="preserve"> </w:t>
      </w:r>
      <w:r>
        <w:rPr>
          <w:bCs/>
          <w:b/>
        </w:rPr>
        <w:t xml:space="preserve">invariante estrutural e matemático</w:t>
      </w:r>
      <w:r>
        <w:t xml:space="preserve"> </w:t>
      </w:r>
      <w:r>
        <w:t xml:space="preserve">— nunca por diff com a saída histórica de um curso específico.</w:t>
      </w:r>
      <w:r>
        <w:t xml:space="preserve"> </w:t>
      </w:r>
      <w:r>
        <w:rPr>
          <w:iCs/>
          <w:i/>
        </w:rPr>
        <w:t xml:space="preserve">(A CAHO 2026 foi rejeitada como padrão-ouro por Bernardo em 10/08/2026 —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descobri que ele possui muitos erros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e essa decisão continua valendo.)</w:t>
      </w:r>
      <w:r>
        <w:t xml:space="preserve"> </w:t>
      </w:r>
      <w:r>
        <w:t xml:space="preserve">Paridade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inclui funcionalidade nova: a v2.1 não entrega nenhuma (documento 00, §6.4). Se a paridade for negociável, não existe critério de aceite.</w:t>
      </w:r>
    </w:p>
    <w:p>
      <w:pPr>
        <w:pStyle w:val="BodyText"/>
      </w:pPr>
      <w:r>
        <w:rPr>
          <w:bCs/>
          <w:b/>
        </w:rPr>
        <w:t xml:space="preserve">Reconciliação.</w:t>
      </w:r>
      <w:r>
        <w:t xml:space="preserve"> </w:t>
      </w:r>
      <w:r>
        <w:t xml:space="preserve">Conferência formal, após a carga (ETL), de que a base nova</w:t>
      </w:r>
      <w:r>
        <w:t xml:space="preserve"> </w:t>
      </w:r>
      <w:r>
        <w:rPr>
          <w:bCs/>
          <w:b/>
        </w:rPr>
        <w:t xml:space="preserve">contém exatamente</w:t>
      </w:r>
      <w:r>
        <w:t xml:space="preserve"> </w:t>
      </w:r>
      <w:r>
        <w:t xml:space="preserve">o que a base velha continha. Tem três níveis, e os três precisam passar:</w:t>
      </w:r>
      <w:r>
        <w:t xml:space="preserve"> </w:t>
      </w:r>
      <w:r>
        <w:rPr>
          <w:bCs/>
          <w:b/>
        </w:rPr>
        <w:t xml:space="preserve">(i) contagem</w:t>
      </w:r>
      <w:r>
        <w:t xml:space="preserve"> </w:t>
      </w:r>
      <w:r>
        <w:t xml:space="preserve">por entidade (24 cursos, 29 turmas, 175 disciplinas, 177 instrutores, 798 vínculos, ~1.753 registros de aula, 663 atividades, 111 avaliações);</w:t>
      </w:r>
      <w:r>
        <w:t xml:space="preserve"> </w:t>
      </w:r>
      <w:r>
        <w:rPr>
          <w:bCs/>
          <w:b/>
        </w:rPr>
        <w:t xml:space="preserve">(ii) identidade</w:t>
      </w:r>
      <w:r>
        <w:t xml:space="preserve">, conferindo que todo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legado migrou e é único;</w:t>
      </w:r>
      <w:r>
        <w:t xml:space="preserve"> </w:t>
      </w:r>
      <w:r>
        <w:rPr>
          <w:bCs/>
          <w:b/>
        </w:rPr>
        <w:t xml:space="preserve">(iii) invariante</w:t>
      </w:r>
      <w:r>
        <w:t xml:space="preserve">, rodando as asserções de regra sobre a base nova. O relatório de reconciliação é entregável do documento 30, e</w:t>
      </w:r>
      <w:r>
        <w:t xml:space="preserve"> </w:t>
      </w:r>
      <w:r>
        <w:rPr>
          <w:bCs/>
          <w:b/>
        </w:rPr>
        <w:t xml:space="preserve">divergência não justificada linha a linha bloqueia o corte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Corte (</w:t>
      </w:r>
      <w:r>
        <w:rPr>
          <w:iCs/>
          <w:i/>
          <w:bCs/>
          <w:b/>
        </w:rPr>
        <w:t xml:space="preserve">cutover</w:t>
      </w:r>
      <w:r>
        <w:rPr>
          <w:bCs/>
          <w:b/>
        </w:rPr>
        <w:t xml:space="preserve">).</w:t>
      </w:r>
      <w:r>
        <w:t xml:space="preserve"> </w:t>
      </w:r>
      <w:r>
        <w:t xml:space="preserve">O momento único em que a</w:t>
      </w:r>
      <w:r>
        <w:t xml:space="preserve"> </w:t>
      </w:r>
      <w:r>
        <w:rPr>
          <w:bCs/>
          <w:b/>
        </w:rPr>
        <w:t xml:space="preserve">produção deixa de ser a v2.0 e passa a ser a v2.1</w:t>
      </w:r>
      <w:r>
        <w:t xml:space="preserve">. É um evento planejado, com data, hora, responsável e roteiro escrito — não um período difuso de</w:t>
      </w:r>
      <w:r>
        <w:t xml:space="preserve"> </w:t>
      </w:r>
      <w:r>
        <w:t xml:space="preserve">“</w:t>
      </w:r>
      <w:r>
        <w:t xml:space="preserve">ir migrando</w:t>
      </w:r>
      <w:r>
        <w:t xml:space="preserve">”</w:t>
      </w:r>
      <w:r>
        <w:t xml:space="preserve">. Sequência: congelamento de escrita → carga final → reconciliação → verificação dos critérios de aceite → liberação de acesso na v2.1 → planilha da v2.0 marcada como somente-leitura. Enquanto o corte não acontece,</w:t>
      </w:r>
      <w:r>
        <w:t xml:space="preserve"> </w:t>
      </w:r>
      <w:r>
        <w:rPr>
          <w:bCs/>
          <w:b/>
        </w:rPr>
        <w:t xml:space="preserve">a v2.0 é o sistema de produção</w:t>
      </w:r>
      <w:r>
        <w:t xml:space="preserve"> </w:t>
      </w:r>
      <w:r>
        <w:t xml:space="preserve">— e isso não é fracasso, é o plano funcionando.</w:t>
      </w:r>
    </w:p>
    <w:p>
      <w:pPr>
        <w:pStyle w:val="BodyText"/>
      </w:pPr>
      <w:r>
        <w:rPr>
          <w:bCs/>
          <w:b/>
        </w:rPr>
        <w:t xml:space="preserve">Congelamento de escrita (</w:t>
      </w:r>
      <w:r>
        <w:rPr>
          <w:iCs/>
          <w:i/>
          <w:bCs/>
          <w:b/>
        </w:rPr>
        <w:t xml:space="preserve">freeze</w:t>
      </w:r>
      <w:r>
        <w:rPr>
          <w:bCs/>
          <w:b/>
        </w:rPr>
        <w:t xml:space="preserve">).</w:t>
      </w:r>
      <w:r>
        <w:t xml:space="preserve"> </w:t>
      </w:r>
      <w:r>
        <w:t xml:space="preserve">Janela em que</w:t>
      </w:r>
      <w:r>
        <w:t xml:space="preserve"> </w:t>
      </w:r>
      <w:r>
        <w:rPr>
          <w:bCs/>
          <w:b/>
        </w:rPr>
        <w:t xml:space="preserve">ninguém escreve na base v2.0</w:t>
      </w:r>
      <w:r>
        <w:t xml:space="preserve">, para que a carga final capture um estado estável. Sem congelamento, um lançamento feito durante o ETL entra na planilha 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no PostgreSQL, e ninguém percebe. Na prática: avisar os usuários, retirar a permissão de escrita da planilha e registrar a hora exata do congelamento. É a razão pela qual o corte se faz</w:t>
      </w:r>
      <w:r>
        <w:t xml:space="preserve"> </w:t>
      </w:r>
      <w:r>
        <w:rPr>
          <w:bCs/>
          <w:b/>
        </w:rPr>
        <w:t xml:space="preserve">fora do horário letivo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Dupla escrita (</w:t>
      </w:r>
      <w:r>
        <w:rPr>
          <w:iCs/>
          <w:i/>
          <w:bCs/>
          <w:b/>
        </w:rPr>
        <w:t xml:space="preserve">dual write</w:t>
      </w:r>
      <w:r>
        <w:rPr>
          <w:bCs/>
          <w:b/>
        </w:rPr>
        <w:t xml:space="preserve">).</w:t>
      </w:r>
      <w:r>
        <w:t xml:space="preserve"> </w:t>
      </w:r>
      <w:r>
        <w:t xml:space="preserve">Estratégia em que, por um período, toda escrita vai</w:t>
      </w:r>
      <w:r>
        <w:t xml:space="preserve"> </w:t>
      </w:r>
      <w:r>
        <w:rPr>
          <w:bCs/>
          <w:b/>
        </w:rPr>
        <w:t xml:space="preserve">às duas bases ao mesmo tempo</w:t>
      </w:r>
      <w:r>
        <w:t xml:space="preserve">, permitindo rodar os dois sistemas em paralelo.</w:t>
      </w:r>
      <w:r>
        <w:t xml:space="preserve"> </w:t>
      </w:r>
      <w:r>
        <w:rPr>
          <w:bCs/>
          <w:b/>
        </w:rPr>
        <w:t xml:space="preserve">Deliberadamente não adotada nesta migração.</w:t>
      </w:r>
      <w:r>
        <w:t xml:space="preserve"> </w:t>
      </w:r>
      <w:r>
        <w:t xml:space="preserve">Motivo: dupla escrita exige manter duas implementações da mesma regra sincronizadas, e é justamente a duplicação de regra que a v2.1 existe para eliminar — o risco de as duas divergirem em silêncio é maior que o risco do corte único. A base é pequena e o congelamento é curto (horas, não dias), o que torna o corte único a opção mais segura. O termo fica registrado aqui</w:t>
      </w:r>
      <w:r>
        <w:t xml:space="preserve"> </w:t>
      </w:r>
      <w:r>
        <w:rPr>
          <w:bCs/>
          <w:b/>
        </w:rPr>
        <w:t xml:space="preserve">como alternativa considerada e rejeitada</w:t>
      </w:r>
      <w:r>
        <w:t xml:space="preserve">, para que ninguém a proponha de novo sem saber que já foi decidida.</w:t>
      </w:r>
    </w:p>
    <w:p>
      <w:pPr>
        <w:pStyle w:val="BodyText"/>
      </w:pPr>
      <w:r>
        <w:rPr>
          <w:bCs/>
          <w:b/>
        </w:rPr>
        <w:t xml:space="preserve">Rollback.</w:t>
      </w:r>
      <w:r>
        <w:t xml:space="preserve"> </w:t>
      </w:r>
      <w:r>
        <w:t xml:space="preserve">Caminho documentado e</w:t>
      </w:r>
      <w:r>
        <w:t xml:space="preserve"> </w:t>
      </w:r>
      <w:r>
        <w:rPr>
          <w:bCs/>
          <w:b/>
        </w:rPr>
        <w:t xml:space="preserve">ensaiado</w:t>
      </w:r>
      <w:r>
        <w:t xml:space="preserve"> </w:t>
      </w:r>
      <w:r>
        <w:t xml:space="preserve">de voltar à v2.0 dentro da janela de corte. Tem dois componentes:</w:t>
      </w:r>
      <w:r>
        <w:t xml:space="preserve"> </w:t>
      </w:r>
      <w:r>
        <w:rPr>
          <w:bCs/>
          <w:b/>
        </w:rPr>
        <w:t xml:space="preserve">(i) rollback de corte</w:t>
      </w:r>
      <w:r>
        <w:t xml:space="preserve"> </w:t>
      </w:r>
      <w:r>
        <w:t xml:space="preserve">— reabrir a escrita na planilha v2.0 e descartar a v2.1, viável enquanto nenhum dado novo tiver sido lançado só na base nova; e</w:t>
      </w:r>
      <w:r>
        <w:t xml:space="preserve"> </w:t>
      </w:r>
      <w:r>
        <w:rPr>
          <w:bCs/>
          <w:b/>
        </w:rPr>
        <w:t xml:space="preserve">(ii) rollback de migration</w:t>
      </w:r>
      <w:r>
        <w:t xml:space="preserve"> </w:t>
      </w:r>
      <w:r>
        <w:t xml:space="preserve">— toda migration é revertível, e a reversão é testada em preview antes de ir a produção.</w:t>
      </w:r>
      <w:r>
        <w:t xml:space="preserve"> </w:t>
      </w:r>
      <w:r>
        <w:rPr>
          <w:bCs/>
          <w:b/>
        </w:rPr>
        <w:t xml:space="preserve">Critério de aborto declarado antes do corte, nunca durante</w:t>
      </w:r>
      <w:r>
        <w:t xml:space="preserve">: decidir se aborta no meio do corte, sob pressão, é como não ter plano. Critério de aceite</w:t>
      </w:r>
      <w:r>
        <w:t xml:space="preserve"> </w:t>
      </w:r>
      <w:r>
        <w:rPr>
          <w:bCs/>
          <w:b/>
        </w:rPr>
        <w:t xml:space="preserve">CA-11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Origem de migração (</w:t>
      </w:r>
      <w:r>
        <w:rPr>
          <w:rStyle w:val="VerbatimChar"/>
          <w:bCs/>
          <w:b/>
        </w:rPr>
        <w:t xml:space="preserve">origem_migracao_v1</w:t>
      </w:r>
      <w:r>
        <w:rPr>
          <w:bCs/>
          <w:b/>
        </w:rPr>
        <w:t xml:space="preserve">).</w:t>
      </w:r>
      <w:r>
        <w:t xml:space="preserve"> </w:t>
      </w:r>
      <w:r>
        <w:t xml:space="preserve">Coluna presente em toda tabela migrada, guardando a referência à linha de origem na base anterior. Junto com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e com a tabela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, forma o</w:t>
      </w:r>
      <w:r>
        <w:t xml:space="preserve"> </w:t>
      </w:r>
      <w:r>
        <w:rPr>
          <w:bCs/>
          <w:b/>
        </w:rPr>
        <w:t xml:space="preserve">rastro completo</w:t>
      </w:r>
      <w:r>
        <w:t xml:space="preserve"> </w:t>
      </w:r>
      <w:r>
        <w:t xml:space="preserve">de onde cada linha veio.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apenas-acrescenta</w:t>
      </w:r>
      <w:r>
        <w:t xml:space="preserve">: nenhuma linha já gravada é reescrita — corrige-se</w:t>
      </w:r>
      <w:r>
        <w:t xml:space="preserve"> </w:t>
      </w:r>
      <w:r>
        <w:rPr>
          <w:bCs/>
          <w:b/>
        </w:rPr>
        <w:t xml:space="preserve">logando um novo evento</w:t>
      </w:r>
      <w:r>
        <w:t xml:space="preserve"> </w:t>
      </w:r>
      <w:r>
        <w:t xml:space="preserve">(Princípio IV, Integridade do Histórico).</w:t>
      </w:r>
    </w:p>
    <w:p>
      <w:pPr>
        <w:pStyle w:val="BodyText"/>
      </w:pPr>
      <w:r>
        <w:rPr>
          <w:bCs/>
          <w:b/>
        </w:rPr>
        <w:t xml:space="preserve">Requisito absorvido pela plataforma.</w:t>
      </w:r>
      <w:r>
        <w:t xml:space="preserve"> </w:t>
      </w:r>
      <w:r>
        <w:t xml:space="preserve">Classificação de destino, registrada na coluna</w:t>
      </w:r>
      <w:r>
        <w:t xml:space="preserve"> </w:t>
      </w:r>
      <w:r>
        <w:rPr>
          <w:iCs/>
          <w:i/>
        </w:rPr>
        <w:t xml:space="preserve">Destino na v2.1</w:t>
      </w:r>
      <w:r>
        <w:t xml:space="preserve"> </w:t>
      </w:r>
      <w:r>
        <w:t xml:space="preserve">dos documentos 02, 03 e 04, para o requisito que</w:t>
      </w:r>
      <w:r>
        <w:t xml:space="preserve"> </w:t>
      </w:r>
      <w:r>
        <w:rPr>
          <w:bCs/>
          <w:b/>
        </w:rPr>
        <w:t xml:space="preserve">deixa de precisar de implementação porque o motor passa a garanti-lo</w:t>
      </w:r>
      <w:r>
        <w:t xml:space="preserve">. Exemplo canônico: a aba</w:t>
      </w:r>
      <w:r>
        <w:t xml:space="preserve"> </w:t>
      </w:r>
      <w:r>
        <w:rPr>
          <w:rStyle w:val="VerbatimChar"/>
        </w:rPr>
        <w:t xml:space="preserve">_Meta_Colunas</w:t>
      </w:r>
      <w:r>
        <w:t xml:space="preserve"> </w:t>
      </w:r>
      <w:r>
        <w:t xml:space="preserve">existia para dar ao Sheets um contrato de coluna que ele não tinha; no PostgreSQL, o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e os tipos gerados cumprem esse papel com garantia do motor — a tabela é</w:t>
      </w:r>
      <w:r>
        <w:t xml:space="preserve"> </w:t>
      </w:r>
      <w:r>
        <w:rPr>
          <w:bCs/>
          <w:b/>
        </w:rPr>
        <w:t xml:space="preserve">aposentada</w:t>
      </w:r>
      <w:r>
        <w:t xml:space="preserve">, e o requisito não é perdido nem reimplementado: é</w:t>
      </w:r>
      <w:r>
        <w:t xml:space="preserve"> </w:t>
      </w:r>
      <w:r>
        <w:rPr>
          <w:bCs/>
          <w:b/>
        </w:rPr>
        <w:t xml:space="preserve">absorvido</w:t>
      </w:r>
      <w:r>
        <w:t xml:space="preserve">. Os outros destinos possíveis são</w:t>
      </w:r>
      <w:r>
        <w:t xml:space="preserve"> </w:t>
      </w:r>
      <w:r>
        <w:rPr>
          <w:iCs/>
          <w:i/>
        </w:rPr>
        <w:t xml:space="preserve">preservado</w:t>
      </w:r>
      <w:r>
        <w:t xml:space="preserve">,</w:t>
      </w:r>
      <w:r>
        <w:t xml:space="preserve"> </w:t>
      </w:r>
      <w:r>
        <w:rPr>
          <w:iCs/>
          <w:i/>
        </w:rPr>
        <w:t xml:space="preserve">preservado com nova implementação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revogado</w:t>
      </w:r>
      <w:r>
        <w:t xml:space="preserve"> </w:t>
      </w:r>
      <w:r>
        <w:t xml:space="preserve">— e</w:t>
      </w:r>
      <w:r>
        <w:t xml:space="preserve"> </w:t>
      </w:r>
      <w:r>
        <w:rPr>
          <w:bCs/>
          <w:b/>
        </w:rPr>
        <w:t xml:space="preserve">todo</w:t>
      </w:r>
      <w:r>
        <w:t xml:space="preserve"> </w:t>
      </w:r>
      <w:r>
        <w:rPr>
          <w:rStyle w:val="VerbatimChar"/>
        </w:rPr>
        <w:t xml:space="preserve">RF-</w:t>
      </w:r>
      <w:r>
        <w:t xml:space="preserve">/</w:t>
      </w:r>
      <w:r>
        <w:rPr>
          <w:rStyle w:val="VerbatimChar"/>
        </w:rPr>
        <w:t xml:space="preserve">RN-</w:t>
      </w:r>
      <w:r>
        <w:t xml:space="preserve">/</w:t>
      </w:r>
      <w:r>
        <w:rPr>
          <w:rStyle w:val="VerbatimChar"/>
        </w:rPr>
        <w:t xml:space="preserve">RNF-</w:t>
      </w:r>
      <w:r>
        <w:t xml:space="preserve"> </w:t>
      </w:r>
      <w:r>
        <w:t xml:space="preserve">da v2.0 recebe exatamente um deles.</w:t>
      </w:r>
    </w:p>
    <w:p>
      <w:r>
        <w:pict>
          <v:rect style="width:0;height:1.5pt" o:hralign="center" o:hrstd="t" o:hr="t"/>
        </w:pict>
      </w:r>
    </w:p>
    <w:bookmarkEnd w:id="30"/>
    <w:bookmarkStart w:id="31" w:name="sobre-este-glossário"/>
    <w:p>
      <w:pPr>
        <w:pStyle w:val="Heading2"/>
      </w:pPr>
      <w:r>
        <w:t xml:space="preserve">Sobre este glossário</w:t>
      </w:r>
    </w:p>
    <w:p>
      <w:pPr>
        <w:pStyle w:val="FirstParagraph"/>
      </w:pPr>
      <w:r>
        <w:t xml:space="preserve">Novos termos de domínio ou de sistema introduzidos durante as Fases 2–5 da v2.1 devem ser adicionados aqui, mantendo este documento como a</w:t>
      </w:r>
      <w:r>
        <w:t xml:space="preserve"> </w:t>
      </w:r>
      <w:r>
        <w:rPr>
          <w:bCs/>
          <w:b/>
        </w:rPr>
        <w:t xml:space="preserve">referência única de vocabulário do projeto</w:t>
      </w:r>
      <w:r>
        <w:t xml:space="preserve"> </w:t>
      </w:r>
      <w:r>
        <w:t xml:space="preserve">— evitando que o mesmo conceito receba nomes diferentes em código, schema, spec, interface e conversa com o Comando do CIAARA.</w:t>
      </w:r>
    </w:p>
    <w:p>
      <w:pPr>
        <w:pStyle w:val="BodyText"/>
      </w:pPr>
      <w:r>
        <w:t xml:space="preserve">Duas regras de manutenção específicas desta versão: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Termo institucional não se traduz nem se abrevia</w:t>
      </w:r>
      <w:r>
        <w:t xml:space="preserve"> </w:t>
      </w:r>
      <w:r>
        <w:t xml:space="preserve">— nem para caber numa coluna, nem para ficar bonito num identificador. Se um nome de tabela ou de componente ficar longo por causa disso, o nome fica longo.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Todo termo técnico novo entra com sua coluna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Equivalente na v2.0</w:t>
      </w:r>
      <w:r>
        <w:rPr>
          <w:bCs/>
          <w:b/>
        </w:rPr>
        <w:t xml:space="preserve">”</w:t>
      </w:r>
      <w:r>
        <w:t xml:space="preserve">, enquanto houver alguém que opere ou consulte o sistema anterior. Essa coluna é a ponte que torna a migração legível para quem a vive — e ela só pode ser retirada depois que a planilha da v2.0 deixar de ser consultada.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Glossário</dc:title>
  <dc:creator>Fase 1 do SDLC — Requisitos</dc:creator>
  <cp:keywords/>
  <dcterms:created xsi:type="dcterms:W3CDTF">2026-08-26T11:08:33Z</dcterms:created>
  <dcterms:modified xsi:type="dcterms:W3CDTF">2026-08-26T11:08:33Z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25/08/2026</vt:lpwstr>
  </property>
  <property fmtid="{D5CDD505-2E9C-101B-9397-08002B2CF9AE}" pid="3" name="version">
    <vt:lpwstr>2.1</vt:lpwstr>
  </property>
</Properties>
</file>