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v2.0</w:t>
      </w:r>
      <w:r>
        <w:t xml:space="preserve"> </w:t>
      </w:r>
      <w:r>
        <w:t xml:space="preserve">—</w:t>
      </w:r>
      <w:r>
        <w:t xml:space="preserve"> </w:t>
      </w:r>
      <w:r>
        <w:t xml:space="preserve">Relatório</w:t>
      </w:r>
      <w:r>
        <w:t xml:space="preserve"> </w:t>
      </w:r>
      <w:r>
        <w:t xml:space="preserve">de</w:t>
      </w:r>
      <w:r>
        <w:t xml:space="preserve"> </w:t>
      </w:r>
      <w:r>
        <w:t xml:space="preserve">Auditoria</w:t>
      </w:r>
      <w:r>
        <w:t xml:space="preserve"> </w:t>
      </w:r>
      <w:r>
        <w:t xml:space="preserve">da</w:t>
      </w:r>
      <w:r>
        <w:t xml:space="preserve"> </w:t>
      </w:r>
      <w:r>
        <w:t xml:space="preserve">Fase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de</w:t>
      </w:r>
      <w:r>
        <w:t xml:space="preserve"> </w:t>
      </w:r>
      <w:r>
        <w:t xml:space="preserve">Arquitetura</w:t>
      </w:r>
      <w:r>
        <w:t xml:space="preserve"> </w:t>
      </w:r>
      <w:r>
        <w:t xml:space="preserve">—</w:t>
      </w:r>
      <w:r>
        <w:t xml:space="preserve"> </w:t>
      </w:r>
      <w:r>
        <w:t xml:space="preserve">Consolidação</w:t>
      </w:r>
      <w:r>
        <w:t xml:space="preserve"> </w:t>
      </w:r>
      <w:r>
        <w:t xml:space="preserve">Normativa</w:t>
      </w:r>
    </w:p>
    <w:p>
      <w:pPr>
        <w:pStyle w:val="Date"/>
      </w:pPr>
      <w:r>
        <w:t xml:space="preserve">01/08/2026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nota-de-contexto-v2.1-26082026"/>
      <w:r>
        <w:t xml:space="preserve">⚠️ NOTA DE CONTEXTO — v2.1 (26/08/2026)</w:t>
      </w:r>
      <w:bookmarkEnd w:id="20"/>
    </w:p>
    <w:p>
      <w:pPr>
        <w:pStyle w:val="BlockText"/>
      </w:pPr>
      <w:r>
        <w:rPr>
          <w:bCs/>
          <w:b/>
        </w:rPr>
        <w:t xml:space="preserve">Este documento é preservado como registro histórico e não foi reescrito para a v2.1.</w:t>
      </w:r>
    </w:p>
    <w:p>
      <w:pPr>
        <w:pStyle w:val="BlockText"/>
      </w:pPr>
      <w:r>
        <w:t xml:space="preserve">Ele registra a auditoria normativa e de cobertura da Fase 1:</w:t>
      </w:r>
      <w:r>
        <w:t xml:space="preserve"> </w:t>
      </w:r>
      <w:r>
        <w:rPr>
          <w:bCs/>
          <w:b/>
        </w:rPr>
        <w:t xml:space="preserve">12 achados (A-1 a A-12)</w:t>
      </w:r>
      <w:r>
        <w:t xml:space="preserve">,</w:t>
      </w:r>
      <w:r>
        <w:t xml:space="preserve"> </w:t>
      </w:r>
      <w:r>
        <w:t xml:space="preserve">4 pontos de contenção de escopo,</w:t>
      </w:r>
      <w:r>
        <w:t xml:space="preserve"> </w:t>
      </w:r>
      <w:r>
        <w:rPr>
          <w:bCs/>
          <w:b/>
        </w:rPr>
        <w:t xml:space="preserve">7 recomendações de robustez (R-1 a R-7)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14 propostas formais (P-1 a P-14)</w:t>
      </w:r>
      <w:r>
        <w:t xml:space="preserve"> </w:t>
      </w:r>
      <w:r>
        <w:t xml:space="preserve">— das quais 13 foram aprovadas e implementadas e 1 rejeitada,</w:t>
      </w:r>
      <w:r>
        <w:t xml:space="preserve"> </w:t>
      </w:r>
      <w:r>
        <w:t xml:space="preserve">em 01/08/2026.</w:t>
      </w:r>
    </w:p>
    <w:p>
      <w:pPr>
        <w:pStyle w:val="BlockText"/>
      </w:pPr>
      <w:r>
        <w:rPr>
          <w:bCs/>
          <w:b/>
        </w:rPr>
        <w:t xml:space="preserve">Por que continua valendo.</w:t>
      </w:r>
      <w:r>
        <w:t xml:space="preserve"> </w:t>
      </w:r>
      <w:r>
        <w:t xml:space="preserve">Os achados desta auditoria são a fundamentação normativa de boa parte</w:t>
      </w:r>
      <w:r>
        <w:t xml:space="preserve"> </w:t>
      </w:r>
      <w:r>
        <w:t xml:space="preserve">das regras do sistema — a taxonomia de 5 categorias (A-1/P-1), as faixas de carga horária docente</w:t>
      </w:r>
      <w:r>
        <w:t xml:space="preserve"> </w:t>
      </w:r>
      <w:r>
        <w:t xml:space="preserve">(A-2), o 9º TA autorizado por currículo (A-3/A-4), os tetos de composição da carga horária (A-6/P-8),</w:t>
      </w:r>
      <w:r>
        <w:t xml:space="preserve"> </w:t>
      </w:r>
      <w:r>
        <w:t xml:space="preserve">a capacitação didática como alerta (A-9/P-10) e a nomenclatura</w:t>
      </w:r>
      <w:r>
        <w:t xml:space="preserve"> </w:t>
      </w:r>
      <w:r>
        <w:t xml:space="preserve">“</w:t>
      </w:r>
      <w:r>
        <w:t xml:space="preserve">Disciplina</w:t>
      </w:r>
      <w:r>
        <w:t xml:space="preserve">”</w:t>
      </w:r>
      <w:r>
        <w:t xml:space="preserve"> </w:t>
      </w:r>
      <w:r>
        <w:t xml:space="preserve">(P-14). Nada disso muda</w:t>
      </w:r>
      <w:r>
        <w:t xml:space="preserve"> </w:t>
      </w:r>
      <w:r>
        <w:t xml:space="preserve">com a troca de plataforma: são exigências da DGPM-101/103 e das normas DEnsM, não do Google Sheets.</w:t>
      </w:r>
    </w:p>
    <w:p>
      <w:pPr>
        <w:pStyle w:val="BlockText"/>
      </w:pPr>
      <w:r>
        <w:rPr>
          <w:bCs/>
          <w:b/>
        </w:rPr>
        <w:t xml:space="preserve">O que mudou de lugar na v2.1: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estava na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está na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 — limites normativos como 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  <w:r>
              <w:t xml:space="preserve"> </w:t>
            </w:r>
            <w:r>
              <w:t xml:space="preserve">(documento 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 — rastreabilidade requisito ↔ regra ↔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Origem</w:t>
            </w:r>
            <w:r>
              <w:t xml:space="preserve">”</w:t>
            </w:r>
            <w:r>
              <w:t xml:space="preserve"> </w:t>
            </w:r>
            <w:r>
              <w:t xml:space="preserve">de cada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preservada, mais o teste nomeado por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na suíte de invariantes (documento 03,</w:t>
            </w:r>
            <w:r>
              <w:t xml:space="preserve"> </w:t>
            </w:r>
            <w:r>
              <w:rPr>
                <w:rStyle w:val="VerbatimChar"/>
              </w:rPr>
              <w:t xml:space="preserve">RNF-AUD-03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 — contenção de escopo pela Matriz de Responsabilidades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00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preservado, e elevado a Princípio IX da constitution (documento 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P-9 (</w:t>
            </w:r>
            <w:r>
              <w:rPr>
                <w:rStyle w:val="VerbatimChar"/>
              </w:rPr>
              <w:t xml:space="preserve">RNF-NORM-04</w:t>
            </w:r>
            <w:r>
              <w:t xml:space="preserve">) — sequenciamento pedagógico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rejeitado</w:t>
            </w:r>
            <w:r>
              <w:t xml:space="preserve"> </w:t>
            </w:r>
            <w:r>
              <w:t xml:space="preserve">pelo responsável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continua rejeitado.</w:t>
            </w:r>
            <w:r>
              <w:t xml:space="preserve"> </w:t>
            </w:r>
            <w:r>
              <w:t xml:space="preserve">Não gera requisito na v2.1</w:t>
            </w:r>
          </w:p>
        </w:tc>
      </w:tr>
    </w:tbl>
    <w:p>
      <w:pPr>
        <w:pStyle w:val="BlockText"/>
      </w:pPr>
      <w:r>
        <w:rPr>
          <w:bCs/>
          <w:b/>
        </w:rPr>
        <w:t xml:space="preserve">Não edite este documento.</w:t>
      </w:r>
      <w:r>
        <w:t xml:space="preserve"> </w:t>
      </w:r>
      <w:r>
        <w:t xml:space="preserve">Ele é a evidência de que a análise foi feita e de quais decisões o</w:t>
      </w:r>
      <w:r>
        <w:t xml:space="preserve"> </w:t>
      </w:r>
      <w:r>
        <w:t xml:space="preserve">responsável tomou, com data. Reescrevê-lo apagaria a trilha.</w:t>
      </w:r>
    </w:p>
    <w:p>
      <w:r>
        <w:pict>
          <v:rect style="width:0;height:1.5pt" o:hralign="center" o:hrstd="t" o:hr="t"/>
        </w:pict>
      </w:r>
    </w:p>
    <w:bookmarkStart w:id="47" w:name="Xf818a1034355a0079f5071899005fb6c2728767"/>
    <w:p>
      <w:pPr>
        <w:pStyle w:val="Heading1"/>
      </w:pPr>
      <w:r>
        <w:t xml:space="preserve">Relatório Técnico de Auditoria — Fase 1 (Requisitos)</w:t>
      </w:r>
    </w:p>
    <w:p>
      <w:pPr>
        <w:pStyle w:val="FirstParagraph"/>
      </w:pPr>
      <w:r>
        <w:rPr>
          <w:bCs/>
          <w:b/>
        </w:rPr>
        <w:t xml:space="preserve">Objeto:</w:t>
      </w:r>
      <w:r>
        <w:t xml:space="preserve"> </w:t>
      </w:r>
      <w:r>
        <w:t xml:space="preserve">suíte de documentos 00 a 08 da Fase 1 do CIAARA-11 v2.0</w:t>
      </w:r>
      <w:r>
        <w:t xml:space="preserve"> </w:t>
      </w:r>
      <w:r>
        <w:rPr>
          <w:bCs/>
          <w:b/>
        </w:rPr>
        <w:t xml:space="preserve">Bases normativas:</w:t>
      </w:r>
      <w:r>
        <w:t xml:space="preserve"> </w:t>
      </w:r>
      <w:r>
        <w:rPr>
          <w:rStyle w:val="VerbatimChar"/>
        </w:rPr>
        <w:t xml:space="preserve">Glossário_DEnsM_consolidado.md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Matriz de responsabilidades.md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Regras_dos_processos_educacionais_consolidado.md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Stakeholders.md</w:t>
      </w:r>
      <w:r>
        <w:t xml:space="preserve"> </w:t>
      </w:r>
      <w:r>
        <w:t xml:space="preserve">(Regimento Interno do CIAARA)</w:t>
      </w:r>
      <w:r>
        <w:t xml:space="preserve"> </w:t>
      </w:r>
      <w:r>
        <w:rPr>
          <w:bCs/>
          <w:b/>
        </w:rPr>
        <w:t xml:space="preserve">Base empírica:</w:t>
      </w:r>
      <w:r>
        <w:t xml:space="preserve"> </w:t>
      </w:r>
      <w:r>
        <w:t xml:space="preserve">planilha viva</w:t>
      </w:r>
      <w:r>
        <w:t xml:space="preserve"> </w:t>
      </w:r>
      <w:r>
        <w:rPr>
          <w:rStyle w:val="VerbatimChar"/>
        </w:rPr>
        <w:t xml:space="preserve">Banco de dados CIAARA-11 (4).xlsx</w:t>
      </w:r>
      <w:r>
        <w:t xml:space="preserve">, conferida em 31/07/2026</w:t>
      </w:r>
      <w:r>
        <w:t xml:space="preserve"> </w:t>
      </w:r>
      <w:r>
        <w:rPr>
          <w:bCs/>
          <w:b/>
        </w:rPr>
        <w:t xml:space="preserve">Base de observações:</w:t>
      </w:r>
      <w:r>
        <w:t xml:space="preserve"> </w:t>
      </w:r>
      <w:r>
        <w:t xml:space="preserve">14 comentários novos registrados nos documentos 02, 03 e 04</w:t>
      </w:r>
    </w:p>
    <w:p>
      <w:r>
        <w:pict>
          <v:rect style="width:0;height:1.5pt" o:hralign="center" o:hrstd="t" o:hr="t"/>
        </w:pict>
      </w:r>
    </w:p>
    <w:bookmarkStart w:id="21" w:name="nota-de-execução-v1.3-01082026"/>
    <w:p>
      <w:pPr>
        <w:pStyle w:val="Heading2"/>
      </w:pPr>
      <w:r>
        <w:t xml:space="preserve">Nota de execução (v1.3, 01/08/2026)</w:t>
      </w:r>
    </w:p>
    <w:p>
      <w:pPr>
        <w:pStyle w:val="FirstParagraph"/>
      </w:pPr>
      <w:r>
        <w:t xml:space="preserve">O responsável aprovou a execução das 14 propostas formais e das 7 recomendações de robustez desta auditoria, com três orientações específicas, transcritas e aplicadas como segue: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P-1 — Alternativa 1</w:t>
      </w:r>
      <w:r>
        <w:t xml:space="preserve">, e não a Alternativa 3 recomendada pela auditoria (seção 5): a taxonomia normativa completa (CHD/AEC/TAD/TR) foi adotada integralmente, com</w:t>
      </w:r>
      <w:r>
        <w:t xml:space="preserve"> </w:t>
      </w:r>
      <w:r>
        <w:rPr>
          <w:bCs/>
          <w:b/>
        </w:rPr>
        <w:t xml:space="preserve">Estudo Individual registrado em categoria à parte</w:t>
      </w:r>
      <w:r>
        <w:t xml:space="preserve"> </w:t>
      </w:r>
      <w:r>
        <w:t xml:space="preserve">— não absorvido em nenhuma das quatro grandezas normativas, por ser, na prática, 77% do volume de lançamentos e ter natureza distinta de AEC/TAD/TR. Esta é uma decisão de arquitetura de dados tomada pelo responsável, divergente da recomendação técnica original; registrada aqui para rastreabilidade.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P-5 — não aplicada como proposta genérica.</w:t>
      </w:r>
      <w:r>
        <w:t xml:space="preserve"> </w:t>
      </w:r>
      <w:r>
        <w:t xml:space="preserve">O responsável instruiu que a solução fosse buscada no documento de regras de tempos de aula da pasta do projeto. A investigação (ver A-3/A-4 revisados abaixo) localizou essa fundamentação</w:t>
      </w:r>
      <w:r>
        <w:t xml:space="preserve"> </w:t>
      </w:r>
      <w:r>
        <w:rPr>
          <w:bCs/>
          <w:b/>
        </w:rPr>
        <w:t xml:space="preserve">nos currículos por curso</w:t>
      </w:r>
      <w:r>
        <w:t xml:space="preserve"> </w:t>
      </w:r>
      <w:r>
        <w:t xml:space="preserve">(item 2.1 de cada PDF,</w:t>
      </w:r>
      <w:r>
        <w:t xml:space="preserve"> </w:t>
      </w:r>
      <w:r>
        <w:t xml:space="preserve">“</w:t>
      </w:r>
      <w:r>
        <w:t xml:space="preserve">Diretrizes Gerais do Curso</w:t>
      </w:r>
      <w:r>
        <w:t xml:space="preserve">”</w:t>
      </w:r>
      <w:r>
        <w:t xml:space="preserve">), não em um documento único e explícito como o responsável talvez esperasse. O achado A-3 foi</w:t>
      </w:r>
      <w:r>
        <w:t xml:space="preserve"> </w:t>
      </w:r>
      <w:r>
        <w:rPr>
          <w:bCs/>
          <w:b/>
        </w:rPr>
        <w:t xml:space="preserve">revertido</w:t>
      </w:r>
      <w:r>
        <w:t xml:space="preserve">: o 9º TA da Configuração D não é defeito, é autorização curricular explícita (CAHO, C-Ap-HN, C-Ap-FR). O achado A-4 (Config D e E sem janela de almoço) permanece como item de correção de dados de migração, não como nova regra de validação.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P-10, conforme escrita pelo responsável</w:t>
      </w:r>
      <w:r>
        <w:t xml:space="preserve"> </w:t>
      </w:r>
      <w:r>
        <w:t xml:space="preserve">(</w:t>
      </w:r>
      <w:r>
        <w:t xml:space="preserve">“</w:t>
      </w:r>
      <w:r>
        <w:t xml:space="preserve">Não aplicar a proposta… descondire A-7, é uma regra muito exigente</w:t>
      </w:r>
      <w:r>
        <w:t xml:space="preserve">”</w:t>
      </w:r>
      <w:r>
        <w:t xml:space="preserve">) —</w:t>
      </w:r>
      <w:r>
        <w:t xml:space="preserve"> </w:t>
      </w:r>
      <w:r>
        <w:rPr>
          <w:bCs/>
          <w:b/>
        </w:rPr>
        <w:t xml:space="preserve">refere-se, pelo conteúdo e pelo achado citado (A-7), à proposta P-9 desta seção</w:t>
      </w:r>
      <w:r>
        <w:t xml:space="preserve">, não à proposta efetivamente numerada P-10 no relatório original (que trata do achado A-9, capacitação didática). Esta discrepância de numeração é registrada aqui de forma transparente:</w:t>
      </w:r>
      <w:r>
        <w:t xml:space="preserve"> </w:t>
      </w:r>
      <w:r>
        <w:rPr>
          <w:bCs/>
          <w:b/>
        </w:rPr>
        <w:t xml:space="preserve">P-9/A-7 (restrições de sequenciamento pedagógico) foi rejeitada</w:t>
      </w:r>
      <w:r>
        <w:t xml:space="preserve">, exatamente como instruído;</w:t>
      </w:r>
      <w:r>
        <w:t xml:space="preserve"> </w:t>
      </w:r>
      <w:r>
        <w:rPr>
          <w:bCs/>
          <w:b/>
        </w:rPr>
        <w:t xml:space="preserve">P-10/A-9 (alerta de capacitação didática) foi implementada</w:t>
      </w:r>
      <w:r>
        <w:t xml:space="preserve">, por não ter sido objeto de nenhuma objeção e por a autorização geral de execução cobri-la.</w:t>
      </w:r>
    </w:p>
    <w:p>
      <w:pPr>
        <w:pStyle w:val="FirstParagraph"/>
      </w:pPr>
      <w:r>
        <w:t xml:space="preserve">Todas as 7 recomendações (R-1 a R-7) foram implementadas. O detalhamento por item está nas seções 2, 5 e 6 abaixo, cada achado/proposta/recomendação agora com seu status final.</w:t>
      </w:r>
    </w:p>
    <w:p>
      <w:r>
        <w:pict>
          <v:rect style="width:0;height:1.5pt" o:hralign="center" o:hrstd="t" o:hr="t"/>
        </w:pict>
      </w:r>
    </w:p>
    <w:bookmarkEnd w:id="21"/>
    <w:bookmarkStart w:id="22" w:name="sumário-executivo"/>
    <w:p>
      <w:pPr>
        <w:pStyle w:val="Heading2"/>
      </w:pPr>
      <w:r>
        <w:t xml:space="preserve">1. Sumário executivo</w:t>
      </w:r>
    </w:p>
    <w:p>
      <w:pPr>
        <w:pStyle w:val="FirstParagraph"/>
      </w:pPr>
      <w:r>
        <w:t xml:space="preserve">A auditoria confrontou os oito documentos da Fase 1 com quatro documentos normativos consolidados, com 14 novas observações do responsável e com a base de dados real. O resultado é positivo quanto à</w:t>
      </w:r>
      <w:r>
        <w:t xml:space="preserve"> </w:t>
      </w:r>
      <w:r>
        <w:rPr>
          <w:bCs/>
          <w:b/>
        </w:rPr>
        <w:t xml:space="preserve">cobertura</w:t>
      </w:r>
      <w:r>
        <w:t xml:space="preserve"> </w:t>
      </w:r>
      <w:r>
        <w:t xml:space="preserve">— a Fase 1 está substancialmente completa — e preocupante quanto à</w:t>
      </w:r>
      <w:r>
        <w:t xml:space="preserve"> </w:t>
      </w:r>
      <w:r>
        <w:rPr>
          <w:bCs/>
          <w:b/>
        </w:rPr>
        <w:t xml:space="preserve">precisão normativa</w:t>
      </w:r>
      <w:r>
        <w:t xml:space="preserve">: a documentação foi construída por engenharia reversa do código, sem acesso ao corpo normativo do Sistema de Ensino Naval, e isso produziu erros de fundamento que não seriam detectáveis apenas lendo o código.</w:t>
      </w:r>
    </w:p>
    <w:p>
      <w:pPr>
        <w:pStyle w:val="BodyText"/>
      </w:pPr>
      <w:r>
        <w:rPr>
          <w:bCs/>
          <w:b/>
        </w:rPr>
        <w:t xml:space="preserve">O achado de maior consequência é A-2:</w:t>
      </w:r>
      <w:r>
        <w:t xml:space="preserve"> </w:t>
      </w:r>
      <w:r>
        <w:t xml:space="preserve">a regra que limita a carga horária semanal do instrutor no motor preditivo confunde o</w:t>
      </w:r>
      <w:r>
        <w:t xml:space="preserve"> </w:t>
      </w:r>
      <w:r>
        <w:rPr>
          <w:iCs/>
          <w:i/>
        </w:rPr>
        <w:t xml:space="preserve">número do regime de trabalho</w:t>
      </w:r>
      <w:r>
        <w:t xml:space="preserve"> </w:t>
      </w:r>
      <w:r>
        <w:t xml:space="preserve">com o</w:t>
      </w:r>
      <w:r>
        <w:t xml:space="preserve"> </w:t>
      </w:r>
      <w:r>
        <w:rPr>
          <w:iCs/>
          <w:i/>
        </w:rPr>
        <w:t xml:space="preserve">teto de horas de aula</w:t>
      </w:r>
      <w:r>
        <w:t xml:space="preserve">. Pela DGPM-103, um docente de regime de 20h deve ministrar entre 8 e 12 horas de aula semanais, não 20. Como</w:t>
      </w:r>
      <w:r>
        <w:t xml:space="preserve"> </w:t>
      </w:r>
      <w:r>
        <w:rPr>
          <w:bCs/>
          <w:b/>
        </w:rPr>
        <w:t xml:space="preserve">90,4% do corpo docente cadastrado está no regime de 20h</w:t>
      </w:r>
      <w:r>
        <w:t xml:space="preserve">, o motor preditivo pode alocar sistematicamente até 67% a 150% acima do máximo normativo, num controle que é auditado externamente pela CoPeCoD.</w:t>
      </w:r>
    </w:p>
    <w:p>
      <w:pPr>
        <w:pStyle w:val="BodyText"/>
      </w:pPr>
      <w:r>
        <w:rPr>
          <w:bCs/>
          <w:b/>
        </w:rPr>
        <w:t xml:space="preserve">O achado de maior impacto conceitual é A-1:</w:t>
      </w:r>
      <w:r>
        <w:t xml:space="preserve"> </w:t>
      </w:r>
      <w:r>
        <w:t xml:space="preserve">o termo</w:t>
      </w:r>
      <w:r>
        <w:t xml:space="preserve"> </w:t>
      </w:r>
      <w:r>
        <w:t xml:space="preserve">“</w:t>
      </w:r>
      <w:r>
        <w:t xml:space="preserve">Atividade Extraclasse</w:t>
      </w:r>
      <w:r>
        <w:t xml:space="preserve">”</w:t>
      </w:r>
      <w:r>
        <w:t xml:space="preserve">, introduzido na revisão anterior como categoria central do modelo, tem definição normativa oficial que é o</w:t>
      </w:r>
      <w:r>
        <w:t xml:space="preserve"> </w:t>
      </w:r>
      <w:r>
        <w:rPr>
          <w:bCs/>
          <w:b/>
        </w:rPr>
        <w:t xml:space="preserve">oposto</w:t>
      </w:r>
      <w:r>
        <w:t xml:space="preserve"> </w:t>
      </w:r>
      <w:r>
        <w:t xml:space="preserve">da adotada — a norma exclui a AEC da carga horária da disciplina, e usa como exemplos de AEC justamente as atividades que a documentação classificou como</w:t>
      </w:r>
      <w:r>
        <w:t xml:space="preserve"> </w:t>
      </w:r>
      <w:r>
        <w:t xml:space="preserve">“</w:t>
      </w:r>
      <w:r>
        <w:t xml:space="preserve">extracurriculares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Foram identificados</w:t>
      </w:r>
      <w:r>
        <w:t xml:space="preserve"> </w:t>
      </w:r>
      <w:r>
        <w:rPr>
          <w:bCs/>
          <w:b/>
        </w:rPr>
        <w:t xml:space="preserve">12 achados</w:t>
      </w:r>
      <w:r>
        <w:t xml:space="preserve">,</w:t>
      </w:r>
      <w:r>
        <w:t xml:space="preserve"> </w:t>
      </w:r>
      <w:r>
        <w:rPr>
          <w:bCs/>
          <w:b/>
        </w:rPr>
        <w:t xml:space="preserve">4 pontos de gold plating</w:t>
      </w:r>
      <w:r>
        <w:t xml:space="preserve">,</w:t>
      </w:r>
      <w:r>
        <w:t xml:space="preserve"> </w:t>
      </w:r>
      <w:r>
        <w:rPr>
          <w:bCs/>
          <w:b/>
        </w:rPr>
        <w:t xml:space="preserve">7 recomendações de robustez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14 propostas formais</w:t>
      </w:r>
      <w:r>
        <w:t xml:space="preserve">, submetidas à trava de governança.</w:t>
      </w:r>
      <w:r>
        <w:t xml:space="preserve"> </w:t>
      </w:r>
      <w:r>
        <w:rPr>
          <w:bCs/>
          <w:b/>
        </w:rPr>
        <w:t xml:space="preserve">Em 01/08/2026, o responsável aprovou a execução de 13 das 14 propostas e das 7 recomendações</w:t>
      </w:r>
      <w:r>
        <w:t xml:space="preserve">, com as três orientações registradas na</w:t>
      </w:r>
      <w:r>
        <w:t xml:space="preserve"> </w:t>
      </w:r>
      <w:r>
        <w:t xml:space="preserve">“</w:t>
      </w:r>
      <w:r>
        <w:t xml:space="preserve">Nota de execução</w:t>
      </w:r>
      <w:r>
        <w:t xml:space="preserve">”</w:t>
      </w:r>
      <w:r>
        <w:t xml:space="preserve"> </w:t>
      </w:r>
      <w:r>
        <w:t xml:space="preserve">acima;</w:t>
      </w:r>
      <w:r>
        <w:t xml:space="preserve"> </w:t>
      </w:r>
      <w:r>
        <w:rPr>
          <w:bCs/>
          <w:b/>
        </w:rPr>
        <w:t xml:space="preserve">1 proposta (P-9, achado A-7) foi explicitamente rejeitada</w:t>
      </w:r>
      <w:r>
        <w:t xml:space="preserve">. O status final de cada item está detalhado nas seções 2, 5 e 6.</w:t>
      </w:r>
    </w:p>
    <w:p>
      <w:r>
        <w:pict>
          <v:rect style="width:0;height:1.5pt" o:hralign="center" o:hrstd="t" o:hr="t"/>
        </w:pict>
      </w:r>
    </w:p>
    <w:bookmarkEnd w:id="22"/>
    <w:bookmarkStart w:id="35" w:name="achados-de-auditoria"/>
    <w:p>
      <w:pPr>
        <w:pStyle w:val="Heading2"/>
      </w:pPr>
      <w:r>
        <w:t xml:space="preserve">2. Achados de auditoria</w:t>
      </w:r>
    </w:p>
    <w:p>
      <w:pPr>
        <w:pStyle w:val="FirstParagraph"/>
      </w:pPr>
      <w:r>
        <w:t xml:space="preserve">Cada achado indica</w:t>
      </w:r>
      <w:r>
        <w:t xml:space="preserve"> </w:t>
      </w:r>
      <w:r>
        <w:rPr>
          <w:bCs/>
          <w:b/>
        </w:rPr>
        <w:t xml:space="preserve">Severidade</w:t>
      </w:r>
      <w:r>
        <w:t xml:space="preserve"> </w:t>
      </w:r>
      <w:r>
        <w:t xml:space="preserve">(Crítica / Alta / Média / Baixa), a</w:t>
      </w:r>
      <w:r>
        <w:t xml:space="preserve"> </w:t>
      </w:r>
      <w:r>
        <w:rPr>
          <w:bCs/>
          <w:b/>
        </w:rPr>
        <w:t xml:space="preserve">evidência</w:t>
      </w:r>
      <w:r>
        <w:t xml:space="preserve"> </w:t>
      </w:r>
      <w:r>
        <w:t xml:space="preserve">que o sustenta e a</w:t>
      </w:r>
      <w:r>
        <w:t xml:space="preserve"> </w:t>
      </w:r>
      <w:r>
        <w:rPr>
          <w:bCs/>
          <w:b/>
        </w:rPr>
        <w:t xml:space="preserve">proposta</w:t>
      </w:r>
      <w:r>
        <w:t xml:space="preserve"> </w:t>
      </w:r>
      <w:r>
        <w:t xml:space="preserve">correspondente, quando houver.</w:t>
      </w:r>
    </w:p>
    <w:bookmarkStart w:id="23" w:name="X7cfd74cc2e89e461d1fca7a6b5ec3661a7cc7d6"/>
    <w:p>
      <w:pPr>
        <w:pStyle w:val="Heading3"/>
      </w:pPr>
      <w:r>
        <w:t xml:space="preserve">A-1 · Conflito de definição:</w:t>
      </w:r>
      <w:r>
        <w:t xml:space="preserve"> </w:t>
      </w:r>
      <w:r>
        <w:t xml:space="preserve">“</w:t>
      </w:r>
      <w:r>
        <w:t xml:space="preserve">Atividade Extraclasse</w:t>
      </w:r>
      <w:r>
        <w:t xml:space="preserve">”</w:t>
      </w:r>
      <w:r>
        <w:t xml:space="preserve"> </w:t>
      </w:r>
      <w:r>
        <w:t xml:space="preserve">— Severidade: Crítica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t xml:space="preserve">O Glossário DEnsM (§2) define</w:t>
      </w:r>
      <w:r>
        <w:t xml:space="preserve"> </w:t>
      </w:r>
      <w:r>
        <w:rPr>
          <w:bCs/>
          <w:b/>
        </w:rPr>
        <w:t xml:space="preserve">AEC — Atividades Extraclasse</w:t>
      </w:r>
      <w:r>
        <w:t xml:space="preserve"> </w:t>
      </w:r>
      <w:r>
        <w:t xml:space="preserve">como atividades que complementam o ensino —</w:t>
      </w:r>
      <w:r>
        <w:t xml:space="preserve"> </w:t>
      </w:r>
      <w:r>
        <w:rPr>
          <w:iCs/>
          <w:i/>
        </w:rPr>
        <w:t xml:space="preserve">palestras, visitas técnicas, viagens, treinamentos esportivos</w:t>
      </w:r>
      <w:r>
        <w:t xml:space="preserve"> </w:t>
      </w:r>
      <w:r>
        <w:t xml:space="preserve">— e que</w:t>
      </w:r>
      <w:r>
        <w:t xml:space="preserve"> </w:t>
      </w:r>
      <w:r>
        <w:rPr>
          <w:bCs/>
          <w:b/>
        </w:rPr>
        <w:t xml:space="preserve">não são computadas na carga horária das disciplinas</w:t>
      </w:r>
      <w:r>
        <w:t xml:space="preserve">, com teto de 10% do somatório das CHD. A documentação interna (documento 04, RN-EVT-01) definiu</w:t>
      </w:r>
      <w:r>
        <w:t xml:space="preserve"> </w:t>
      </w:r>
      <w:r>
        <w:t xml:space="preserve">“</w:t>
      </w:r>
      <w:r>
        <w:t xml:space="preserve">Atividade Extraclasse</w:t>
      </w:r>
      <w:r>
        <w:t xml:space="preserve">”</w:t>
      </w:r>
      <w:r>
        <w:t xml:space="preserve"> </w:t>
      </w:r>
      <w:r>
        <w:t xml:space="preserve">como atividade</w:t>
      </w:r>
      <w:r>
        <w:t xml:space="preserve"> </w:t>
      </w:r>
      <w:r>
        <w:rPr>
          <w:iCs/>
          <w:i/>
        </w:rPr>
        <w:t xml:space="preserve">vinculada a uma disciplina e que conta a carga horária dela</w:t>
      </w:r>
      <w:r>
        <w:t xml:space="preserve">. As duas definições divergem em ambos os eixos: no cômputo e nos exemplos.</w:t>
      </w:r>
    </w:p>
    <w:p>
      <w:pPr>
        <w:pStyle w:val="BodyText"/>
      </w:pPr>
      <w:r>
        <w:t xml:space="preserve">Há um segundo nível do problema. A norma</w:t>
      </w:r>
      <w:r>
        <w:t xml:space="preserve"> </w:t>
      </w:r>
      <w:r>
        <w:rPr>
          <w:bCs/>
          <w:b/>
        </w:rPr>
        <w:t xml:space="preserve">não usa</w:t>
      </w:r>
      <w:r>
        <w:t xml:space="preserve"> </w:t>
      </w:r>
      <w:r>
        <w:t xml:space="preserve">o termo</w:t>
      </w:r>
      <w:r>
        <w:t xml:space="preserve"> </w:t>
      </w:r>
      <w:r>
        <w:t xml:space="preserve">“</w:t>
      </w:r>
      <w:r>
        <w:t xml:space="preserve">extracurricular</w:t>
      </w:r>
      <w:r>
        <w:t xml:space="preserve">”</w:t>
      </w:r>
      <w:r>
        <w:t xml:space="preserve">. Ela decompõe a Carga Horária Total pela fórmula</w:t>
      </w:r>
      <w:r>
        <w:t xml:space="preserve"> </w:t>
      </w:r>
      <w:r>
        <w:rPr>
          <w:bCs/>
          <w:b/>
        </w:rPr>
        <w:t xml:space="preserve">CHT = CHD + AEC + TAD + TR</w:t>
      </w:r>
      <w:r>
        <w:t xml:space="preserve">, com três tetos distintos (AEC 10% das CHD; TAD 5% da CHR; TR 10% da CHR). A taxonomia de três categorias proposta na revisão anterior não mapeia essa estrutura de quatro grandezas.</w:t>
      </w:r>
    </w:p>
    <w:p>
      <w:pPr>
        <w:pStyle w:val="BodyText"/>
      </w:pPr>
      <w:r>
        <w:t xml:space="preserve">A conferência da base confirma que o problema é real e não teórico. Os 663 lançamentos de</w:t>
      </w:r>
      <w:r>
        <w:t xml:space="preserve"> </w:t>
      </w:r>
      <w:r>
        <w:rPr>
          <w:rStyle w:val="VerbatimChar"/>
        </w:rPr>
        <w:t xml:space="preserve">Eventos_Extracurriculares</w:t>
      </w:r>
      <w:r>
        <w:t xml:space="preserve"> </w:t>
      </w:r>
      <w:r>
        <w:t xml:space="preserve">distribuem-se hoje entre grandezas normativas diferentes:</w:t>
      </w:r>
      <w:r>
        <w:t xml:space="preserve"> </w:t>
      </w:r>
      <w:r>
        <w:rPr>
          <w:bCs/>
          <w:b/>
        </w:rPr>
        <w:t xml:space="preserve">Estudo Individual 512 (77%)</w:t>
      </w:r>
      <w:r>
        <w:t xml:space="preserve"> </w:t>
      </w:r>
      <w:r>
        <w:t xml:space="preserve">e Monitoria 13 — de natureza curricular; Palestra 42, Visita Técnica 11, Treinamento Físico 2, Oficina 3 — AEC própria; Atividade Administrativa 34 — TAD; Tempo Reserva 11 — TR. Um único balde acumula quatro categorias com tetos normativos distintos, e nenhum teto é verificado.</w:t>
      </w:r>
    </w:p>
    <w:p>
      <w:pPr>
        <w:pStyle w:val="BodyText"/>
      </w:pPr>
      <w:r>
        <w:rPr>
          <w:bCs/>
          <w:b/>
        </w:rPr>
        <w:t xml:space="preserve">Impacto.</w:t>
      </w:r>
      <w:r>
        <w:t xml:space="preserve"> </w:t>
      </w:r>
      <w:r>
        <w:t xml:space="preserve">Atinge o modelo conceitual de dados, o cálculo de carga horária de disciplina, o Cronograma, o motor preditivo e a taxonomia de tipos de lançamento. É a alteração de maior alcance da Fase 1.</w:t>
      </w:r>
    </w:p>
    <w:p>
      <w:pPr>
        <w:pStyle w:val="BodyText"/>
      </w:pPr>
      <w:r>
        <w:rPr>
          <w:bCs/>
          <w:b/>
        </w:rPr>
        <w:t xml:space="preserve">Proposta P-1</w:t>
      </w:r>
      <w:r>
        <w:t xml:space="preserve"> </w:t>
      </w:r>
      <w:r>
        <w:t xml:space="preserve">(três alternativas na seção 5).</w:t>
      </w:r>
      <w:r>
        <w:t xml:space="preserve"> </w:t>
      </w:r>
      <w:r>
        <w:rPr>
          <w:bCs/>
          <w:b/>
        </w:rPr>
        <w:t xml:space="preserve">✅ Aprovada e implementada — Alternativa 1</w:t>
      </w:r>
      <w:r>
        <w:t xml:space="preserve"> </w:t>
      </w:r>
      <w:r>
        <w:t xml:space="preserve">(taxonomia normativa completa, com Estudo Individual em categoria à parte, ver Nota de execução). Requisitos: documento 02, RF-DSA-01, RF-EXTRA; regra: documento 04, RN-EVT-01; modelo de dados: documento 05, seção 7.1 (de-para de migração).</w:t>
      </w:r>
    </w:p>
    <w:bookmarkEnd w:id="23"/>
    <w:bookmarkStart w:id="24" w:name="Xa9b2f1476ec19498c95583e3c1c02a929d8abdc"/>
    <w:p>
      <w:pPr>
        <w:pStyle w:val="Heading3"/>
      </w:pPr>
      <w:r>
        <w:t xml:space="preserve">A-2 · Teto de carga horária docente confunde regime com horas de aula — Severidade: Crítica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t xml:space="preserve">A regra RN-2027-06 respeita</w:t>
      </w:r>
      <w:r>
        <w:t xml:space="preserve"> </w:t>
      </w:r>
      <w:r>
        <w:t xml:space="preserve">“</w:t>
      </w:r>
      <w:r>
        <w:t xml:space="preserve">o limite semanal do regime de trabalho dele (20h ou 40h/dedicação exclusiva, aproximando 1 tempo de aula a 1 hora)</w:t>
      </w:r>
      <w:r>
        <w:t xml:space="preserve">”</w:t>
      </w:r>
      <w:r>
        <w:t xml:space="preserve">. Pela DGPM-103 (Regras §5.1; Glossário DEnsM §12), o regime designa o vínculo com o estabelecimento; as horas de</w:t>
      </w:r>
      <w:r>
        <w:t xml:space="preserve"> </w:t>
      </w:r>
      <w:r>
        <w:rPr>
          <w:bCs/>
          <w:b/>
        </w:rPr>
        <w:t xml:space="preserve">aula</w:t>
      </w:r>
      <w:r>
        <w:t xml:space="preserve"> </w:t>
      </w:r>
      <w:r>
        <w:t xml:space="preserve">são um subconjunto:</w:t>
      </w:r>
      <w:r>
        <w:t xml:space="preserve"> </w:t>
      </w:r>
      <w:r>
        <w:rPr>
          <w:bCs/>
          <w:b/>
        </w:rPr>
        <w:t xml:space="preserve">20h → 8 a 12 h de aula</w:t>
      </w:r>
      <w:r>
        <w:t xml:space="preserve">;</w:t>
      </w:r>
      <w:r>
        <w:t xml:space="preserve"> </w:t>
      </w:r>
      <w:r>
        <w:rPr>
          <w:bCs/>
          <w:b/>
        </w:rPr>
        <w:t xml:space="preserve">40h → 16 a 24 h</w:t>
      </w:r>
      <w:r>
        <w:t xml:space="preserve">;</w:t>
      </w:r>
      <w:r>
        <w:t xml:space="preserve"> </w:t>
      </w:r>
      <w:r>
        <w:rPr>
          <w:bCs/>
          <w:b/>
        </w:rPr>
        <w:t xml:space="preserve">DE → 16 a 30 h</w:t>
      </w:r>
      <w:r>
        <w:t xml:space="preserve">. O restante é Tempo de Permanência (planejamento, reuniões, elaboração de material). A equivalência</w:t>
      </w:r>
      <w:r>
        <w:t xml:space="preserve"> </w:t>
      </w:r>
      <w:r>
        <w:t xml:space="preserve">“</w:t>
      </w:r>
      <w:r>
        <w:t xml:space="preserve">1 TA ≈ 1 hora</w:t>
      </w:r>
      <w:r>
        <w:t xml:space="preserve">”</w:t>
      </w:r>
      <w:r>
        <w:t xml:space="preserve"> </w:t>
      </w:r>
      <w:r>
        <w:t xml:space="preserve">usada pela regra está correta e é normativa; o erro está no teto.</w:t>
      </w:r>
    </w:p>
    <w:p>
      <w:pPr>
        <w:pStyle w:val="BodyText"/>
      </w:pPr>
      <w:r>
        <w:t xml:space="preserve">Distribuição real do corpo docente cadastrado:</w:t>
      </w:r>
      <w:r>
        <w:t xml:space="preserve"> </w:t>
      </w:r>
      <w:r>
        <w:rPr>
          <w:bCs/>
          <w:b/>
        </w:rPr>
        <w:t xml:space="preserve">20h Semanais — 160 instrutores (90,4%)</w:t>
      </w:r>
      <w:r>
        <w:t xml:space="preserve">; 40h — 11; Dedicação Exclusiva — 6. Para a esmagadora maioria do cadastro, o teto aplicado é 20 TA/semana quando o máximo normativo é 12 — uma folga indevida de 67%. Nos casos em que o motor emite</w:t>
      </w:r>
      <w:r>
        <w:t xml:space="preserve"> </w:t>
      </w:r>
      <w:r>
        <w:t xml:space="preserve">“</w:t>
      </w:r>
      <w:r>
        <w:t xml:space="preserve">alerta de sobrecarga</w:t>
      </w:r>
      <w:r>
        <w:t xml:space="preserve">”</w:t>
      </w:r>
      <w:r>
        <w:t xml:space="preserve"> </w:t>
      </w:r>
      <w:r>
        <w:t xml:space="preserve">ao estourar 20, a sobrecarga normativa real já ocorreu muito antes.</w:t>
      </w:r>
    </w:p>
    <w:p>
      <w:pPr>
        <w:pStyle w:val="BodyText"/>
      </w:pPr>
      <w:r>
        <w:t xml:space="preserve">A Matriz de Responsabilidades registra que a fiscalização dos limites semanais de aula é atribuição da CIAARA-11</w:t>
      </w:r>
      <w:r>
        <w:t xml:space="preserve"> </w:t>
      </w:r>
      <w:r>
        <w:rPr>
          <w:bCs/>
          <w:b/>
        </w:rPr>
        <w:t xml:space="preserve">sob auditoria da CoPeCoD</w:t>
      </w:r>
      <w:r>
        <w:t xml:space="preserve"> </w:t>
      </w:r>
      <w:r>
        <w:t xml:space="preserve">— ou seja, trata-se de um controle com auditoria externa, não de conveniência interna de planejamento.</w:t>
      </w:r>
    </w:p>
    <w:p>
      <w:pPr>
        <w:pStyle w:val="BodyText"/>
      </w:pPr>
      <w:r>
        <w:rPr>
          <w:bCs/>
          <w:b/>
        </w:rPr>
        <w:t xml:space="preserve">Observação metodológica.</w:t>
      </w:r>
      <w:r>
        <w:t xml:space="preserve"> </w:t>
      </w:r>
      <w:r>
        <w:t xml:space="preserve">Há divergência entre as próprias fontes normativas consolidadas: o Glossário (§12) agrupa</w:t>
      </w:r>
      <w:r>
        <w:t xml:space="preserve"> </w:t>
      </w:r>
      <w:r>
        <w:t xml:space="preserve">“</w:t>
      </w:r>
      <w:r>
        <w:t xml:space="preserve">40h/DE: 16 a 30h</w:t>
      </w:r>
      <w:r>
        <w:t xml:space="preserve">”</w:t>
      </w:r>
      <w:r>
        <w:t xml:space="preserve">, enquanto as Regras (§5.1) separam</w:t>
      </w:r>
      <w:r>
        <w:t xml:space="preserve"> </w:t>
      </w:r>
      <w:r>
        <w:t xml:space="preserve">“</w:t>
      </w:r>
      <w:r>
        <w:t xml:space="preserve">40h: 16-24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DE: 16-30</w:t>
      </w:r>
      <w:r>
        <w:t xml:space="preserve">”</w:t>
      </w:r>
      <w:r>
        <w:t xml:space="preserve">. A proposta adota a leitura mais restritiva e conservadora (as Regras), e a divergência fica registrada para confirmação.</w:t>
      </w:r>
    </w:p>
    <w:p>
      <w:pPr>
        <w:pStyle w:val="BodyText"/>
      </w:pPr>
      <w:r>
        <w:rPr>
          <w:bCs/>
          <w:b/>
        </w:rPr>
        <w:t xml:space="preserve">Proposta P-2.</w:t>
      </w:r>
      <w:r>
        <w:t xml:space="preserve"> </w:t>
      </w:r>
      <w:r>
        <w:rPr>
          <w:bCs/>
          <w:b/>
        </w:rPr>
        <w:t xml:space="preserve">✅ Aprovada e implementada.</w:t>
      </w:r>
      <w:r>
        <w:t xml:space="preserve"> </w:t>
      </w:r>
      <w:r>
        <w:t xml:space="preserve">Regra: documento 04, RN-2027-06 revisada; requisito não-funcional: documento 03, RNF-NORM-03.</w:t>
      </w:r>
    </w:p>
    <w:bookmarkEnd w:id="24"/>
    <w:bookmarkStart w:id="25" w:name="X91d6d2f6f744e0a4e37a0d42de0a1756b1918ff"/>
    <w:p>
      <w:pPr>
        <w:pStyle w:val="Heading3"/>
      </w:pPr>
      <w:r>
        <w:t xml:space="preserve">A-3 · Configuração de horário excede o limite normativo de tempos de aula por dia — Severidade:</w:t>
      </w:r>
      <w:r>
        <w:t xml:space="preserve"> </w:t>
      </w:r>
      <w:r>
        <w:rPr>
          <w:strike/>
        </w:rPr>
        <w:t xml:space="preserve">Alta</w:t>
      </w:r>
      <w:r>
        <w:t xml:space="preserve"> </w:t>
      </w:r>
      <w:r>
        <w:rPr>
          <w:bCs/>
          <w:b/>
        </w:rPr>
        <w:t xml:space="preserve">Revertida — v1.3</w:t>
      </w:r>
    </w:p>
    <w:p>
      <w:pPr>
        <w:pStyle w:val="FirstParagraph"/>
      </w:pPr>
      <w:r>
        <w:rPr>
          <w:bCs/>
          <w:b/>
        </w:rPr>
        <w:t xml:space="preserve">🔄 Resolução (v1.3, 01/08/2026).</w:t>
      </w:r>
      <w:r>
        <w:t xml:space="preserve"> </w:t>
      </w:r>
      <w:r>
        <w:t xml:space="preserve">Por instrução do responsável, a investigação foi refeita a partir dos currículos por curso (item 2.1,</w:t>
      </w:r>
      <w:r>
        <w:t xml:space="preserve"> </w:t>
      </w:r>
      <w:r>
        <w:t xml:space="preserve">“</w:t>
      </w:r>
      <w:r>
        <w:t xml:space="preserve">Diretrizes Gerais do Curso</w:t>
      </w:r>
      <w:r>
        <w:t xml:space="preserve">”</w:t>
      </w:r>
      <w:r>
        <w:t xml:space="preserve"> </w:t>
      </w:r>
      <w:r>
        <w:t xml:space="preserve">de cada PDF aprovado pela DEnsM), em vez de um documento único de regras de tempos de aula.</w:t>
      </w:r>
      <w:r>
        <w:t xml:space="preserve"> </w:t>
      </w:r>
      <w:r>
        <w:rPr>
          <w:bCs/>
          <w:b/>
        </w:rPr>
        <w:t xml:space="preserve">Conclusão: este achado estava incorreto.</w:t>
      </w:r>
      <w:r>
        <w:t xml:space="preserve"> </w:t>
      </w:r>
      <w:r>
        <w:t xml:space="preserve">Os currículos de</w:t>
      </w:r>
      <w:r>
        <w:t xml:space="preserve"> </w:t>
      </w:r>
      <w:r>
        <w:rPr>
          <w:bCs/>
          <w:b/>
        </w:rPr>
        <w:t xml:space="preserve">CAHO</w:t>
      </w:r>
      <w:r>
        <w:t xml:space="preserve">,</w:t>
      </w:r>
      <w:r>
        <w:t xml:space="preserve"> </w:t>
      </w:r>
      <w:r>
        <w:rPr>
          <w:bCs/>
          <w:b/>
        </w:rPr>
        <w:t xml:space="preserve">C-Ap-HN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C-Ap-FR</w:t>
      </w:r>
      <w:r>
        <w:t xml:space="preserve"> </w:t>
      </w:r>
      <w:r>
        <w:t xml:space="preserve">autorizam explicitamente, em</w:t>
      </w:r>
      <w:r>
        <w:t xml:space="preserve"> </w:t>
      </w:r>
      <w:r>
        <w:t xml:space="preserve">“</w:t>
      </w:r>
      <w:r>
        <w:t xml:space="preserve">situações especiais</w:t>
      </w:r>
      <w:r>
        <w:t xml:space="preserve">”</w:t>
      </w:r>
      <w:r>
        <w:t xml:space="preserve">, um 9º TA diário como</w:t>
      </w:r>
      <w:r>
        <w:t xml:space="preserve"> </w:t>
      </w:r>
      <w:r>
        <w:t xml:space="preserve">“</w:t>
      </w:r>
      <w:r>
        <w:t xml:space="preserve">tempo opcional de apoio previsto no DSA</w:t>
      </w:r>
      <w:r>
        <w:t xml:space="preserve">”</w:t>
      </w:r>
      <w:r>
        <w:t xml:space="preserve"> </w:t>
      </w:r>
      <w:r>
        <w:t xml:space="preserve">— exatamente a Configuração D encontrada na base. Não é uma não conformidade; é uma exceção curricular formal, já prevista pela norma que rege cada curso individualmente. O texto original do achado é preservado abaixo para rastreabilidade da análise.</w:t>
      </w:r>
    </w:p>
    <w:p>
      <w:pPr>
        <w:pStyle w:val="BodyText"/>
      </w:pPr>
      <w:r>
        <w:rPr>
          <w:bCs/>
          <w:b/>
        </w:rPr>
        <w:t xml:space="preserve">Evidência.</w:t>
      </w:r>
      <w:r>
        <w:t xml:space="preserve"> </w:t>
      </w:r>
      <w:r>
        <w:t xml:space="preserve">O Glossário DEnsM (§2) fixa:</w:t>
      </w:r>
      <w:r>
        <w:t xml:space="preserve"> </w:t>
      </w:r>
      <w:r>
        <w:rPr>
          <w:bCs/>
          <w:b/>
        </w:rPr>
        <w:t xml:space="preserve">7 TA de 50 min</w:t>
      </w:r>
      <w:r>
        <w:t xml:space="preserve"> </w:t>
      </w:r>
      <w:r>
        <w:t xml:space="preserve">(intervalos de 10 min)</w:t>
      </w:r>
      <w:r>
        <w:t xml:space="preserve"> </w:t>
      </w:r>
      <w:r>
        <w:rPr>
          <w:bCs/>
          <w:b/>
        </w:rPr>
        <w:t xml:space="preserve">ou 8 TA de 45 min</w:t>
      </w:r>
      <w:r>
        <w:t xml:space="preserve"> </w:t>
      </w:r>
      <w:r>
        <w:t xml:space="preserve">(intervalos de 5 min);</w:t>
      </w:r>
      <w:r>
        <w:t xml:space="preserve"> </w:t>
      </w:r>
      <w:r>
        <w:rPr>
          <w:bCs/>
          <w:b/>
        </w:rPr>
        <w:t xml:space="preserve">mais de 8 TA por dia exige justificativa específica</w:t>
      </w:r>
      <w:r>
        <w:t xml:space="preserve">. A conferência de</w:t>
      </w:r>
      <w:r>
        <w:t xml:space="preserve"> </w:t>
      </w:r>
      <w:r>
        <w:rPr>
          <w:rStyle w:val="VerbatimChar"/>
        </w:rPr>
        <w:t xml:space="preserve">Horarios_Tempos_Aula</w:t>
      </w:r>
      <w:r>
        <w:t xml:space="preserve"> </w:t>
      </w:r>
      <w:r>
        <w:t xml:space="preserve">mostra: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 manhã / 5 min tarde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 /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Dentro do teto de 8, mas fora dos dois padrões normativos (8 TA pareia com 45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🚨</w:t>
            </w:r>
            <w:r>
              <w:t xml:space="preserve"> </w:t>
            </w:r>
            <w:r>
              <w:rPr>
                <w:bCs/>
                <w:b/>
              </w:rPr>
              <w:t xml:space="preserve">Excede o limite de 8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Conforme quanto ao regime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Cad_Cursos</w:t>
      </w:r>
      <w:r>
        <w:t xml:space="preserve"> </w:t>
      </w:r>
      <w:r>
        <w:t xml:space="preserve">mostra que a Config D é adotada como regime de exceção (</w:t>
      </w:r>
      <w:r>
        <w:t xml:space="preserve">“</w:t>
      </w:r>
      <w:r>
        <w:t xml:space="preserve">9 Tempos de 45 min</w:t>
      </w:r>
      <w:r>
        <w:t xml:space="preserve">”</w:t>
      </w:r>
      <w:r>
        <w:t xml:space="preserve">) por</w:t>
      </w:r>
      <w:r>
        <w:t xml:space="preserve"> </w:t>
      </w:r>
      <w:r>
        <w:rPr>
          <w:bCs/>
          <w:b/>
        </w:rPr>
        <w:t xml:space="preserve">3 cursos</w:t>
      </w:r>
      <w:r>
        <w:t xml:space="preserve">, e a Config B (</w:t>
      </w:r>
      <w:r>
        <w:t xml:space="preserve">“</w:t>
      </w:r>
      <w:r>
        <w:t xml:space="preserve">8 Tempos de 50 min</w:t>
      </w:r>
      <w:r>
        <w:t xml:space="preserve">”</w:t>
      </w:r>
      <w:r>
        <w:t xml:space="preserve">) por</w:t>
      </w:r>
      <w:r>
        <w:t xml:space="preserve"> </w:t>
      </w:r>
      <w:r>
        <w:rPr>
          <w:bCs/>
          <w:b/>
        </w:rPr>
        <w:t xml:space="preserve">2 cursos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Complicador.</w:t>
      </w:r>
      <w:r>
        <w:t xml:space="preserve"> </w:t>
      </w:r>
      <w:r>
        <w:t xml:space="preserve">As duas observações desta rodada divergem entre si sobre os pares admitidos: a observação 02#2 fala em</w:t>
      </w:r>
      <w:r>
        <w:t xml:space="preserve"> </w:t>
      </w:r>
      <w:r>
        <w:t xml:space="preserve">“</w:t>
      </w:r>
      <w:r>
        <w:t xml:space="preserve">8 tempos ou 9 tempos</w:t>
      </w:r>
      <w:r>
        <w:t xml:space="preserve">”</w:t>
      </w:r>
      <w:r>
        <w:t xml:space="preserve">; a 02#4 fala em</w:t>
      </w:r>
      <w:r>
        <w:t xml:space="preserve"> </w:t>
      </w:r>
      <w:r>
        <w:t xml:space="preserve">“</w:t>
      </w:r>
      <w:r>
        <w:t xml:space="preserve">regime padrão de 7 tempos e regime de exceção de 8 tempos</w:t>
      </w:r>
      <w:r>
        <w:t xml:space="preserve">”</w:t>
      </w:r>
      <w:r>
        <w:t xml:space="preserve">. A norma respalda a 02#4. A base respalda a 02#2. Não é possível resolver sem decisão do responsável.</w:t>
      </w:r>
    </w:p>
    <w:p>
      <w:pPr>
        <w:pStyle w:val="BodyText"/>
      </w:pPr>
      <w:r>
        <w:rPr>
          <w:bCs/>
          <w:b/>
        </w:rPr>
        <w:t xml:space="preserve">Nota de rigor.</w:t>
      </w:r>
      <w:r>
        <w:t xml:space="preserve"> </w:t>
      </w:r>
      <w:r>
        <w:t xml:space="preserve">A norma não proíbe 9 TA — exige</w:t>
      </w:r>
      <w:r>
        <w:t xml:space="preserve"> </w:t>
      </w:r>
      <w:r>
        <w:rPr>
          <w:iCs/>
          <w:i/>
        </w:rPr>
        <w:t xml:space="preserve">justificativa específica</w:t>
      </w:r>
      <w:r>
        <w:t xml:space="preserve">. É plausível que os três cursos tenham justificativa formal registrada fora do sistema. O achado não afirma irregularidade; afirma que</w:t>
      </w:r>
      <w:r>
        <w:t xml:space="preserve"> </w:t>
      </w:r>
      <w:r>
        <w:rPr>
          <w:bCs/>
          <w:b/>
        </w:rPr>
        <w:t xml:space="preserve">o sistema não registra nem exige essa justificativa</w:t>
      </w:r>
      <w:r>
        <w:t xml:space="preserve">, e portanto não é auditável nesse ponto.</w:t>
      </w:r>
    </w:p>
    <w:p>
      <w:pPr>
        <w:pStyle w:val="BodyText"/>
      </w:pPr>
      <w:r>
        <w:rPr>
          <w:bCs/>
          <w:b/>
        </w:rPr>
        <w:t xml:space="preserve">Proposta P-5.</w:t>
      </w:r>
      <w:r>
        <w:t xml:space="preserve"> </w:t>
      </w:r>
      <w:r>
        <w:rPr>
          <w:bCs/>
          <w:b/>
        </w:rPr>
        <w:t xml:space="preserve">🔄 Não aplicada como proposta genérica — resolvida por fundamentação curricular</w:t>
      </w:r>
      <w:r>
        <w:t xml:space="preserve"> </w:t>
      </w:r>
      <w:r>
        <w:t xml:space="preserve">(ver Nota de execução, item 2). Requisito: documento 02, RF-HOR-03 [RESOLVIDO — v1.3], RF-HOR-03.1 (9º TA como alerta, não bloqueio); requisito não-funcional: documento 03, RNF-NORM-01 revisado.</w:t>
      </w:r>
    </w:p>
    <w:bookmarkEnd w:id="25"/>
    <w:bookmarkStart w:id="26" w:name="Xcb76f3b03202230664cb1a643d90e8e5c196ca4"/>
    <w:p>
      <w:pPr>
        <w:pStyle w:val="Heading3"/>
      </w:pPr>
      <w:r>
        <w:t xml:space="preserve">A-4 · Duas configurações de horário não reservam a janela de almoço — Severidade: Alta (mantida — item de migração)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t xml:space="preserve">A observação 02#2 estabelece como requisito que a janela de 12h00 às 13h00 seja reservada em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cursos. Conferindo as configurações: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 A</w:t>
      </w:r>
      <w:r>
        <w:t xml:space="preserve"> </w:t>
      </w:r>
      <w:r>
        <w:t xml:space="preserve">— 4º TA termina 12h00, intervalo até 13h05. 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 B</w:t>
      </w:r>
      <w:r>
        <w:t xml:space="preserve"> </w:t>
      </w:r>
      <w:r>
        <w:t xml:space="preserve">— idem. 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 C</w:t>
      </w:r>
      <w:r>
        <w:t xml:space="preserve"> </w:t>
      </w:r>
      <w:r>
        <w:t xml:space="preserve">— 5º TA termina 11h55, intervalo até 13h05. 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 D</w:t>
      </w:r>
      <w:r>
        <w:t xml:space="preserve"> </w:t>
      </w:r>
      <w:r>
        <w:t xml:space="preserve">— 5º TA 11h40–12h25, 6º TA 12h35–13h20. 🚨</w:t>
      </w:r>
      <w:r>
        <w:t xml:space="preserve"> </w:t>
      </w:r>
      <w:r>
        <w:rPr>
          <w:bCs/>
          <w:b/>
        </w:rPr>
        <w:t xml:space="preserve">Aulas atravessam o almoço.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 E</w:t>
      </w:r>
      <w:r>
        <w:t xml:space="preserve"> </w:t>
      </w:r>
      <w:r>
        <w:t xml:space="preserve">— 5º TA 11h20–12h05, 6º TA 12h10–12h55, 7º TA 13h00–13h45. 🚨</w:t>
      </w:r>
      <w:r>
        <w:t xml:space="preserve"> </w:t>
      </w:r>
      <w:r>
        <w:rPr>
          <w:bCs/>
          <w:b/>
        </w:rPr>
        <w:t xml:space="preserve">Aulas atravessam o almoço.</w:t>
      </w:r>
    </w:p>
    <w:p>
      <w:pPr>
        <w:pStyle w:val="FirstParagraph"/>
      </w:pPr>
      <w:r>
        <w:t xml:space="preserve">A Config E é o horário</w:t>
      </w:r>
      <w:r>
        <w:t xml:space="preserve"> </w:t>
      </w:r>
      <w:r>
        <w:rPr>
          <w:bCs/>
          <w:b/>
        </w:rPr>
        <w:t xml:space="preserve">padrão</w:t>
      </w:r>
      <w:r>
        <w:t xml:space="preserve"> </w:t>
      </w:r>
      <w:r>
        <w:t xml:space="preserve">de 2 cursos; a Config D é regime de exceção de 3 cursos. Não se trata de configurações órfãs.</w:t>
      </w:r>
    </w:p>
    <w:p>
      <w:pPr>
        <w:pStyle w:val="BodyText"/>
      </w:pPr>
      <w:r>
        <w:rPr>
          <w:bCs/>
          <w:b/>
        </w:rPr>
        <w:t xml:space="preserve">Proposta P-5</w:t>
      </w:r>
      <w:r>
        <w:t xml:space="preserve"> </w:t>
      </w:r>
      <w:r>
        <w:t xml:space="preserve">(tratada em conjunto com A-3).</w:t>
      </w:r>
      <w:r>
        <w:t xml:space="preserve"> </w:t>
      </w:r>
      <w:r>
        <w:rPr>
          <w:bCs/>
          <w:b/>
        </w:rPr>
        <w:t xml:space="preserve">✅ Mantida como item de correção de dados de migração</w:t>
      </w:r>
      <w:r>
        <w:t xml:space="preserve"> </w:t>
      </w:r>
      <w:r>
        <w:t xml:space="preserve">(não como nova regra de validação) — nenhum dos currículos consultados prescreve horário de relógio, apenas quantidade e duração de TA; a ausência de janela de almoço nas Configs D e E permanece um problema de dado, a corrigir no ato da migração.</w:t>
      </w:r>
      <w:r>
        <w:t xml:space="preserve"> </w:t>
      </w:r>
      <w:r>
        <w:rPr>
          <w:iCs/>
          <w:i/>
        </w:rPr>
        <w:t xml:space="preserve">Origem: documento 05, seção 7.2, item 4.</w:t>
      </w:r>
    </w:p>
    <w:bookmarkEnd w:id="26"/>
    <w:bookmarkStart w:id="27" w:name="Xf64b386d5c694d39efe81c336fa8d6f2d05daa0"/>
    <w:p>
      <w:pPr>
        <w:pStyle w:val="Heading3"/>
      </w:pPr>
      <w:r>
        <w:t xml:space="preserve">A-5 · Avaliação agendada não consome tempo de aula — Severidade: Alta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t xml:space="preserve">Diagnóstico preciso da observação 02#9. Existem</w:t>
      </w:r>
      <w:r>
        <w:t xml:space="preserve"> </w:t>
      </w:r>
      <w:r>
        <w:rPr>
          <w:bCs/>
          <w:b/>
        </w:rPr>
        <w:t xml:space="preserve">dois caminhos paralelos e não vinculados</w:t>
      </w:r>
      <w:r>
        <w:t xml:space="preserve">: a aba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 </w:t>
      </w:r>
      <w:r>
        <w:t xml:space="preserve">(111 linhas) registra o</w:t>
      </w:r>
      <w:r>
        <w:t xml:space="preserve"> </w:t>
      </w:r>
      <w:r>
        <w:rPr>
          <w:iCs/>
          <w:i/>
        </w:rPr>
        <w:t xml:space="preserve">agendamento</w:t>
      </w:r>
      <w:r>
        <w:t xml:space="preserve"> </w:t>
      </w:r>
      <w:r>
        <w:t xml:space="preserve">— tipo, data, data de vista, responsável, status — e</w:t>
      </w:r>
      <w:r>
        <w:t xml:space="preserve"> </w:t>
      </w:r>
      <w:r>
        <w:rPr>
          <w:bCs/>
          <w:b/>
        </w:rPr>
        <w:t xml:space="preserve">não possui coluna de tempos consumidos</w:t>
      </w:r>
      <w:r>
        <w:t xml:space="preserve">; a aba</w:t>
      </w:r>
      <w:r>
        <w:t xml:space="preserve"> </w:t>
      </w:r>
      <w:r>
        <w:rPr>
          <w:rStyle w:val="VerbatimChar"/>
        </w:rPr>
        <w:t xml:space="preserve">Registro_Aulas_E_Atividades</w:t>
      </w:r>
      <w:r>
        <w:t xml:space="preserve"> </w:t>
      </w:r>
      <w:r>
        <w:t xml:space="preserve">contém</w:t>
      </w:r>
      <w:r>
        <w:t xml:space="preserve"> </w:t>
      </w:r>
      <w:r>
        <w:rPr>
          <w:bCs/>
          <w:b/>
        </w:rPr>
        <w:t xml:space="preserve">186 linhas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Tipo_Atividade = "Avaliação"</w:t>
      </w:r>
      <w:r>
        <w:t xml:space="preserve">, que consomem TA normalmente. Os números não coincidem e os cadastros não se referenciam: agendar uma avaliação não produz consumo de carga horária, e registrar a execução exige um segundo lançamento manual, que pode ou não acontecer.</w:t>
      </w:r>
    </w:p>
    <w:p>
      <w:pPr>
        <w:pStyle w:val="BodyText"/>
      </w:pPr>
      <w:r>
        <w:t xml:space="preserve">A norma é explícita: a</w:t>
      </w:r>
      <w:r>
        <w:t xml:space="preserve"> </w:t>
      </w:r>
      <w:r>
        <w:rPr>
          <w:bCs/>
          <w:b/>
        </w:rPr>
        <w:t xml:space="preserve">CHD</w:t>
      </w:r>
      <w:r>
        <w:t xml:space="preserve"> </w:t>
      </w:r>
      <w:r>
        <w:t xml:space="preserve">é o somatório dos TA da disciplina</w:t>
      </w:r>
      <w:r>
        <w:t xml:space="preserve"> </w:t>
      </w:r>
      <w:r>
        <w:rPr>
          <w:iCs/>
          <w:i/>
        </w:rPr>
        <w:t xml:space="preserve">incluindo o tempo de avaliações e de vista/comentários de prova</w:t>
      </w:r>
      <w:r>
        <w:t xml:space="preserve"> </w:t>
      </w:r>
      <w:r>
        <w:t xml:space="preserve">(Glossário DEnsM §2). O modelo atual, portanto, subdimensiona a carga horária real das disciplinas sempre que o duplo lançamento não é feito.</w:t>
      </w:r>
    </w:p>
    <w:p>
      <w:pPr>
        <w:pStyle w:val="BodyText"/>
      </w:pPr>
      <w:r>
        <w:rPr>
          <w:bCs/>
          <w:b/>
        </w:rPr>
        <w:t xml:space="preserve">Proposta P-6.</w:t>
      </w:r>
      <w:r>
        <w:t xml:space="preserve"> </w:t>
      </w:r>
      <w:r>
        <w:rPr>
          <w:bCs/>
          <w:b/>
        </w:rPr>
        <w:t xml:space="preserve">✅ Aprovada e implementada.</w:t>
      </w:r>
      <w:r>
        <w:t xml:space="preserve"> </w:t>
      </w:r>
      <w:r>
        <w:t xml:space="preserve">Regra: documento 04, RN-AVAL-02 [NOVA — v1.3]; modelo de dados: documento 05, entidade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 </w:t>
      </w:r>
      <w:r>
        <w:t xml:space="preserve">revisada (campos</w:t>
      </w:r>
      <w:r>
        <w:t xml:space="preserve"> </w:t>
      </w:r>
      <w:r>
        <w:rPr>
          <w:rStyle w:val="VerbatimChar"/>
        </w:rPr>
        <w:t xml:space="preserve">Tempos_Consumidos</w:t>
      </w:r>
      <w:r>
        <w:t xml:space="preserve">/</w:t>
      </w:r>
      <w:r>
        <w:rPr>
          <w:rStyle w:val="VerbatimChar"/>
        </w:rPr>
        <w:t xml:space="preserve">TA_Inicial</w:t>
      </w:r>
      <w:r>
        <w:t xml:space="preserve">); requisito: documento 02, RF-AVAL-05.</w:t>
      </w:r>
    </w:p>
    <w:bookmarkEnd w:id="27"/>
    <w:bookmarkStart w:id="28" w:name="Xfe21a6ad07f0d0915dc2003380fdf5795b180e0"/>
    <w:p>
      <w:pPr>
        <w:pStyle w:val="Heading3"/>
      </w:pPr>
      <w:r>
        <w:t xml:space="preserve">A-6 · Tetos normativos de composição de carga horária não são verificados — Severidade: Média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t xml:space="preserve">A norma fixa AEC ≤ 10% do somatório das CHD, TAD ≤ 5% da CHR e TR ≤ 10% da CHR. O sistema importa as reservas de Administração e Tempo Reserva do PROENS como valores absolutos por curso (RN-2027-03) e</w:t>
      </w:r>
      <w:r>
        <w:t xml:space="preserve"> </w:t>
      </w:r>
      <w:r>
        <w:rPr>
          <w:bCs/>
          <w:b/>
        </w:rPr>
        <w:t xml:space="preserve">não as confronta com os tetos percentuais</w:t>
      </w:r>
      <w:r>
        <w:t xml:space="preserve">. Como o sistema já conhece a carga horária de todas as disciplinas de cada curso, dispõe de tudo o que precisa para calcular a CHR e verificar os três tetos. É uma verificação de custo baixo e valor de conformidade alto — mas depende da resolução de A-1, porque sem categorias corretas não há o que somar.</w:t>
      </w:r>
    </w:p>
    <w:p>
      <w:pPr>
        <w:pStyle w:val="BodyText"/>
      </w:pPr>
      <w:r>
        <w:rPr>
          <w:bCs/>
          <w:b/>
        </w:rPr>
        <w:t xml:space="preserve">Proposta P-8.</w:t>
      </w:r>
      <w:r>
        <w:t xml:space="preserve"> </w:t>
      </w:r>
      <w:r>
        <w:rPr>
          <w:bCs/>
          <w:b/>
        </w:rPr>
        <w:t xml:space="preserve">✅ Aprovada e implementada</w:t>
      </w:r>
      <w:r>
        <w:t xml:space="preserve"> </w:t>
      </w:r>
      <w:r>
        <w:t xml:space="preserve">(destravada pela resolução de A-1/P-1). Requisito: documento 02, RF-EXTRA-04; requisito não-funcional: documento 03, RNF-NORM-02 revisado.</w:t>
      </w:r>
    </w:p>
    <w:bookmarkEnd w:id="28"/>
    <w:bookmarkStart w:id="29" w:name="Xfac0c8ef5ed89c9e9f04669389ca9f27e2ab8dc"/>
    <w:p>
      <w:pPr>
        <w:pStyle w:val="Heading3"/>
      </w:pPr>
      <w:r>
        <w:t xml:space="preserve">A-7 · Restrições pedagógicas de sequenciamento não são consideradas — Severidade: Média —</w:t>
      </w:r>
      <w:r>
        <w:t xml:space="preserve"> </w:t>
      </w:r>
      <w:r>
        <w:rPr>
          <w:bCs/>
          <w:b/>
        </w:rPr>
        <w:t xml:space="preserve">❌ Rejeitada — v1.3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t xml:space="preserve">O PCP-FCT-2 e as normas de currículo fixam: intervalo obrigatório de 10 min a cada 2 TA geminados;</w:t>
      </w:r>
      <w:r>
        <w:t xml:space="preserve"> </w:t>
      </w:r>
      <w:r>
        <w:rPr>
          <w:bCs/>
          <w:b/>
        </w:rPr>
        <w:t xml:space="preserve">proibido mais de 2 TA consecutivos com a mesma técnica de ensino</w:t>
      </w:r>
      <w:r>
        <w:t xml:space="preserve"> </w:t>
      </w:r>
      <w:r>
        <w:t xml:space="preserve">(3 TA em aulas práticas/demonstrações);</w:t>
      </w:r>
      <w:r>
        <w:t xml:space="preserve"> </w:t>
      </w:r>
      <w:r>
        <w:rPr>
          <w:bCs/>
          <w:b/>
        </w:rPr>
        <w:t xml:space="preserve">3 TA consecutivos exigem no mínimo duas técnicas distintas</w:t>
      </w:r>
      <w:r>
        <w:t xml:space="preserve">; aula expositiva/dialógica limitada a</w:t>
      </w:r>
      <w:r>
        <w:t xml:space="preserve"> </w:t>
      </w:r>
      <w:r>
        <w:rPr>
          <w:bCs/>
          <w:b/>
        </w:rPr>
        <w:t xml:space="preserve">5 TA por dia letivo</w:t>
      </w:r>
      <w:r>
        <w:t xml:space="preserve">. O sistema já grava a</w:t>
      </w:r>
      <w:r>
        <w:t xml:space="preserve"> </w:t>
      </w:r>
      <w:r>
        <w:rPr>
          <w:rStyle w:val="VerbatimChar"/>
        </w:rPr>
        <w:t xml:space="preserve">Metodologia</w:t>
      </w:r>
      <w:r>
        <w:t xml:space="preserve"> </w:t>
      </w:r>
      <w:r>
        <w:t xml:space="preserve">de cada lançamento — ou seja,</w:t>
      </w:r>
      <w:r>
        <w:t xml:space="preserve"> </w:t>
      </w:r>
      <w:r>
        <w:rPr>
          <w:bCs/>
          <w:b/>
        </w:rPr>
        <w:t xml:space="preserve">tem o dado e não o usa</w:t>
      </w:r>
      <w:r>
        <w:t xml:space="preserve">. Nenhuma dessas restrições é verificada hoje, nem entrou na especificação do motor de sugestão do DSA (RF-DSA-08), que é exatamente onde teria maior valor.</w:t>
      </w:r>
    </w:p>
    <w:p>
      <w:pPr>
        <w:pStyle w:val="BodyText"/>
      </w:pPr>
      <w:r>
        <w:rPr>
          <w:bCs/>
          <w:b/>
        </w:rPr>
        <w:t xml:space="preserve">Ponto que exige confirmação.</w:t>
      </w:r>
      <w:r>
        <w:t xml:space="preserve"> </w:t>
      </w:r>
      <w:r>
        <w:t xml:space="preserve">A regra RN-2027-04 aloca Prova Mista como bloco fechado de</w:t>
      </w:r>
      <w:r>
        <w:t xml:space="preserve"> </w:t>
      </w:r>
      <w:r>
        <w:rPr>
          <w:bCs/>
          <w:b/>
        </w:rPr>
        <w:t xml:space="preserve">3 TA contíguos</w:t>
      </w:r>
      <w:r>
        <w:t xml:space="preserve">. Se uma avaliação for considerada</w:t>
      </w:r>
      <w:r>
        <w:t xml:space="preserve"> </w:t>
      </w:r>
      <w:r>
        <w:t xml:space="preserve">“</w:t>
      </w:r>
      <w:r>
        <w:t xml:space="preserve">técnica de ensino</w:t>
      </w:r>
      <w:r>
        <w:t xml:space="preserve">”</w:t>
      </w:r>
      <w:r>
        <w:t xml:space="preserve"> </w:t>
      </w:r>
      <w:r>
        <w:t xml:space="preserve">para efeito da regra de sequenciamento, haveria conflito direto. A leitura desta auditoria é que avaliação não é técnica de ensino e portanto não há conflito — mas a interpretação deve ser confirmada com a CIAARA-12.1 (Seção de Orientação Pedagógica), que é a área competente.</w:t>
      </w:r>
    </w:p>
    <w:p>
      <w:pPr>
        <w:pStyle w:val="BodyText"/>
      </w:pPr>
      <w:r>
        <w:rPr>
          <w:bCs/>
          <w:b/>
        </w:rPr>
        <w:t xml:space="preserve">Proposta P-9.</w:t>
      </w:r>
      <w:r>
        <w:t xml:space="preserve"> </w:t>
      </w:r>
      <w:r>
        <w:rPr>
          <w:bCs/>
          <w:b/>
        </w:rPr>
        <w:t xml:space="preserve">❌ Rejeitada explicitamente pelo responsável</w:t>
      </w:r>
      <w:r>
        <w:t xml:space="preserve"> </w:t>
      </w:r>
      <w:r>
        <w:t xml:space="preserve">em 01/08/2026 (</w:t>
      </w:r>
      <w:r>
        <w:t xml:space="preserve">“</w:t>
      </w:r>
      <w:r>
        <w:t xml:space="preserve">é uma regra muito exigente e será desconsiderada</w:t>
      </w:r>
      <w:r>
        <w:t xml:space="preserve">”</w:t>
      </w:r>
      <w:r>
        <w:t xml:space="preserve"> </w:t>
      </w:r>
      <w:r>
        <w:t xml:space="preserve">— ver Nota de execução, item 3, sobre a numeração citada pelo responsável como</w:t>
      </w:r>
      <w:r>
        <w:t xml:space="preserve"> </w:t>
      </w:r>
      <w:r>
        <w:t xml:space="preserve">“</w:t>
      </w:r>
      <w:r>
        <w:t xml:space="preserve">P-10</w:t>
      </w:r>
      <w:r>
        <w:t xml:space="preserve">”</w:t>
      </w:r>
      <w:r>
        <w:t xml:space="preserve">). Não gera nenhum RF, RN ou critério de aceitação nesta versão. Registrado para memória em documento 03, RNF-NORM-04 [REJEITADO — v1.3].</w:t>
      </w:r>
    </w:p>
    <w:bookmarkEnd w:id="29"/>
    <w:bookmarkStart w:id="30" w:name="Xb3e18a37a378d3ba67248f647782577f8821c47"/>
    <w:p>
      <w:pPr>
        <w:pStyle w:val="Heading3"/>
      </w:pPr>
      <w:r>
        <w:t xml:space="preserve">A-8 · Seleção de instrutores por disciplina indisponível — Severidade: Média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t xml:space="preserve">A observação 02#5 relata que a funcionalidade de selecionar instrutores para uma disciplina existiu em versão anterior e não está disponível na versão corrente. A conferência da base é consistente com uma regressão:</w:t>
      </w:r>
      <w:r>
        <w:t xml:space="preserve"> </w:t>
      </w:r>
      <w:r>
        <w:rPr>
          <w:rStyle w:val="VerbatimChar"/>
        </w:rPr>
        <w:t xml:space="preserve">Cad_Matérias</w:t>
      </w:r>
      <w:r>
        <w:t xml:space="preserve"> </w:t>
      </w:r>
      <w:r>
        <w:t xml:space="preserve">mantém a coluna</w:t>
      </w:r>
      <w:r>
        <w:t xml:space="preserve"> </w:t>
      </w:r>
      <w:r>
        <w:rPr>
          <w:rStyle w:val="VerbatimChar"/>
        </w:rPr>
        <w:t xml:space="preserve">ID_Instrutor</w:t>
      </w:r>
      <w:r>
        <w:t xml:space="preserve"> </w:t>
      </w:r>
      <w:r>
        <w:t xml:space="preserve">(lista de IDs) e a coluna derivada</w:t>
      </w:r>
      <w:r>
        <w:t xml:space="preserve"> </w:t>
      </w:r>
      <w:r>
        <w:rPr>
          <w:rStyle w:val="VerbatimChar"/>
        </w:rPr>
        <w:t xml:space="preserve">Instrutores_Selecionados</w:t>
      </w:r>
      <w:r>
        <w:t xml:space="preserve">, e a aba</w:t>
      </w:r>
      <w:r>
        <w:t xml:space="preserve"> </w:t>
      </w:r>
      <w:r>
        <w:rPr>
          <w:rStyle w:val="VerbatimChar"/>
        </w:rPr>
        <w:t xml:space="preserve">Instrutor_Materia</w:t>
      </w:r>
      <w:r>
        <w:t xml:space="preserve"> </w:t>
      </w:r>
      <w:r>
        <w:t xml:space="preserve">mantém 798 vínculos de habilitação — ou seja,</w:t>
      </w:r>
      <w:r>
        <w:t xml:space="preserve"> </w:t>
      </w:r>
      <w:r>
        <w:rPr>
          <w:bCs/>
          <w:b/>
        </w:rPr>
        <w:t xml:space="preserve">a estrutura de dados está íntegra</w:t>
      </w:r>
      <w:r>
        <w:t xml:space="preserve">; o que falta é o ponto de entrada na interface. Não é perda de dado, é perda de acesso.</w:t>
      </w:r>
    </w:p>
    <w:p>
      <w:pPr>
        <w:pStyle w:val="BodyText"/>
      </w:pPr>
      <w:r>
        <w:rPr>
          <w:bCs/>
          <w:b/>
        </w:rPr>
        <w:t xml:space="preserve">Proposta:</w:t>
      </w:r>
      <w:r>
        <w:t xml:space="preserve"> </w:t>
      </w:r>
      <w:r>
        <w:t xml:space="preserve">tratada como correção funcional direta (documento 02, RF-MATERIAS-05), sem necessidade de decisão estrutural.</w:t>
      </w:r>
    </w:p>
    <w:bookmarkEnd w:id="30"/>
    <w:bookmarkStart w:id="31" w:name="X6d9c913cd3975087a5b0520b6766303bf8a4c72"/>
    <w:p>
      <w:pPr>
        <w:pStyle w:val="Heading3"/>
      </w:pPr>
      <w:r>
        <w:t xml:space="preserve">A-9 · Exposição de conformidade em capacitação didática — Severidade: Média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rPr>
          <w:bCs/>
          <w:b/>
        </w:rPr>
        <w:t xml:space="preserve">148 dos 177 instrutores (83,6%) não têm capacitação didática registrada.</w:t>
      </w:r>
      <w:r>
        <w:t xml:space="preserve"> </w:t>
      </w:r>
      <w:r>
        <w:t xml:space="preserve">A norma (Regras §5.3) permite que militares sem curso de técnica de ensino atuem por</w:t>
      </w:r>
      <w:r>
        <w:t xml:space="preserve"> </w:t>
      </w:r>
      <w:r>
        <w:rPr>
          <w:bCs/>
          <w:b/>
        </w:rPr>
        <w:t xml:space="preserve">no máximo 1 ano</w:t>
      </w:r>
      <w:r>
        <w:t xml:space="preserve">, condicionados à primeira capacitação disponível; a Matriz atribui à CIAARA-12.1, em interface com a CIAARA-11, formalizar esse período de orientação. O PCQD exige ainda que</w:t>
      </w:r>
      <w:r>
        <w:t xml:space="preserve"> </w:t>
      </w:r>
      <w:r>
        <w:rPr>
          <w:bCs/>
          <w:b/>
        </w:rPr>
        <w:t xml:space="preserve">100% dos docentes</w:t>
      </w:r>
      <w:r>
        <w:t xml:space="preserve"> </w:t>
      </w:r>
      <w:r>
        <w:t xml:space="preserve">participem de ao menos um evento de capacitação a cada três anos.</w:t>
      </w:r>
    </w:p>
    <w:p>
      <w:pPr>
        <w:pStyle w:val="BodyText"/>
      </w:pPr>
      <w:r>
        <w:t xml:space="preserve">O sistema já possui os campos</w:t>
      </w:r>
      <w:r>
        <w:t xml:space="preserve"> </w:t>
      </w:r>
      <w:r>
        <w:rPr>
          <w:rStyle w:val="VerbatimChar"/>
        </w:rPr>
        <w:t xml:space="preserve">Capacitação Didática</w:t>
      </w:r>
      <w:r>
        <w:t xml:space="preserve">,</w:t>
      </w:r>
      <w:r>
        <w:t xml:space="preserve"> </w:t>
      </w:r>
      <w:r>
        <w:rPr>
          <w:rStyle w:val="VerbatimChar"/>
        </w:rPr>
        <w:t xml:space="preserve">Início da Docência na MB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Início da Docência no CIAARA</w:t>
      </w:r>
      <w:r>
        <w:t xml:space="preserve"> </w:t>
      </w:r>
      <w:r>
        <w:t xml:space="preserve">— tem, portanto, os dados necessários para calcular a janela de um ano e sinalizar os casos vencidos, sem nenhuma coleta adicional.</w:t>
      </w:r>
    </w:p>
    <w:p>
      <w:pPr>
        <w:pStyle w:val="BodyText"/>
      </w:pPr>
      <w:r>
        <w:rPr>
          <w:bCs/>
          <w:b/>
        </w:rPr>
        <w:t xml:space="preserve">Ressalva importante.</w:t>
      </w:r>
      <w:r>
        <w:t xml:space="preserve"> </w:t>
      </w:r>
      <w:r>
        <w:t xml:space="preserve">Não é possível, com os dados disponíveis, distinguir</w:t>
      </w:r>
      <w:r>
        <w:t xml:space="preserve"> </w:t>
      </w:r>
      <w:r>
        <w:rPr>
          <w:bCs/>
          <w:b/>
        </w:rPr>
        <w:t xml:space="preserve">lacuna de cadastro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exposição normativa real</w:t>
      </w:r>
      <w:r>
        <w:t xml:space="preserve">. Os 83,6% podem ser majoritariamente campo não preenchido. O achado aponta a ausência do controle, não a existência da irregularidade.</w:t>
      </w:r>
    </w:p>
    <w:p>
      <w:pPr>
        <w:pStyle w:val="BodyText"/>
      </w:pPr>
      <w:r>
        <w:rPr>
          <w:bCs/>
          <w:b/>
        </w:rPr>
        <w:t xml:space="preserve">Proposta P-10.</w:t>
      </w:r>
      <w:r>
        <w:t xml:space="preserve"> </w:t>
      </w:r>
      <w:r>
        <w:rPr>
          <w:bCs/>
          <w:b/>
        </w:rPr>
        <w:t xml:space="preserve">✅ Aprovada e implementada, como alerta (não bloqueio)</w:t>
      </w:r>
      <w:r>
        <w:t xml:space="preserve"> </w:t>
      </w:r>
      <w:r>
        <w:t xml:space="preserve">— ver R-4. Requisito: documento 02, RF-INSTR-16; requisito não-funcional: documento 03, RNF-NORM-05 revisado.</w:t>
      </w:r>
    </w:p>
    <w:bookmarkEnd w:id="31"/>
    <w:bookmarkStart w:id="32" w:name="X8cc768265ce2fda9098a8692a8c0774d7126646"/>
    <w:p>
      <w:pPr>
        <w:pStyle w:val="Heading3"/>
      </w:pPr>
      <w:r>
        <w:t xml:space="preserve">A-10 · Duplicata de disciplina migrou de curso; contorno não a alcança — Severidade: Média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t xml:space="preserve">A observação 04#3 afirma que as duplicatas do C-Ap-FR foram removidas.</w:t>
      </w:r>
      <w:r>
        <w:t xml:space="preserve"> </w:t>
      </w:r>
      <w:r>
        <w:rPr>
          <w:bCs/>
          <w:b/>
        </w:rPr>
        <w:t xml:space="preserve">Confirmado</w:t>
      </w:r>
      <w:r>
        <w:t xml:space="preserve"> </w:t>
      </w:r>
      <w:r>
        <w:t xml:space="preserve">— a conferência não encontra nenhuma duplicata naquele curso. Contudo, a mesma verificação encontrou</w:t>
      </w:r>
      <w:r>
        <w:t xml:space="preserve"> </w:t>
      </w:r>
      <w:r>
        <w:rPr>
          <w:bCs/>
          <w:b/>
        </w:rPr>
        <w:t xml:space="preserve">uma duplicata nova</w:t>
      </w:r>
      <w:r>
        <w:t xml:space="preserve">:</w:t>
      </w:r>
      <w:r>
        <w:t xml:space="preserve"> </w:t>
      </w:r>
      <w:r>
        <w:rPr>
          <w:rStyle w:val="VerbatimChar"/>
        </w:rPr>
        <w:t xml:space="preserve">C-Esp-ALH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ALH-II</w:t>
      </w:r>
      <w:r>
        <w:t xml:space="preserve">, em duas linhas. Como a função de contorno em tempo de leitura é escrita especificamente para o C-Ap-FR, ela</w:t>
      </w:r>
      <w:r>
        <w:t xml:space="preserve"> </w:t>
      </w:r>
      <w:r>
        <w:rPr>
          <w:bCs/>
          <w:b/>
        </w:rPr>
        <w:t xml:space="preserve">não captura</w:t>
      </w:r>
      <w:r>
        <w:t xml:space="preserve"> </w:t>
      </w:r>
      <w:r>
        <w:t xml:space="preserve">este caso — a disciplina é contada duas vezes nos cálculos.</w:t>
      </w:r>
    </w:p>
    <w:p>
      <w:pPr>
        <w:pStyle w:val="BodyText"/>
      </w:pPr>
      <w:r>
        <w:t xml:space="preserve">O padrão importa mais que a instância: o contorno resolveu um sintoma em um curso e não impediu a recorrência do problema em outro. A correção durável é uma validação genérica de unicidade</w:t>
      </w:r>
      <w:r>
        <w:t xml:space="preserve"> </w:t>
      </w:r>
      <w:r>
        <w:rPr>
          <w:rStyle w:val="VerbatimChar"/>
        </w:rPr>
        <w:t xml:space="preserve">ID_Curso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Cod_Matéria</w:t>
      </w:r>
      <w:r>
        <w:t xml:space="preserve">, e não um novo contorno específico.</w:t>
      </w:r>
    </w:p>
    <w:p>
      <w:pPr>
        <w:pStyle w:val="BodyText"/>
      </w:pPr>
      <w:r>
        <w:rPr>
          <w:bCs/>
          <w:b/>
        </w:rPr>
        <w:t xml:space="preserve">Proposta P-11.</w:t>
      </w:r>
      <w:r>
        <w:t xml:space="preserve"> </w:t>
      </w:r>
      <w:r>
        <w:rPr>
          <w:bCs/>
          <w:b/>
        </w:rPr>
        <w:t xml:space="preserve">✅ Aprovada e implementada.</w:t>
      </w:r>
      <w:r>
        <w:t xml:space="preserve"> </w:t>
      </w:r>
      <w:r>
        <w:t xml:space="preserve">Requisito: documento 02, RF-DADOS-06; regra: documento 04, nota de RN-MAT-02 estendida (31/07/2026).</w:t>
      </w:r>
    </w:p>
    <w:bookmarkEnd w:id="32"/>
    <w:bookmarkStart w:id="33" w:name="Xfac342941085d68d5bdd7ea3a523dcb60709acf"/>
    <w:p>
      <w:pPr>
        <w:pStyle w:val="Heading3"/>
      </w:pPr>
      <w:r>
        <w:t xml:space="preserve">A-11 · Exclusão lógica de instrutor nunca exercitada em produção — Severidade: Baixa</w:t>
      </w:r>
    </w:p>
    <w:p>
      <w:pPr>
        <w:pStyle w:val="FirstParagraph"/>
      </w:pPr>
      <w:r>
        <w:rPr>
          <w:bCs/>
          <w:b/>
        </w:rPr>
        <w:t xml:space="preserve">Evidência.</w:t>
      </w:r>
      <w:r>
        <w:t xml:space="preserve"> </w:t>
      </w:r>
      <w:r>
        <w:t xml:space="preserve">A coluna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Cad_Instrutor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vazia nos 177 registros</w:t>
      </w:r>
      <w:r>
        <w:t xml:space="preserve">. A regra RN-INST-02 é classificada como regra de negócio de risco Alto a preservar, e o código a implementa — mas nenhum instrutor foi jamais desativado. Todo o comportamento dependente (ocultar de novas atribuições, preservar em histórico, reativar) está sem qualquer cobertura empírica. Some-se a isso que a semântica atual depende de interpretar célula vazia como</w:t>
      </w:r>
      <w:r>
        <w:t xml:space="preserve"> </w:t>
      </w:r>
      <w:r>
        <w:t xml:space="preserve">“</w:t>
      </w:r>
      <w:r>
        <w:t xml:space="preserve">ativo</w:t>
      </w:r>
      <w:r>
        <w:t xml:space="preserve">”</w:t>
      </w:r>
      <w:r>
        <w:t xml:space="preserve">, o que é frágil.</w:t>
      </w:r>
    </w:p>
    <w:p>
      <w:pPr>
        <w:pStyle w:val="BodyText"/>
      </w:pPr>
      <w:r>
        <w:rPr>
          <w:bCs/>
          <w:b/>
        </w:rPr>
        <w:t xml:space="preserve">Proposta P-12.</w:t>
      </w:r>
      <w:r>
        <w:t xml:space="preserve"> </w:t>
      </w:r>
      <w:r>
        <w:rPr>
          <w:bCs/>
          <w:b/>
        </w:rPr>
        <w:t xml:space="preserve">✅ Aprovada e implementada.</w:t>
      </w:r>
      <w:r>
        <w:t xml:space="preserve"> </w:t>
      </w:r>
      <w:r>
        <w:t xml:space="preserve">Requisito: documento 02, RF-DADOS-07; regra: documento 04, RN-INST-05 [NOVA — v1.3].</w:t>
      </w:r>
    </w:p>
    <w:bookmarkEnd w:id="33"/>
    <w:bookmarkStart w:id="34" w:name="X0c78b947ac90e544deee8a93e421449d7833819"/>
    <w:p>
      <w:pPr>
        <w:pStyle w:val="Heading3"/>
      </w:pPr>
      <w:r>
        <w:t xml:space="preserve">A-12 · Lacunas de cobertura da Fase 1 — Severidade: Média</w:t>
      </w:r>
    </w:p>
    <w:p>
      <w:pPr>
        <w:pStyle w:val="FirstParagraph"/>
      </w:pPr>
      <w:r>
        <w:t xml:space="preserve">Auditoria de completude por categoria exigida: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Funcionais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Cobertos; ampliados nesta revisão com RF-HOR (regime/horário), RF-2027-04/05 (planejamento editável), RF-CRONOS-09/10 (salas), RF-AVAL-05/06, RF-INSTR-13/14/15, RF-MATERIAS-05/06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Não-Funcionais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Cobertos;</w:t>
            </w:r>
            <w:r>
              <w:t xml:space="preserve"> </w:t>
            </w:r>
            <w:r>
              <w:rPr>
                <w:bCs/>
                <w:b/>
              </w:rPr>
              <w:t xml:space="preserve">lacuna corrigida nesta revisão</w:t>
            </w:r>
            <w:r>
              <w:t xml:space="preserve"> </w:t>
            </w:r>
            <w:r>
              <w:t xml:space="preserve">com a nova seção 10 (Conformidade Normativa), inexistente até aqui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Coberto; vocabulário alinhado ao SEN nesta revisão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Restrições de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Era a maior lacuna da Fase 1</w:t>
            </w:r>
            <w:r>
              <w:t xml:space="preserve"> </w:t>
            </w:r>
            <w:r>
              <w:t xml:space="preserve">— não havia nenhum tratamento de conformidade normativa. Corrigida com RNF-NORM-01 a 07 e com a classificação de conformidade do documento 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 de Permissões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Coberta, mas com três perfis sem correspondência regimental (documento 01, seção 2.3) e</w:t>
            </w:r>
            <w:r>
              <w:t xml:space="preserve"> </w:t>
            </w:r>
            <w:r>
              <w:rPr>
                <w:bCs/>
                <w:b/>
              </w:rPr>
              <w:t xml:space="preserve">sem dados</w:t>
            </w:r>
            <w:r>
              <w:t xml:space="preserve">: a aba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tem 4 registros para um modelo de nove perfis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Corrigido nesta revisão: seis atores institucionais estavam ausentes e o nome da CIAARA-12 estava incorreto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Resolvida — v1.3</w:t>
            </w:r>
            <w:r>
              <w:t xml:space="preserve"> </w:t>
            </w:r>
            <w:r>
              <w:t xml:space="preserve">(recomendação R-6): documento 04 já classifica cada regra por origem normativa/interna (RNF-NORM-07);</w:t>
            </w:r>
            <w:r>
              <w:t xml:space="preserve"> </w:t>
            </w:r>
            <w:r>
              <w:t xml:space="preserve">“</w:t>
            </w:r>
            <w:r>
              <w:t xml:space="preserve">Matéria</w:t>
            </w:r>
            <w:r>
              <w:t xml:space="preserve">”</w:t>
            </w:r>
            <w:r>
              <w:t xml:space="preserve"> </w:t>
            </w:r>
            <w:r>
              <w:t xml:space="preserve">adotado explicitamente como sinônimo transitório de</w:t>
            </w:r>
            <w:r>
              <w:t xml:space="preserve"> </w:t>
            </w:r>
            <w:r>
              <w:t xml:space="preserve">“</w:t>
            </w:r>
            <w:r>
              <w:t xml:space="preserve">Disciplina</w:t>
            </w:r>
            <w:r>
              <w:t xml:space="preserve">”</w:t>
            </w:r>
            <w:r>
              <w:t xml:space="preserve"> </w:t>
            </w:r>
            <w:r>
              <w:t xml:space="preserve">no documento 07, com nota de convergência terminológica (P-14)</w:t>
            </w:r>
          </w:p>
        </w:tc>
      </w:tr>
    </w:tbl>
    <w:p>
      <w:pPr>
        <w:pStyle w:val="BodyText"/>
      </w:pPr>
      <w:r>
        <w:rPr>
          <w:bCs/>
          <w:b/>
        </w:rPr>
        <w:t xml:space="preserve">Duas pendências operacionais persistem desde a primeira versão e continuam sem solução:</w:t>
      </w:r>
      <w:r>
        <w:t xml:space="preserve"> </w:t>
      </w:r>
      <w:r>
        <w:t xml:space="preserve">a aba</w:t>
      </w:r>
      <w:r>
        <w:t xml:space="preserve"> </w:t>
      </w:r>
      <w:r>
        <w:rPr>
          <w:rStyle w:val="VerbatimChar"/>
        </w:rPr>
        <w:t xml:space="preserve">Responsaveis_Curso</w:t>
      </w:r>
      <w:r>
        <w:t xml:space="preserve"> </w:t>
      </w:r>
      <w:r>
        <w:t xml:space="preserve">permanece</w:t>
      </w:r>
      <w:r>
        <w:t xml:space="preserve"> </w:t>
      </w:r>
      <w:r>
        <w:rPr>
          <w:bCs/>
          <w:b/>
        </w:rPr>
        <w:t xml:space="preserve">com zero registros</w:t>
      </w:r>
      <w:r>
        <w:t xml:space="preserve">, o que significa que todo DSA impresso sai sem assinatura; e a aba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mantém apenas 4 registros.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auditoria-de-escopo-anti-gold-plating"/>
    <w:p>
      <w:pPr>
        <w:pStyle w:val="Heading2"/>
      </w:pPr>
      <w:r>
        <w:t xml:space="preserve">3. Auditoria de escopo — anti-gold plating</w:t>
      </w:r>
    </w:p>
    <w:p>
      <w:pPr>
        <w:pStyle w:val="FirstParagraph"/>
      </w:pPr>
      <w:r>
        <w:t xml:space="preserve">O sistema é o da</w:t>
      </w:r>
      <w:r>
        <w:t xml:space="preserve"> </w:t>
      </w:r>
      <w:r>
        <w:rPr>
          <w:bCs/>
          <w:b/>
        </w:rPr>
        <w:t xml:space="preserve">Divisão de Administração Acadêmica (CIAARA-11)</w:t>
      </w:r>
      <w:r>
        <w:t xml:space="preserve">, não do Centro inteiro. Este é o critério objetivo de contenção, e a Matriz de Responsabilidades permite aplicá-lo com precisão. Quatro pontos merecem atenção:</w:t>
      </w:r>
    </w:p>
    <w:bookmarkStart w:id="36" w:name="X358985616f6a8bd92d2c6a0b42dbf0b70945b5d"/>
    <w:p>
      <w:pPr>
        <w:pStyle w:val="Heading3"/>
      </w:pPr>
      <w:r>
        <w:t xml:space="preserve">G-1 · Motor de sugestão automática do DSA (RF-DSA-08) — risco alto de inchaço</w:t>
      </w:r>
    </w:p>
    <w:p>
      <w:pPr>
        <w:pStyle w:val="FirstParagraph"/>
      </w:pPr>
      <w:r>
        <w:t xml:space="preserve">Inspirado no FET, é o requisito de maior complexidade algorítmica de toda a v2.0: envolve prioridade de disciplina, limites diário e semanal, preferências e restrições gerais e semanais por instrutor. É um problema de</w:t>
      </w:r>
      <w:r>
        <w:t xml:space="preserve"> </w:t>
      </w:r>
      <w:r>
        <w:rPr>
          <w:iCs/>
          <w:i/>
        </w:rPr>
        <w:t xml:space="preserve">timetabling</w:t>
      </w:r>
      <w:r>
        <w:t xml:space="preserve">, NP-difícil na forma geral, sendo especificado como acréscimo a uma versão cujo propósito declarado é reestruturação.</w:t>
      </w:r>
    </w:p>
    <w:p>
      <w:pPr>
        <w:pStyle w:val="BodyText"/>
      </w:pPr>
      <w:r>
        <w:rPr>
          <w:bCs/>
          <w:b/>
        </w:rPr>
        <w:t xml:space="preserve">Recomendação (✅ acatada — R-5):</w:t>
      </w:r>
      <w:r>
        <w:t xml:space="preserve"> </w:t>
      </w:r>
      <w:r>
        <w:t xml:space="preserve">manter no escopo, mas</w:t>
      </w:r>
      <w:r>
        <w:t xml:space="preserve"> </w:t>
      </w:r>
      <w:r>
        <w:rPr>
          <w:bCs/>
          <w:b/>
        </w:rPr>
        <w:t xml:space="preserve">fatiar</w:t>
      </w:r>
      <w:r>
        <w:t xml:space="preserve">. Entregar primeiro uma sugestão simples e determinística (distribuir a disciplina mais apertada nos espaços livres respeitando os tetos rígidos), medir a taxa de aproveitamento real pelo operador e só então decidir se vale sofisticar. Um motor sofisticado cuja sugestão seja descartada em 80% dos casos é esforço perdido.</w:t>
      </w:r>
      <w:r>
        <w:t xml:space="preserve"> </w:t>
      </w:r>
      <w:r>
        <w:rPr>
          <w:bCs/>
          <w:b/>
        </w:rPr>
        <w:t xml:space="preserve">Restrições de sequenciamento pedagógico (A-7/P-9) foram rejeitadas pelo responsável em 01/08/2026 e não entram em nenhuma entrega desta versão</w:t>
      </w:r>
      <w:r>
        <w:t xml:space="preserve"> </w:t>
      </w:r>
      <w:r>
        <w:t xml:space="preserve">— a ressalva original desta recomendação tornou-se, na prática, a decisão final.</w:t>
      </w:r>
    </w:p>
    <w:bookmarkEnd w:id="36"/>
    <w:bookmarkStart w:id="37" w:name="X8c5068f9a3c5ce921d3af5683bb1c5845f2c097"/>
    <w:p>
      <w:pPr>
        <w:pStyle w:val="Heading3"/>
      </w:pPr>
      <w:r>
        <w:t xml:space="preserve">G-2 · Visão de ocupação de salas (RF-CRONOS-09) — fronteira já delimitada, manter vigilância</w:t>
      </w:r>
    </w:p>
    <w:p>
      <w:pPr>
        <w:pStyle w:val="FirstParagraph"/>
      </w:pPr>
      <w:r>
        <w:t xml:space="preserve">O risco não está na visão pedida, e sim na deriva natural dela para reserva de salas, agenda de simulador, controle de laboratório e manutenção — tudo competência da</w:t>
      </w:r>
      <w:r>
        <w:t xml:space="preserve"> </w:t>
      </w:r>
      <w:r>
        <w:rPr>
          <w:bCs/>
          <w:b/>
        </w:rPr>
        <w:t xml:space="preserve">CIAARA-14</w:t>
      </w:r>
      <w:r>
        <w:t xml:space="preserve"> </w:t>
      </w:r>
      <w:r>
        <w:t xml:space="preserve">(com o Simulador de Navegação tendo controle próprio na CIAARA-14.4). A delimitação foi registrada em RF-CRONOS-10.</w:t>
      </w:r>
      <w:r>
        <w:t xml:space="preserve"> </w:t>
      </w:r>
      <w:r>
        <w:rPr>
          <w:bCs/>
          <w:b/>
        </w:rPr>
        <w:t xml:space="preserve">Recomendação:</w:t>
      </w:r>
      <w:r>
        <w:t xml:space="preserve"> </w:t>
      </w:r>
      <w:r>
        <w:t xml:space="preserve">manter estritamente leitura e planejamento; qualquer pedido de reserva ou bloqueio de recurso deve ser recusado com base na fronteira organizacional.</w:t>
      </w:r>
    </w:p>
    <w:bookmarkEnd w:id="37"/>
    <w:bookmarkStart w:id="38" w:name="Xcd9853efe4d81582a693e86d37355ad7ceeb81e"/>
    <w:p>
      <w:pPr>
        <w:pStyle w:val="Heading3"/>
      </w:pPr>
      <w:r>
        <w:t xml:space="preserve">G-3 · RBAC de nove perfis para uma base de quatro usuários — desproporção real</w:t>
      </w:r>
    </w:p>
    <w:p>
      <w:pPr>
        <w:pStyle w:val="FirstParagraph"/>
      </w:pPr>
      <w:r>
        <w:t xml:space="preserve">O modelo tem nove perfis, dois deles com atributo de escopo, para uma aba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4 registros</w:t>
      </w:r>
      <w:r>
        <w:t xml:space="preserve">. A matriz de teste correspondente (RNF-SEG-05) cresce multiplicativamente. Ainda que os perfis reflitam a estrutura regimental, construir e testar nove trilhas de permissão antes de existir gente para ocupá-las é investimento de baixo retorno.</w:t>
      </w:r>
    </w:p>
    <w:p>
      <w:pPr>
        <w:pStyle w:val="BodyTex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implementar o</w:t>
      </w:r>
      <w:r>
        <w:t xml:space="preserve"> </w:t>
      </w:r>
      <w:r>
        <w:rPr>
          <w:bCs/>
          <w:b/>
        </w:rPr>
        <w:t xml:space="preserve">modelo de dados</w:t>
      </w:r>
      <w:r>
        <w:t xml:space="preserve"> </w:t>
      </w:r>
      <w:r>
        <w:t xml:space="preserve">com os nove perfis desde já — é barato e evita migração futura —, mas</w:t>
      </w:r>
      <w:r>
        <w:t xml:space="preserve"> </w:t>
      </w:r>
      <w:r>
        <w:rPr>
          <w:bCs/>
          <w:b/>
        </w:rPr>
        <w:t xml:space="preserve">ativar e testar</w:t>
      </w:r>
      <w:r>
        <w:t xml:space="preserve"> </w:t>
      </w:r>
      <w:r>
        <w:t xml:space="preserve">inicialmente apenas os que terão ocupante real na entrada em produção. Os demais ficam declarados e inativos.</w:t>
      </w:r>
    </w:p>
    <w:bookmarkEnd w:id="38"/>
    <w:bookmarkStart w:id="39" w:name="X31cbe115951f5699112129b0c1afc7e081b355a"/>
    <w:p>
      <w:pPr>
        <w:pStyle w:val="Heading3"/>
      </w:pPr>
      <w:r>
        <w:t xml:space="preserve">G-4 · Apoio à ROTA (RF-ROTA) — corretamente contido, sem ação necessária</w:t>
      </w:r>
    </w:p>
    <w:p>
      <w:pPr>
        <w:pStyle w:val="FirstParagraph"/>
      </w:pPr>
      <w:r>
        <w:t xml:space="preserve">A decisão D7 restringiu o apoio à organização de dados existentes para preenchimento manual, sem geração automática nem integração. Confrontado com a estrutura da avaliação institucional — que envolve RAInt, RAPE, Conselho de Ensino, CAC e dimensões de corpo discente e infraestrutura, todas fora da CIAARA-11 —, o escopo definido está adequado.</w:t>
      </w:r>
      <w:r>
        <w:t xml:space="preserve"> </w:t>
      </w:r>
      <w:r>
        <w:rPr>
          <w:bCs/>
          <w:b/>
        </w:rPr>
        <w:t xml:space="preserve">Registro apenas para memória de decisão.</w:t>
      </w:r>
    </w:p>
    <w:bookmarkEnd w:id="39"/>
    <w:bookmarkStart w:id="40" w:name="X9f94b33df5771521053826861b687fd80be6d0c"/>
    <w:p>
      <w:pPr>
        <w:pStyle w:val="Heading3"/>
      </w:pPr>
      <w:r>
        <w:t xml:space="preserve">Nota inversa: um item cujo escopo está subdimensionado</w:t>
      </w:r>
    </w:p>
    <w:p>
      <w:pPr>
        <w:pStyle w:val="FirstParagraph"/>
      </w:pPr>
      <w:r>
        <w:t xml:space="preserve">Vale o contraponto. A</w:t>
      </w:r>
      <w:r>
        <w:t xml:space="preserve"> </w:t>
      </w:r>
      <w:r>
        <w:rPr>
          <w:bCs/>
          <w:b/>
        </w:rPr>
        <w:t xml:space="preserve">fronteira da decisão D5</w:t>
      </w:r>
      <w:r>
        <w:t xml:space="preserve"> </w:t>
      </w:r>
      <w:r>
        <w:t xml:space="preserve">(abandono da fórmula de média final) revelou-se, na auditoria, mais sólida do que a documentação anterior sugeria: notas, médias e situação de aprovação são competência da CIAARA-32 (Registro Escolar) e da CIAARA-12.3 (Avaliação do Ensino), com homologação de rois de notas pela CIAARA-10. A decisão deixa de ser simplificação de conveniência e passa a ser</w:t>
      </w:r>
      <w:r>
        <w:t xml:space="preserve"> </w:t>
      </w:r>
      <w:r>
        <w:rPr>
          <w:bCs/>
          <w:b/>
        </w:rPr>
        <w:t xml:space="preserve">correção de fronteira organizacional</w:t>
      </w:r>
      <w:r>
        <w:t xml:space="preserve"> </w:t>
      </w:r>
      <w:r>
        <w:t xml:space="preserve">— está agora registrada nesses termos em RNF-NORM-06 e no documento 01.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ncoerências-detectadas"/>
    <w:p>
      <w:pPr>
        <w:pStyle w:val="Heading2"/>
      </w:pPr>
      <w:r>
        <w:t xml:space="preserve">4. Incoerências detectadas</w:t>
      </w:r>
    </w:p>
    <w:p>
      <w:pPr>
        <w:pStyle w:val="FirstParagraph"/>
      </w:pPr>
      <w:r>
        <w:t xml:space="preserve">Distinguem-se as incoerências</w:t>
      </w:r>
      <w:r>
        <w:t xml:space="preserve"> </w:t>
      </w:r>
      <w:r>
        <w:rPr>
          <w:bCs/>
          <w:b/>
        </w:rPr>
        <w:t xml:space="preserve">entre normas e prática</w:t>
      </w:r>
      <w:r>
        <w:t xml:space="preserve"> </w:t>
      </w:r>
      <w:r>
        <w:t xml:space="preserve">das incoerências</w:t>
      </w:r>
      <w:r>
        <w:t xml:space="preserve"> </w:t>
      </w:r>
      <w:r>
        <w:rPr>
          <w:bCs/>
          <w:b/>
        </w:rPr>
        <w:t xml:space="preserve">internas à documentação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I-1 · Entre fontes normativas.</w:t>
      </w:r>
      <w:r>
        <w:t xml:space="preserve"> </w:t>
      </w:r>
      <w:r>
        <w:t xml:space="preserve">Glossário DEnsM §12 agrupa</w:t>
      </w:r>
      <w:r>
        <w:t xml:space="preserve"> </w:t>
      </w:r>
      <w:r>
        <w:t xml:space="preserve">“</w:t>
      </w:r>
      <w:r>
        <w:t xml:space="preserve">regime de 40h/DE: 16 a 30h de aula</w:t>
      </w:r>
      <w:r>
        <w:t xml:space="preserve">”</w:t>
      </w:r>
      <w:r>
        <w:t xml:space="preserve">; Regras §5.1 separa</w:t>
      </w:r>
      <w:r>
        <w:t xml:space="preserve"> </w:t>
      </w:r>
      <w:r>
        <w:t xml:space="preserve">“</w:t>
      </w:r>
      <w:r>
        <w:t xml:space="preserve">40h: 16 a 24h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DE: 16 a 30h</w:t>
      </w:r>
      <w:r>
        <w:t xml:space="preserve">”</w:t>
      </w:r>
      <w:r>
        <w:t xml:space="preserve">. A proposta P-2 adota a leitura mais restritiva.</w:t>
      </w:r>
      <w:r>
        <w:t xml:space="preserve"> </w:t>
      </w:r>
      <w:r>
        <w:rPr>
          <w:bCs/>
          <w:b/>
        </w:rPr>
        <w:t xml:space="preserve">Requer confirmação com a CIAARA-11.</w:t>
      </w:r>
    </w:p>
    <w:p>
      <w:pPr>
        <w:pStyle w:val="BodyText"/>
      </w:pPr>
      <w:r>
        <w:rPr>
          <w:bCs/>
          <w:b/>
        </w:rPr>
        <w:t xml:space="preserve">I-2 · Entre observações da mesma rodada.</w:t>
      </w:r>
      <w:r>
        <w:t xml:space="preserve"> </w:t>
      </w:r>
      <w:r>
        <w:t xml:space="preserve">A observação 02#2 indica regimes de</w:t>
      </w:r>
      <w:r>
        <w:t xml:space="preserve"> </w:t>
      </w:r>
      <w:r>
        <w:t xml:space="preserve">“</w:t>
      </w:r>
      <w:r>
        <w:t xml:space="preserve">8 ou 9 tempos</w:t>
      </w:r>
      <w:r>
        <w:t xml:space="preserve">”</w:t>
      </w:r>
      <w:r>
        <w:t xml:space="preserve">; a 02#4 indica</w:t>
      </w:r>
      <w:r>
        <w:t xml:space="preserve"> </w:t>
      </w:r>
      <w:r>
        <w:t xml:space="preserve">“</w:t>
      </w:r>
      <w:r>
        <w:t xml:space="preserve">7 ou 8 tempos</w:t>
      </w:r>
      <w:r>
        <w:t xml:space="preserve">”</w:t>
      </w:r>
      <w:r>
        <w:t xml:space="preserve">. A norma respalda a segunda; a base de dados respalda a primeira.</w:t>
      </w:r>
      <w:r>
        <w:t xml:space="preserve"> </w:t>
      </w:r>
      <w:r>
        <w:rPr>
          <w:bCs/>
          <w:b/>
        </w:rPr>
        <w:t xml:space="preserve">Requer decisão</w:t>
      </w:r>
      <w:r>
        <w:t xml:space="preserve"> </w:t>
      </w:r>
      <w:r>
        <w:t xml:space="preserve">(proposta P-5).</w:t>
      </w:r>
    </w:p>
    <w:p>
      <w:pPr>
        <w:pStyle w:val="BodyText"/>
      </w:pPr>
      <w:r>
        <w:rPr>
          <w:bCs/>
          <w:b/>
        </w:rPr>
        <w:t xml:space="preserve">I-3 · Entre norma e base de dados.</w:t>
      </w:r>
      <w:r>
        <w:t xml:space="preserve"> </w:t>
      </w:r>
      <w:r>
        <w:t xml:space="preserve">Config D com 9 TA/dia excede o limite de 8 sem justificativa registrada (A-3); Configs D e E não reservam a janela de almoço (A-4).</w:t>
      </w:r>
    </w:p>
    <w:p>
      <w:pPr>
        <w:pStyle w:val="BodyText"/>
      </w:pPr>
      <w:r>
        <w:rPr>
          <w:bCs/>
          <w:b/>
        </w:rPr>
        <w:t xml:space="preserve">I-4 · Entre norma e documentação interna.</w:t>
      </w:r>
      <w:r>
        <w:t xml:space="preserve"> </w:t>
      </w:r>
      <w:r>
        <w:t xml:space="preserve">Definição de</w:t>
      </w:r>
      <w:r>
        <w:t xml:space="preserve"> </w:t>
      </w:r>
      <w:r>
        <w:t xml:space="preserve">“</w:t>
      </w:r>
      <w:r>
        <w:t xml:space="preserve">Atividade Extraclasse</w:t>
      </w:r>
      <w:r>
        <w:t xml:space="preserve">”</w:t>
      </w:r>
      <w:r>
        <w:t xml:space="preserve"> </w:t>
      </w:r>
      <w:r>
        <w:t xml:space="preserve">(A-1) e teto de carga horária docente (A-2).</w:t>
      </w:r>
    </w:p>
    <w:p>
      <w:pPr>
        <w:pStyle w:val="BodyText"/>
      </w:pPr>
      <w:r>
        <w:rPr>
          <w:bCs/>
          <w:b/>
        </w:rPr>
        <w:t xml:space="preserve">I-5 · Interna à documentação, entre versões.</w:t>
      </w:r>
      <w:r>
        <w:t xml:space="preserve"> </w:t>
      </w:r>
      <w:r>
        <w:t xml:space="preserve">A revisão v1.1 propôs</w:t>
      </w:r>
      <w:r>
        <w:t xml:space="preserve"> </w:t>
      </w:r>
      <w:r>
        <w:t xml:space="preserve">“</w:t>
      </w:r>
      <w:r>
        <w:t xml:space="preserve">Margem de Capacidade</w:t>
      </w:r>
      <w:r>
        <w:t xml:space="preserve">”</w:t>
      </w:r>
      <w:r>
        <w:t xml:space="preserve"> </w:t>
      </w:r>
      <w:r>
        <w:t xml:space="preserve">para o conceito informalmente chamado de</w:t>
      </w:r>
      <w:r>
        <w:t xml:space="preserve"> </w:t>
      </w:r>
      <w:r>
        <w:t xml:space="preserve">“</w:t>
      </w:r>
      <w:r>
        <w:t xml:space="preserve">gordura</w:t>
      </w:r>
      <w:r>
        <w:t xml:space="preserve">”</w:t>
      </w:r>
      <w:r>
        <w:t xml:space="preserve">, sem saber que a grandeza tem nome normativo próprio —</w:t>
      </w:r>
      <w:r>
        <w:t xml:space="preserve"> </w:t>
      </w:r>
      <w:r>
        <w:rPr>
          <w:bCs/>
          <w:b/>
        </w:rPr>
        <w:t xml:space="preserve">Tempo Reserva (TR)</w:t>
      </w:r>
      <w:r>
        <w:t xml:space="preserve">, com teto de 10% da CHR. Corrigido no documento 07 nesta revisão:</w:t>
      </w:r>
      <w:r>
        <w:t xml:space="preserve"> </w:t>
      </w:r>
      <w:r>
        <w:t xml:space="preserve">“</w:t>
      </w:r>
      <w:r>
        <w:t xml:space="preserve">Margem de Capacidade</w:t>
      </w:r>
      <w:r>
        <w:t xml:space="preserve">”</w:t>
      </w:r>
      <w:r>
        <w:t xml:space="preserve"> </w:t>
      </w:r>
      <w:r>
        <w:t xml:space="preserve">fica restrito ao sentido algorítmico de folga instantânea.</w:t>
      </w:r>
    </w:p>
    <w:p>
      <w:pPr>
        <w:pStyle w:val="BodyText"/>
      </w:pPr>
      <w:r>
        <w:rPr>
          <w:bCs/>
          <w:b/>
        </w:rPr>
        <w:t xml:space="preserve">I-6 · Interna, entre regra preservada e requisito novo.</w:t>
      </w:r>
      <w:r>
        <w:t xml:space="preserve"> </w:t>
      </w:r>
      <w:r>
        <w:t xml:space="preserve">RN-2027-07 declara o resultado do motor não editável; RF-2027-04 exige que seja editável. Resolvido em favor do requisito novo, com a regra marcada como revertida.</w:t>
      </w:r>
    </w:p>
    <w:p>
      <w:pPr>
        <w:pStyle w:val="BodyText"/>
      </w:pPr>
      <w:r>
        <w:rPr>
          <w:bCs/>
          <w:b/>
        </w:rPr>
        <w:t xml:space="preserve">I-7 · Superada — v1.3.</w:t>
      </w:r>
      <w:r>
        <w:t xml:space="preserve"> </w:t>
      </w:r>
      <w:r>
        <w:t xml:space="preserve">RN-2027-04 (Prova Mista em bloco de 3 TA contíguos) versus a regra de no máximo 2 TA consecutivos com a mesma técnica de ensino (A-7). Com a rejeição explícita de P-9/A-7 pelo responsável, esta potencial incoerência deixa de ter efeito prático nesta versão — não há verificação de sequenciamento de técnica de ensino a confrontar com RN-2027-04. Fica registrada apenas para memória, caso a restrição seja reavaliada em versão futura.</w:t>
      </w:r>
    </w:p>
    <w:p>
      <w:pPr>
        <w:pStyle w:val="BodyText"/>
      </w:pPr>
      <w:r>
        <w:rPr>
          <w:bCs/>
          <w:b/>
        </w:rPr>
        <w:t xml:space="preserve">Não foi identificado nenhum choque entre as Normas da Marinha e o Regimento Interno do CIAARA.</w:t>
      </w:r>
      <w:r>
        <w:t xml:space="preserve"> </w:t>
      </w:r>
      <w:r>
        <w:t xml:space="preserve">O Regimento distribui competências de forma consistente com as normas da DEnsM; as incoerências encontradas são entre a</w:t>
      </w:r>
      <w:r>
        <w:t xml:space="preserve"> </w:t>
      </w:r>
      <w:r>
        <w:rPr>
          <w:bCs/>
          <w:b/>
        </w:rPr>
        <w:t xml:space="preserve">implementação do sistema</w:t>
      </w:r>
      <w:r>
        <w:t xml:space="preserve"> </w:t>
      </w:r>
      <w:r>
        <w:t xml:space="preserve">e as normas, não entre as normas entre si.</w:t>
      </w:r>
    </w:p>
    <w:p>
      <w:r>
        <w:pict>
          <v:rect style="width:0;height:1.5pt" o:hralign="center" o:hrstd="t" o:hr="t"/>
        </w:pict>
      </w:r>
    </w:p>
    <w:bookmarkEnd w:id="42"/>
    <w:bookmarkStart w:id="44" w:name="propostas-formais-status-final-01082026"/>
    <w:p>
      <w:pPr>
        <w:pStyle w:val="Heading2"/>
      </w:pPr>
      <w:r>
        <w:t xml:space="preserve">5. Propostas formais — status final (01/08/2026)</w:t>
      </w:r>
    </w:p>
    <w:p>
      <w:pPr>
        <w:pStyle w:val="FirstParagraph"/>
      </w:pPr>
      <w:r>
        <w:rPr>
          <w:bCs/>
          <w:b/>
        </w:rPr>
        <w:t xml:space="preserve">13 das 14 propostas foram aprovadas e implementadas; 1 foi explicitamente rejeitada.</w:t>
      </w:r>
      <w:r>
        <w:t xml:space="preserve"> </w:t>
      </w:r>
      <w:r>
        <w:t xml:space="preserve">Ver</w:t>
      </w:r>
      <w:r>
        <w:t xml:space="preserve"> </w:t>
      </w:r>
      <w:r>
        <w:t xml:space="preserve">“</w:t>
      </w:r>
      <w:r>
        <w:t xml:space="preserve">Nota de execução</w:t>
      </w:r>
      <w:r>
        <w:t xml:space="preserve">”</w:t>
      </w:r>
      <w:r>
        <w:t xml:space="preserve"> </w:t>
      </w:r>
      <w:r>
        <w:t xml:space="preserve">no início deste documento para as três orientações específicas do responsável.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a taxonomia de atividades (ver alternativas abaixo)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dados, cálculo de CH,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—</w:t>
            </w:r>
            <w:r>
              <w:t xml:space="preserve"> </w:t>
            </w:r>
            <w:r>
              <w:rPr>
                <w:bCs/>
                <w:b/>
              </w:rPr>
              <w:t xml:space="preserve">Alternativa 1</w:t>
            </w:r>
            <w:r>
              <w:t xml:space="preserve"> </w:t>
            </w:r>
            <w:r>
              <w:t xml:space="preserve">(não a recomendada Alt. 3), com Estudo Individual à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o teto de carga horária docente para as faixas da DGPM-103 (20h → 8-12; 40h → 16-24; DE → 16-30)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preditivo,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Tornar o planejamento anual dado de primeira classe, versionado por ano e editável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Acrescentar data de vigência à configuração de regime/horário, com imutabilidade do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os pares regime/duração admitidos e exigir justificativa registrada acima de 8 TA; corrigir Configs D e E quanto ao almoço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A-3, A-4, 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Resolvida por via distinta — fundamentação curricular, não teto genérico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Unificar agendamento e execução de avaliação num único fato que consome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Modelar o modo de atribuição da disciplina (dividido × simultâneo)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e verificar os tetos normativos AEC/TAD/TR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Cálculo,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(depende de P-1)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restrições de sequenciamento pedagógico no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Validação, motor de sugestão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Rejeitada explicitamente</w:t>
            </w:r>
            <w:r>
              <w:t xml:space="preserve"> </w:t>
            </w:r>
            <w:r>
              <w:t xml:space="preserve">pelo responsável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Alertar capacitação didática vencida (1 ano) e apoiar o PCQD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 (como alerta, R-4)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o contorno específico de curso por validação genérica de unicidade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explícito para todos os instrutores na migração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Renomear o perfil</w:t>
            </w:r>
            <w:r>
              <w:t xml:space="preserve"> </w:t>
            </w:r>
            <w:r>
              <w:t xml:space="preserve">“</w:t>
            </w:r>
            <w:r>
              <w:t xml:space="preserve">Coordenador de Curso</w:t>
            </w:r>
            <w:r>
              <w:t xml:space="preserve">”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t xml:space="preserve">“</w:t>
            </w:r>
            <w:r>
              <w:t xml:space="preserve">Encarregado de Curso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01, 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Nomenclatura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e implementada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Adotar</w:t>
            </w:r>
            <w:r>
              <w:t xml:space="preserve"> </w:t>
            </w:r>
            <w:r>
              <w:t xml:space="preserve">“</w:t>
            </w:r>
            <w:r>
              <w:t xml:space="preserve">Disciplina</w:t>
            </w:r>
            <w:r>
              <w:t xml:space="preserve">”</w:t>
            </w:r>
            <w:r>
              <w:t xml:space="preserve"> </w:t>
            </w:r>
            <w:r>
              <w:t xml:space="preserve">como termo canônico (hoje</w:t>
            </w:r>
            <w:r>
              <w:t xml:space="preserve"> </w:t>
            </w:r>
            <w:r>
              <w:t xml:space="preserve">“</w:t>
            </w:r>
            <w:r>
              <w:t xml:space="preserve">Matéria</w:t>
            </w:r>
            <w:r>
              <w:t xml:space="preserve">”</w:t>
            </w:r>
            <w:r>
              <w:t xml:space="preserve">) e vincular requisitos a critérios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A-12, Doc 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Nomenclatura, rastreabilidade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Aprovada — vocabulário de redação aplicado; renomeação física de schema registrada para a Fase 2</w:t>
            </w:r>
          </w:p>
        </w:tc>
      </w:tr>
    </w:tbl>
    <w:bookmarkStart w:id="43" w:name="detalhamento-da-p-1-três-alternativas"/>
    <w:p>
      <w:pPr>
        <w:pStyle w:val="Heading3"/>
      </w:pPr>
      <w:r>
        <w:t xml:space="preserve">Detalhamento da P-1 — três alternativas</w:t>
      </w:r>
    </w:p>
    <w:p>
      <w:pPr>
        <w:pStyle w:val="FirstParagraph"/>
      </w:pPr>
      <w:r>
        <w:rPr>
          <w:bCs/>
          <w:b/>
        </w:rPr>
        <w:t xml:space="preserve">Alternativa 1 — Adotar integralmente a taxonomia normativa.</w:t>
      </w:r>
      <w:r>
        <w:t xml:space="preserve"> </w:t>
      </w:r>
      <w:r>
        <w:t xml:space="preserve">Substituir as três categorias por quatro grandezas:</w:t>
      </w:r>
      <w:r>
        <w:t xml:space="preserve"> </w:t>
      </w:r>
      <w:r>
        <w:rPr>
          <w:bCs/>
          <w:b/>
        </w:rPr>
        <w:t xml:space="preserve">CHD</w:t>
      </w:r>
      <w:r>
        <w:t xml:space="preserve"> </w:t>
      </w:r>
      <w:r>
        <w:t xml:space="preserve">(aula + avaliação + vista de prova, vinculadas a disciplina),</w:t>
      </w:r>
      <w:r>
        <w:t xml:space="preserve"> </w:t>
      </w:r>
      <w:r>
        <w:rPr>
          <w:bCs/>
          <w:b/>
        </w:rPr>
        <w:t xml:space="preserve">AEC</w:t>
      </w:r>
      <w:r>
        <w:t xml:space="preserve"> </w:t>
      </w:r>
      <w:r>
        <w:t xml:space="preserve">(palestra, visita técnica, treinamento esportivo — teto 10%),</w:t>
      </w:r>
      <w:r>
        <w:t xml:space="preserve"> </w:t>
      </w:r>
      <w:r>
        <w:rPr>
          <w:bCs/>
          <w:b/>
        </w:rPr>
        <w:t xml:space="preserve">TAD</w:t>
      </w:r>
      <w:r>
        <w:t xml:space="preserve"> </w:t>
      </w:r>
      <w:r>
        <w:t xml:space="preserve">(administração — teto 5%) e</w:t>
      </w:r>
      <w:r>
        <w:t xml:space="preserve"> </w:t>
      </w:r>
      <w:r>
        <w:rPr>
          <w:bCs/>
          <w:b/>
        </w:rPr>
        <w:t xml:space="preserve">TR</w:t>
      </w:r>
      <w:r>
        <w:t xml:space="preserve"> </w:t>
      </w:r>
      <w:r>
        <w:t xml:space="preserve">(tempo reserva — teto 10%).</w:t>
      </w:r>
      <w:r>
        <w:t xml:space="preserve"> </w:t>
      </w:r>
      <w:r>
        <w:rPr>
          <w:iCs/>
          <w:i/>
        </w:rPr>
        <w:t xml:space="preserve">Vantagem:</w:t>
      </w:r>
      <w:r>
        <w:t xml:space="preserve"> </w:t>
      </w:r>
      <w:r>
        <w:t xml:space="preserve">conformidade total, tetos verificáveis, vocabulário comum com a DEnsM e com o PROENS.</w:t>
      </w:r>
      <w:r>
        <w:t xml:space="preserve"> </w:t>
      </w:r>
      <w:r>
        <w:rPr>
          <w:iCs/>
          <w:i/>
        </w:rPr>
        <w:t xml:space="preserve">Custo:</w:t>
      </w:r>
      <w:r>
        <w:t xml:space="preserve"> </w:t>
      </w:r>
      <w:r>
        <w:t xml:space="preserve">recategorizar os 663 lançamentos existentes; decidir onde entra</w:t>
      </w:r>
      <w:r>
        <w:t xml:space="preserve"> </w:t>
      </w:r>
      <w:r>
        <w:t xml:space="preserve">“</w:t>
      </w:r>
      <w:r>
        <w:t xml:space="preserve">Estudo Individual</w:t>
      </w:r>
      <w:r>
        <w:t xml:space="preserve">”</w:t>
      </w:r>
      <w:r>
        <w:t xml:space="preserve">, que é 77% do volume e não se encaixa limpo em nenhuma das quatro.</w:t>
      </w:r>
    </w:p>
    <w:p>
      <w:pPr>
        <w:pStyle w:val="BodyText"/>
      </w:pPr>
      <w:r>
        <w:rPr>
          <w:bCs/>
          <w:b/>
        </w:rPr>
        <w:t xml:space="preserve">Alternativa 2 — Manter a taxonomia interna, renomeando o termo em conflito.</w:t>
      </w:r>
      <w:r>
        <w:t xml:space="preserve"> </w:t>
      </w:r>
      <w:r>
        <w:t xml:space="preserve">Preservar o modelo de três categorias, mas trocar</w:t>
      </w:r>
      <w:r>
        <w:t xml:space="preserve"> </w:t>
      </w:r>
      <w:r>
        <w:t xml:space="preserve">“</w:t>
      </w:r>
      <w:r>
        <w:t xml:space="preserve">Atividade Extraclasse</w:t>
      </w:r>
      <w:r>
        <w:t xml:space="preserve">”</w:t>
      </w:r>
      <w:r>
        <w:t xml:space="preserve"> </w:t>
      </w:r>
      <w:r>
        <w:t xml:space="preserve">por um termo que não colida com a norma — por exemplo,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Atividade Curricular Complementar</w:t>
      </w:r>
      <w:r>
        <w:rPr>
          <w:bCs/>
          <w:b/>
        </w:rPr>
        <w:t xml:space="preserve">”</w:t>
      </w:r>
      <w:r>
        <w:t xml:space="preserve"> </w:t>
      </w:r>
      <w:r>
        <w:t xml:space="preserve">—, reservando</w:t>
      </w:r>
      <w:r>
        <w:t xml:space="preserve"> </w:t>
      </w:r>
      <w:r>
        <w:t xml:space="preserve">“</w:t>
      </w:r>
      <w:r>
        <w:t xml:space="preserve">Extraclasse/AEC</w:t>
      </w:r>
      <w:r>
        <w:t xml:space="preserve">”</w:t>
      </w:r>
      <w:r>
        <w:t xml:space="preserve"> </w:t>
      </w:r>
      <w:r>
        <w:t xml:space="preserve">ao sentido normativo.</w:t>
      </w:r>
      <w:r>
        <w:t xml:space="preserve"> </w:t>
      </w:r>
      <w:r>
        <w:rPr>
          <w:iCs/>
          <w:i/>
        </w:rPr>
        <w:t xml:space="preserve">Vantagem:</w:t>
      </w:r>
      <w:r>
        <w:t xml:space="preserve"> </w:t>
      </w:r>
      <w:r>
        <w:t xml:space="preserve">baixo custo, sem recategorização em massa.</w:t>
      </w:r>
      <w:r>
        <w:t xml:space="preserve"> </w:t>
      </w:r>
      <w:r>
        <w:rPr>
          <w:iCs/>
          <w:i/>
        </w:rPr>
        <w:t xml:space="preserve">Custo:</w:t>
      </w:r>
      <w:r>
        <w:t xml:space="preserve"> </w:t>
      </w:r>
      <w:r>
        <w:t xml:space="preserve">o sistema permanece incapaz de verificar os tetos normativos, e a comunicação com a DEnsM continua exigindo tradução mental.</w:t>
      </w:r>
    </w:p>
    <w:p>
      <w:pPr>
        <w:pStyle w:val="BodyText"/>
      </w:pPr>
      <w:r>
        <w:rPr>
          <w:bCs/>
          <w:b/>
        </w:rPr>
        <w:t xml:space="preserve">Alternativa 3 — Modelo híbrido (recomendada).</w:t>
      </w:r>
      <w:r>
        <w:t xml:space="preserve"> </w:t>
      </w:r>
      <w:r>
        <w:t xml:space="preserve">Manter as categorias operacionais que o usuário já domina, e acrescentar a cada tipo de lançamento um</w:t>
      </w:r>
      <w:r>
        <w:t xml:space="preserve"> </w:t>
      </w:r>
      <w:r>
        <w:rPr>
          <w:bCs/>
          <w:b/>
        </w:rPr>
        <w:t xml:space="preserve">campo de classificação normativa</w:t>
      </w:r>
      <w:r>
        <w:t xml:space="preserve"> </w:t>
      </w:r>
      <w:r>
        <w:t xml:space="preserve">(CHD / AEC / TAD / TR). O operador continua lançando</w:t>
      </w:r>
      <w:r>
        <w:t xml:space="preserve"> </w:t>
      </w:r>
      <w:r>
        <w:t xml:space="preserve">“</w:t>
      </w:r>
      <w:r>
        <w:t xml:space="preserve">Palestra</w:t>
      </w:r>
      <w:r>
        <w:t xml:space="preserve">”</w:t>
      </w:r>
      <w:r>
        <w:t xml:space="preserve">; o sistema sabe que aquilo é AEC e soma no teto certo.</w:t>
      </w:r>
      <w:r>
        <w:t xml:space="preserve"> </w:t>
      </w:r>
      <w:r>
        <w:rPr>
          <w:iCs/>
          <w:i/>
        </w:rPr>
        <w:t xml:space="preserve">Vantagem:</w:t>
      </w:r>
      <w:r>
        <w:t xml:space="preserve"> </w:t>
      </w:r>
      <w:r>
        <w:t xml:space="preserve">conformidade sem retreinar o usuário nem reescrever a interface; a recategorização vira uma tabela de-para aplicada uma vez na migração.</w:t>
      </w:r>
      <w:r>
        <w:t xml:space="preserve"> </w:t>
      </w:r>
      <w:r>
        <w:rPr>
          <w:iCs/>
          <w:i/>
        </w:rPr>
        <w:t xml:space="preserve">Custo:</w:t>
      </w:r>
      <w:r>
        <w:t xml:space="preserve"> </w:t>
      </w:r>
      <w:r>
        <w:t xml:space="preserve">uma coluna adicional e a manutenção da tabela de-para.</w:t>
      </w:r>
    </w:p>
    <w:p>
      <w:pPr>
        <w:pStyle w:val="BodyText"/>
      </w:pPr>
      <w:r>
        <w:rPr>
          <w:bCs/>
          <w:b/>
        </w:rPr>
        <w:t xml:space="preserve">Recomendação da auditoria: Alternativa 3.</w:t>
      </w:r>
      <w:r>
        <w:t xml:space="preserve"> </w:t>
      </w:r>
      <w:r>
        <w:t xml:space="preserve">Ela resolve A-1 e destrava P-8 com o menor impacto sobre a operação e sobre o cronograma.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comendações-de-robustez-estrutural"/>
    <w:p>
      <w:pPr>
        <w:pStyle w:val="Heading2"/>
      </w:pPr>
      <w:r>
        <w:t xml:space="preserve">6. Recomendações de robustez estrutural</w:t>
      </w:r>
    </w:p>
    <w:p>
      <w:pPr>
        <w:pStyle w:val="FirstParagraph"/>
      </w:pPr>
      <w:r>
        <w:rPr>
          <w:bCs/>
          <w:b/>
        </w:rPr>
        <w:t xml:space="preserve">Todas as 7 recomendações abaixo foram aprovadas e implementadas em 01/08/2026.</w:t>
      </w:r>
    </w:p>
    <w:p>
      <w:pPr>
        <w:pStyle w:val="BodyText"/>
      </w:pPr>
      <w:r>
        <w:rPr>
          <w:bCs/>
          <w:b/>
        </w:rPr>
        <w:t xml:space="preserve">R-1 · Sequenciar a migração pela dependência real, não pela ordem dos épicos. ✅ Implementada.</w:t>
      </w:r>
      <w:r>
        <w:t xml:space="preserve"> </w:t>
      </w:r>
      <w:r>
        <w:t xml:space="preserve">As propostas P-1, P-3, P-4, P-6 e P-7 são todas alterações de modelo de dados. Executá-las em migrações separadas multiplica risco e retrabalho. Consolidá-las em</w:t>
      </w:r>
      <w:r>
        <w:t xml:space="preserve"> </w:t>
      </w:r>
      <w:r>
        <w:rPr>
          <w:bCs/>
          <w:b/>
        </w:rPr>
        <w:t xml:space="preserve">uma única migração</w:t>
      </w:r>
      <w:r>
        <w:t xml:space="preserve">, precedida de snapshot, é sensivelmente mais seguro. A criação da planilha nova (RNF-PLAT-01) é a oportunidade natural para isso — e ela ocorre uma vez só.</w:t>
      </w:r>
      <w:r>
        <w:t xml:space="preserve"> </w:t>
      </w:r>
      <w:r>
        <w:rPr>
          <w:iCs/>
          <w:i/>
        </w:rPr>
        <w:t xml:space="preserve">Implementado em:</w:t>
      </w:r>
      <w:r>
        <w:t xml:space="preserve"> </w:t>
      </w:r>
      <w:r>
        <w:t xml:space="preserve">documento 06, Épico C (seção</w:t>
      </w:r>
      <w:r>
        <w:t xml:space="preserve"> </w:t>
      </w:r>
      <w:r>
        <w:t xml:space="preserve">“</w:t>
      </w:r>
      <w:r>
        <w:t xml:space="preserve">Nota de consolidação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R-2 · Fazer da nova planilha um marco de qualidade, não apenas de estrutura. ✅ Implementada.</w:t>
      </w:r>
      <w:r>
        <w:t xml:space="preserve"> </w:t>
      </w:r>
      <w:r>
        <w:t xml:space="preserve">A migração é a única janela em que corrigir dado é barato. Nela devem entrar: duplicata do C-Esp-ALH (A-10),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 instrutor (A-11), Configs D e E de horário (A-4), recategorização de atividades (P-1) e o povoamento de</w:t>
      </w:r>
      <w:r>
        <w:t xml:space="preserve"> </w:t>
      </w:r>
      <w:r>
        <w:rPr>
          <w:rStyle w:val="VerbatimChar"/>
        </w:rPr>
        <w:t xml:space="preserve">Responsaveis_Curso</w:t>
      </w:r>
      <w:r>
        <w:t xml:space="preserve">, pendente desde a primeira versão e que hoje faz todo DSA sair sem assinatura.</w:t>
      </w:r>
      <w:r>
        <w:t xml:space="preserve"> </w:t>
      </w:r>
      <w:r>
        <w:rPr>
          <w:iCs/>
          <w:i/>
        </w:rPr>
        <w:t xml:space="preserve">Implementado em:</w:t>
      </w:r>
      <w:r>
        <w:t xml:space="preserve"> </w:t>
      </w:r>
      <w:r>
        <w:t xml:space="preserve">documento 05, seção 7.2 (checklist de qualidade da migração, 8 itens).</w:t>
      </w:r>
    </w:p>
    <w:p>
      <w:pPr>
        <w:pStyle w:val="BodyText"/>
      </w:pPr>
      <w:r>
        <w:rPr>
          <w:bCs/>
          <w:b/>
        </w:rPr>
        <w:t xml:space="preserve">R-3 · Tratar limites normativos como configuração, não como constante em código. ✅ Implementada.</w:t>
      </w:r>
      <w:r>
        <w:t xml:space="preserve"> </w:t>
      </w:r>
      <w:r>
        <w:t xml:space="preserve">Os valores de 10%/5%/10%, as faixas de carga horária docente e os limites de TA diários são estáveis, mas</w:t>
      </w:r>
      <w:r>
        <w:t xml:space="preserve"> </w:t>
      </w:r>
      <w:r>
        <w:rPr>
          <w:bCs/>
          <w:b/>
        </w:rPr>
        <w:t xml:space="preserve">não permanentes</w:t>
      </w:r>
      <w:r>
        <w:t xml:space="preserve"> </w:t>
      </w:r>
      <w:r>
        <w:t xml:space="preserve">— normas são revisadas. Mantê-los em tabela de parâmetros, com identificação da norma de origem, evita reeditar código a cada revisão normativa. É a mesma lição já aprendida com as constantes anuais do PROENS.</w:t>
      </w:r>
      <w:r>
        <w:t xml:space="preserve"> </w:t>
      </w:r>
      <w:r>
        <w:rPr>
          <w:iCs/>
          <w:i/>
        </w:rPr>
        <w:t xml:space="preserve">Implementado em:</w:t>
      </w:r>
      <w:r>
        <w:t xml:space="preserve"> </w:t>
      </w:r>
      <w:r>
        <w:t xml:space="preserve">documento 03, RNF-NORM-08 [NOVO — v1.3].</w:t>
      </w:r>
    </w:p>
    <w:p>
      <w:pPr>
        <w:pStyle w:val="BodyText"/>
      </w:pPr>
      <w:r>
        <w:rPr>
          <w:bCs/>
          <w:b/>
        </w:rPr>
        <w:t xml:space="preserve">R-4 · Adotar alerta em vez de bloqueio para regras normativas. ✅ Implementada.</w:t>
      </w:r>
      <w:r>
        <w:t xml:space="preserve"> </w:t>
      </w:r>
      <w:r>
        <w:t xml:space="preserve">Configurações fora do padrão já existem em produção e podem ter justificativa formal registrada fora do sistema (caso dos 9 TA). Bloquear inviabilizaria a operação real; não sinalizar perpetua a opacidade. O caminho correto é</w:t>
      </w:r>
      <w:r>
        <w:t xml:space="preserve"> </w:t>
      </w:r>
      <w:r>
        <w:rPr>
          <w:bCs/>
          <w:b/>
        </w:rPr>
        <w:t xml:space="preserve">sinalizar e exigir justificativa registrada</w:t>
      </w:r>
      <w:r>
        <w:t xml:space="preserve">, mantendo a decisão com o operador e a rastreabilidade com o sistema.</w:t>
      </w:r>
      <w:r>
        <w:t xml:space="preserve"> </w:t>
      </w:r>
      <w:r>
        <w:rPr>
          <w:iCs/>
          <w:i/>
        </w:rPr>
        <w:t xml:space="preserve">Implementado em:</w:t>
      </w:r>
      <w:r>
        <w:t xml:space="preserve"> </w:t>
      </w:r>
      <w:r>
        <w:t xml:space="preserve">documento 04, RN-DEG-02 [NOVA — v1.3]; aplicado em RF-HOR-03.1 (9º TA) e RF-INSTR-16 (capacitação didática).</w:t>
      </w:r>
    </w:p>
    <w:p>
      <w:pPr>
        <w:pStyle w:val="BodyText"/>
      </w:pPr>
      <w:r>
        <w:rPr>
          <w:bCs/>
          <w:b/>
        </w:rPr>
        <w:t xml:space="preserve">R-5 · Validar o motor de sugestão do DSA contra uma semana real antes de generalizar. ✅ Implementada.</w:t>
      </w:r>
      <w:r>
        <w:t xml:space="preserve"> </w:t>
      </w:r>
      <w:r>
        <w:t xml:space="preserve">Aplicar o mesmo método já validado no projeto — testar contra o CAHO 2026 antes de generalizar. Uma semana já lançada manualmente é o melhor caso de teste possível: compara-se a sugestão com o que o operador de fato fez.</w:t>
      </w:r>
      <w:r>
        <w:t xml:space="preserve"> </w:t>
      </w:r>
      <w:r>
        <w:rPr>
          <w:iCs/>
          <w:i/>
        </w:rPr>
        <w:t xml:space="preserve">Implementado em:</w:t>
      </w:r>
      <w:r>
        <w:t xml:space="preserve"> </w:t>
      </w:r>
      <w:r>
        <w:t xml:space="preserve">documento 02, RF-DSA-08.1 [NOVO — v1.3]; documento 06, Épico H revisado.</w:t>
      </w:r>
    </w:p>
    <w:p>
      <w:pPr>
        <w:pStyle w:val="BodyText"/>
      </w:pPr>
      <w:r>
        <w:rPr>
          <w:bCs/>
          <w:b/>
        </w:rPr>
        <w:t xml:space="preserve">R-6 · Fechar a rastreabilidade requisito → regra → teste. ✅ Implementada (primeiro elo).</w:t>
      </w:r>
      <w:r>
        <w:t xml:space="preserve"> </w:t>
      </w:r>
      <w:r>
        <w:t xml:space="preserve">Cada requisito do documento 02 deveria apontar a regra do documento 04 que o sustenta e o caso de teste da Fase 4 que o verifica. Os identificadores existem; faltava o vínculo formal.</w:t>
      </w:r>
      <w:r>
        <w:t xml:space="preserve"> </w:t>
      </w:r>
      <w:r>
        <w:rPr>
          <w:iCs/>
          <w:i/>
        </w:rPr>
        <w:t xml:space="preserve">Implementado em:</w:t>
      </w:r>
      <w:r>
        <w:t xml:space="preserve"> </w:t>
      </w:r>
      <w:r>
        <w:t xml:space="preserve">documento 03, RNF-AUD-03 [NOVO — v1.3] — formaliza o vínculo requisito↔regra (já praticado nesta revisão via a linha</w:t>
      </w:r>
      <w:r>
        <w:t xml:space="preserve"> </w:t>
      </w:r>
      <w:r>
        <w:t xml:space="preserve">“</w:t>
      </w:r>
      <w:r>
        <w:t xml:space="preserve">Origem</w:t>
      </w:r>
      <w:r>
        <w:t xml:space="preserve">”</w:t>
      </w:r>
      <w:r>
        <w:t xml:space="preserve"> </w:t>
      </w:r>
      <w:r>
        <w:t xml:space="preserve">de cada RF) e registra o vínculo requisito↔teste como compromisso explícito da Fase 4, não como pendência desta fase.</w:t>
      </w:r>
    </w:p>
    <w:p>
      <w:pPr>
        <w:pStyle w:val="BodyText"/>
      </w:pPr>
      <w:r>
        <w:rPr>
          <w:bCs/>
          <w:b/>
        </w:rPr>
        <w:t xml:space="preserve">R-7 · Registrar a fronteira organizacional como critério permanente de escopo. ✅ Implementada.</w:t>
      </w:r>
      <w:r>
        <w:t xml:space="preserve"> </w:t>
      </w:r>
      <w:r>
        <w:t xml:space="preserve">A seção 0 do documento 01 —</w:t>
      </w:r>
      <w:r>
        <w:t xml:space="preserve"> </w:t>
      </w:r>
      <w:r>
        <w:t xml:space="preserve">“</w:t>
      </w:r>
      <w:r>
        <w:t xml:space="preserve">CIAARA-11 é o código da Divisão de Administração Acadêmica</w:t>
      </w:r>
      <w:r>
        <w:t xml:space="preserve">”</w:t>
      </w:r>
      <w:r>
        <w:t xml:space="preserve"> </w:t>
      </w:r>
      <w:r>
        <w:t xml:space="preserve">— é a defesa mais eficaz contra expansão de escopo nas fases seguintes, porque substitui julgamento subjetivo por um teste objetivo:</w:t>
      </w:r>
      <w:r>
        <w:t xml:space="preserve"> </w:t>
      </w:r>
      <w:r>
        <w:rPr>
          <w:iCs/>
          <w:i/>
        </w:rPr>
        <w:t xml:space="preserve">este processo é atribuído à CIAARA-11 na Matriz de Responsabilidades?</w:t>
      </w:r>
      <w:r>
        <w:t xml:space="preserve"> </w:t>
      </w:r>
      <w:r>
        <w:t xml:space="preserve">Recomenda-se aplicá-lo a toda nova solicitação da Fase 2 em diante.</w:t>
      </w:r>
      <w:r>
        <w:t xml:space="preserve"> </w:t>
      </w:r>
      <w:r>
        <w:rPr>
          <w:iCs/>
          <w:i/>
        </w:rPr>
        <w:t xml:space="preserve">Implementado em:</w:t>
      </w:r>
      <w:r>
        <w:t xml:space="preserve"> </w:t>
      </w:r>
      <w:r>
        <w:t xml:space="preserve">documento 00, seção 7 (critério permanente de contenção de escopo, novo parágrafo introdutório).</w:t>
      </w:r>
    </w:p>
    <w:p>
      <w:r>
        <w:pict>
          <v:rect style="width:0;height:1.5pt" o:hralign="center" o:hrstd="t" o:hr="t"/>
        </w:pict>
      </w:r>
    </w:p>
    <w:bookmarkEnd w:id="45"/>
    <w:bookmarkStart w:id="46" w:name="conclusão"/>
    <w:p>
      <w:pPr>
        <w:pStyle w:val="Heading2"/>
      </w:pPr>
      <w:r>
        <w:t xml:space="preserve">7. Conclusão</w:t>
      </w:r>
    </w:p>
    <w:p>
      <w:pPr>
        <w:pStyle w:val="FirstParagraph"/>
      </w:pPr>
      <w:r>
        <w:t xml:space="preserve">A Fase 1 está</w:t>
      </w:r>
      <w:r>
        <w:t xml:space="preserve"> </w:t>
      </w:r>
      <w:r>
        <w:rPr>
          <w:bCs/>
          <w:b/>
        </w:rPr>
        <w:t xml:space="preserve">completa</w:t>
      </w:r>
      <w:r>
        <w:t xml:space="preserve">: normativamente ancorada (seção 10 do documento 03; classificação de conformidade do documento 04), com as 14 propostas formais e as 7 recomendações de robustez desta auditoria</w:t>
      </w:r>
      <w:r>
        <w:t xml:space="preserve"> </w:t>
      </w:r>
      <w:r>
        <w:rPr>
          <w:bCs/>
          <w:b/>
        </w:rPr>
        <w:t xml:space="preserve">decididas e, com uma única exceção, implementadas</w:t>
      </w:r>
      <w:r>
        <w:t xml:space="preserve">, em 01/08/2026.</w:t>
      </w:r>
    </w:p>
    <w:p>
      <w:pPr>
        <w:pStyle w:val="BodyText"/>
      </w:pPr>
      <w:r>
        <w:rPr>
          <w:bCs/>
          <w:b/>
        </w:rPr>
        <w:t xml:space="preserve">Resumo final de disposição: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13 propostas aprovadas e implementadas</w:t>
      </w:r>
      <w:r>
        <w:t xml:space="preserve"> </w:t>
      </w:r>
      <w:r>
        <w:t xml:space="preserve">(P-1 a P-8, P-10 a P-14), uma delas (P-1) por uma alternativa diferente da recomendada pela auditoria (Alternativa 1, não a Alternativa 3) — decisão do responsável, registrada como tal.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 proposta resolvida por via distinta</w:t>
      </w:r>
      <w:r>
        <w:t xml:space="preserve"> </w:t>
      </w:r>
      <w:r>
        <w:t xml:space="preserve">da formulação original (P-5) — a solução veio da leitura dos currículos por curso, não de uma regra genérica de teto diário, e reverteu por completo o achado A-3 (deixou de ser defeito).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 proposta rejeitada explicitamente</w:t>
      </w:r>
      <w:r>
        <w:t xml:space="preserve"> </w:t>
      </w:r>
      <w:r>
        <w:t xml:space="preserve">(P-9, achado A-7) — restrições de sequenciamento pedagógico de técnica de ensino não entram nesta versão, por decisão direta do responsável.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7 recomendações de robustez, todas implementadas</w:t>
      </w:r>
      <w:r>
        <w:t xml:space="preserve"> </w:t>
      </w:r>
      <w:r>
        <w:t xml:space="preserve">— consolidação de migração (R-1/R-2), configuração externalizada (R-3), alerta em vez de bloqueio (R-4), fatiamento e validação do motor de sugestão (R-5), primeiro elo da rastreabilidade requisito↔regra (R-6) e formalização do critério de escopo (R-7).</w:t>
      </w:r>
    </w:p>
    <w:p>
      <w:pPr>
        <w:pStyle w:val="FirstParagraph"/>
      </w:pPr>
      <w:r>
        <w:t xml:space="preserve">Uma nota de esclarecimento fica registrada para memória do projeto: a segunda mensagem de aprovação do responsável referiu-se a</w:t>
      </w:r>
      <w:r>
        <w:t xml:space="preserve"> </w:t>
      </w:r>
      <w:r>
        <w:t xml:space="preserve">“</w:t>
      </w:r>
      <w:r>
        <w:t xml:space="preserve">P-10</w:t>
      </w:r>
      <w:r>
        <w:t xml:space="preserve">”</w:t>
      </w:r>
      <w:r>
        <w:t xml:space="preserve"> </w:t>
      </w:r>
      <w:r>
        <w:t xml:space="preserve">ao descartar a restrição de sequenciamento — mas o achado citado (A-7) identifica, sem ambiguidade, a proposta</w:t>
      </w:r>
      <w:r>
        <w:t xml:space="preserve"> </w:t>
      </w:r>
      <w:r>
        <w:rPr>
          <w:bCs/>
          <w:b/>
        </w:rPr>
        <w:t xml:space="preserve">P-9</w:t>
      </w:r>
      <w:r>
        <w:t xml:space="preserve"> </w:t>
      </w:r>
      <w:r>
        <w:t xml:space="preserve">desta auditoria como a rejeitada; a proposta efetivamente numerada P-10 (capacitação didática, A-9) não foi objeto de nenhuma objeção e foi implementada. Ver</w:t>
      </w:r>
      <w:r>
        <w:t xml:space="preserve"> </w:t>
      </w:r>
      <w:r>
        <w:t xml:space="preserve">“</w:t>
      </w:r>
      <w:r>
        <w:t xml:space="preserve">Nota de execução</w:t>
      </w:r>
      <w:r>
        <w:t xml:space="preserve">”</w:t>
      </w:r>
      <w:r>
        <w:t xml:space="preserve"> </w:t>
      </w:r>
      <w:r>
        <w:t xml:space="preserve">no início deste documento.</w:t>
      </w:r>
    </w:p>
    <w:p>
      <w:pPr>
        <w:pStyle w:val="BodyText"/>
      </w:pPr>
      <w:r>
        <w:t xml:space="preserve">A Fase 1 está pronta para servir de base à Fase 2 (Arquitetura), com o critério de contenção de escopo da recomendação R-7 (documento 00, seção 7) já em vigor para toda solicitação futura.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v2.0 — Relatório de Auditoria da Fase 1</dc:title>
  <dc:creator>Auditoria de Arquitetura — Consolidação Normativa</dc:creator>
  <cp:keywords/>
  <dcterms:created xsi:type="dcterms:W3CDTF">2026-08-26T12:09:41Z</dcterms:created>
  <dcterms:modified xsi:type="dcterms:W3CDTF">2026-08-26T12:09:41Z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01/08/2026</vt:lpwstr>
  </property>
</Properties>
</file>