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BRIEF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Contrato</w:t>
      </w:r>
      <w:r>
        <w:t xml:space="preserve"> </w:t>
      </w:r>
      <w:r>
        <w:t xml:space="preserve">de</w:t>
      </w:r>
      <w:r>
        <w:t xml:space="preserve"> </w:t>
      </w:r>
      <w:r>
        <w:t xml:space="preserve">Consistência</w:t>
      </w:r>
    </w:p>
    <w:p>
      <w:pPr>
        <w:pStyle w:val="Author"/>
      </w:pPr>
      <w:r>
        <w:t xml:space="preserve">CIAARA-11</w:t>
      </w:r>
      <w:r>
        <w:t xml:space="preserve"> </w:t>
      </w:r>
      <w:r>
        <w:t xml:space="preserve">v2.1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brief-v2.1-contrato-de-consistência"/>
    <w:p>
      <w:pPr>
        <w:pStyle w:val="Heading1"/>
      </w:pPr>
      <w:r>
        <w:t xml:space="preserve">BRIEF v2.1 — Contrato de Consistência</w:t>
      </w:r>
    </w:p>
    <w:p>
      <w:pPr>
        <w:pStyle w:val="BlockText"/>
      </w:pPr>
      <w:r>
        <w:rPr>
          <w:bCs/>
          <w:b/>
        </w:rPr>
        <w:t xml:space="preserve">Este documento é o contrato entre todos os artefatos da v2.1.</w:t>
      </w:r>
      <w:r>
        <w:t xml:space="preserve"> </w:t>
      </w:r>
      <w:r>
        <w:t xml:space="preserve">Nenhum documento, spec,</w:t>
      </w:r>
      <w:r>
        <w:t xml:space="preserve"> </w:t>
      </w:r>
      <w:r>
        <w:t xml:space="preserve">migration ou linha de código pode contradizê-lo. Se algo aqui parecer errado,</w:t>
      </w:r>
      <w:r>
        <w:t xml:space="preserve"> </w:t>
      </w:r>
      <w:r>
        <w:rPr>
          <w:bCs/>
          <w:b/>
        </w:rPr>
        <w:t xml:space="preserve">reporte —</w:t>
      </w:r>
      <w:r>
        <w:rPr>
          <w:bCs/>
          <w:b/>
        </w:rPr>
        <w:t xml:space="preserve"> </w:t>
      </w:r>
      <w:r>
        <w:rPr>
          <w:bCs/>
          <w:b/>
        </w:rPr>
        <w:t xml:space="preserve">não invente alternativa e não abra exceção local.</w:t>
      </w:r>
    </w:p>
    <w:p>
      <w:pPr>
        <w:pStyle w:val="BlockText"/>
      </w:pPr>
      <w:r>
        <w:rPr>
          <w:bCs/>
          <w:b/>
        </w:rPr>
        <w:t xml:space="preserve">Precedência:</w:t>
      </w:r>
      <w:r>
        <w:t xml:space="preserve"> </w:t>
      </w:r>
      <w:r>
        <w:t xml:space="preserve">a constitution (</w:t>
      </w:r>
      <w:r>
        <w:rPr>
          <w:rStyle w:val="VerbatimChar"/>
        </w:rPr>
        <w:t xml:space="preserve">docs/vibe-coding/40</w:t>
      </w:r>
      <w:r>
        <w:t xml:space="preserve">) vem primeiro; este documento vem</w:t>
      </w:r>
      <w:r>
        <w:t xml:space="preserve"> </w:t>
      </w:r>
      <w:r>
        <w:t xml:space="preserve">logo depois; os demais documentos herdam de ambos.</w:t>
      </w:r>
    </w:p>
    <w:p>
      <w:pPr>
        <w:pStyle w:val="BlockText"/>
      </w:pPr>
      <w:r>
        <w:rPr>
          <w:bCs/>
          <w:b/>
        </w:rPr>
        <w:t xml:space="preserve">Nota de proveniência.</w:t>
      </w:r>
      <w:r>
        <w:t xml:space="preserve"> </w:t>
      </w:r>
      <w:r>
        <w:t xml:space="preserve">Este arquivo nasceu como contrato de trabalho durante a redação</w:t>
      </w:r>
      <w:r>
        <w:t xml:space="preserve"> </w:t>
      </w:r>
      <w:r>
        <w:t xml:space="preserve">da suíte v2.1 e foi</w:t>
      </w:r>
      <w:r>
        <w:t xml:space="preserve"> </w:t>
      </w:r>
      <w:r>
        <w:rPr>
          <w:bCs/>
          <w:b/>
        </w:rPr>
        <w:t xml:space="preserve">entregue ao repositório em 26/08/2026</w:t>
      </w:r>
      <w:r>
        <w:t xml:space="preserve">, depois que a auditoria do</w:t>
      </w:r>
      <w:r>
        <w:t xml:space="preserve"> </w:t>
      </w:r>
      <w:r>
        <w:t xml:space="preserve">Épico 1 apontou que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 constitution e o documento 42 o citavam sem que ele</w:t>
      </w:r>
      <w:r>
        <w:t xml:space="preserve"> </w:t>
      </w:r>
      <w:r>
        <w:t xml:space="preserve">existisse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O conteúdo abaixo já traz as correções que a validação contra</w:t>
      </w:r>
      <w:r>
        <w:t xml:space="preserve"> </w:t>
      </w:r>
      <w:r>
        <w:t xml:space="preserve">PostgreSQL 16 e a auditoria da planilha real produziram.</w:t>
      </w:r>
    </w:p>
    <w:p>
      <w:pPr>
        <w:pStyle w:val="BlockText"/>
      </w:pPr>
      <w:r>
        <w:rPr>
          <w:bCs/>
          <w:b/>
        </w:rPr>
        <w:t xml:space="preserve">Revisão de 26/08/2026 (achados D-5 e D-6).</w:t>
      </w:r>
      <w:r>
        <w:t xml:space="preserve"> </w:t>
      </w:r>
      <w:r>
        <w:t xml:space="preserve">A primeira entrega deste arquivo não</w:t>
      </w:r>
      <w:r>
        <w:t xml:space="preserve"> </w:t>
      </w:r>
      <w:r>
        <w:t xml:space="preserve">conhecia a decisão</w:t>
      </w:r>
      <w:r>
        <w:t xml:space="preserve"> </w:t>
      </w:r>
      <w:r>
        <w:rPr>
          <w:bCs/>
          <w:b/>
        </w:rPr>
        <w:t xml:space="preserve">UE-1 rota (b)</w:t>
      </w:r>
      <w:r>
        <w:t xml:space="preserve">, tomada no mesmo dia: o §2.1 tinha 26 tabelas, sem</w:t>
      </w:r>
      <w:r>
        <w:t xml:space="preserve"> </w:t>
      </w:r>
      <w:r>
        <w:rPr>
          <w:rStyle w:val="VerbatimChar"/>
        </w:rPr>
        <w:t xml:space="preserve">unidades_ensino</w:t>
      </w:r>
      <w:r>
        <w:t xml:space="preserve">, e descrevia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no grão antigo. Como o §2.1 se declara</w:t>
      </w:r>
      <w:r>
        <w:t xml:space="preserve"> </w:t>
      </w:r>
      <w:r>
        <w:t xml:space="preserve">autoridade de nomes, ele levaria o Épico 1 a excluir a tabela que a decisão exige.</w:t>
      </w:r>
      <w:r>
        <w:t xml:space="preserve"> </w:t>
      </w:r>
      <w:r>
        <w:t xml:space="preserve">Corrigido em</w:t>
      </w:r>
      <w:r>
        <w:t xml:space="preserve"> </w:t>
      </w:r>
      <w:r>
        <w:rPr>
          <w:bCs/>
          <w:b/>
        </w:rPr>
        <w:t xml:space="preserve">§2.1</w:t>
      </w:r>
      <w:r>
        <w:t xml:space="preserve"> </w:t>
      </w:r>
      <w:r>
        <w:t xml:space="preserve">(mapa),</w:t>
      </w:r>
      <w:r>
        <w:t xml:space="preserve"> </w:t>
      </w:r>
      <w:r>
        <w:rPr>
          <w:bCs/>
          <w:b/>
        </w:rPr>
        <w:t xml:space="preserve">§2.2</w:t>
      </w:r>
      <w:r>
        <w:t xml:space="preserve"> </w:t>
      </w:r>
      <w:r>
        <w:t xml:space="preserve">(o grão do fato, novo) e</w:t>
      </w:r>
      <w:r>
        <w:t xml:space="preserve"> </w:t>
      </w:r>
      <w:r>
        <w:rPr>
          <w:bCs/>
          <w:b/>
        </w:rPr>
        <w:t xml:space="preserve">§11</w:t>
      </w:r>
      <w:r>
        <w:t xml:space="preserve"> </w:t>
      </w:r>
      <w:r>
        <w:t xml:space="preserve">(o que em</w:t>
      </w:r>
      <w:r>
        <w:t xml:space="preserve"> </w:t>
      </w:r>
      <w:r>
        <w:rPr>
          <w:rStyle w:val="VerbatimChar"/>
        </w:rPr>
        <w:t xml:space="preserve">docs/sql-referencia/</w:t>
      </w:r>
      <w:r>
        <w:t xml:space="preserve"> </w:t>
      </w:r>
      <w:r>
        <w:t xml:space="preserve">ficou para trás). D-6 está resolvido na nota ao fim do §2.1.</w:t>
      </w:r>
    </w:p>
    <w:p>
      <w:r>
        <w:pict>
          <v:rect style="width:0;height:1.5pt" o:hralign="center" o:hrstd="t" o:hr="t"/>
        </w:pict>
      </w:r>
    </w:p>
    <w:bookmarkStart w:id="20" w:name="o-que-é-a-v2.1"/>
    <w:p>
      <w:pPr>
        <w:pStyle w:val="Heading2"/>
      </w:pPr>
      <w:r>
        <w:t xml:space="preserve">0. O que é a v2.1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v2.0</w:t>
      </w:r>
      <w:r>
        <w:t xml:space="preserve"> </w:t>
      </w:r>
      <w:r>
        <w:t xml:space="preserve">é um sistema em produção: Google Apps Script + Google Sheets + Vanilla JS/Bootstrap 5,</w:t>
      </w:r>
      <w:r>
        <w:t xml:space="preserve"> </w:t>
      </w:r>
      <w:r>
        <w:t xml:space="preserve">com 39 specs Spec Kit executadas e a base já migrada e saneada.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v2.1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migração de plataforma</w:t>
      </w:r>
      <w:r>
        <w:t xml:space="preserve"> </w:t>
      </w:r>
      <w:r>
        <w:t xml:space="preserve">desse mesmo sistema para</w:t>
      </w:r>
      <w:r>
        <w:t xml:space="preserve"> </w:t>
      </w:r>
      <w:r>
        <w:rPr>
          <w:bCs/>
          <w:b/>
        </w:rPr>
        <w:t xml:space="preserve">Next.js + Supabase</w:t>
      </w:r>
      <w:r>
        <w:rPr>
          <w:bCs/>
          <w:b/>
        </w:rPr>
        <w:t xml:space="preserve"> </w:t>
      </w:r>
      <w:r>
        <w:rPr>
          <w:bCs/>
          <w:b/>
        </w:rPr>
        <w:t xml:space="preserve">(PostgreSQL)</w:t>
      </w:r>
      <w:r>
        <w:t xml:space="preserve">, mantendo intactos requisitos, regras de negócio e vocabulário institucional.</w:t>
      </w:r>
    </w:p>
    <w:p>
      <w:pPr>
        <w:pStyle w:val="BodyText"/>
      </w:pPr>
      <w:r>
        <w:rPr>
          <w:bCs/>
          <w:b/>
        </w:rPr>
        <w:t xml:space="preserve">Regra de ouro: a v2.1 não reinventa o domínio.</w:t>
      </w:r>
      <w:r>
        <w:t xml:space="preserve"> </w:t>
      </w:r>
      <w:r>
        <w:t xml:space="preserve">Ela reimplanta o mesmo domínio noutra</w:t>
      </w:r>
      <w:r>
        <w:t xml:space="preserve"> </w:t>
      </w:r>
      <w:r>
        <w:t xml:space="preserve">plataforma. Toda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, requisito</w:t>
      </w:r>
      <w:r>
        <w:t xml:space="preserve"> </w:t>
      </w:r>
      <w:r>
        <w:rPr>
          <w:rStyle w:val="VerbatimChar"/>
        </w:rPr>
        <w:t xml:space="preserve">RF-</w:t>
      </w:r>
      <w:r>
        <w:t xml:space="preserve"> </w:t>
      </w:r>
      <w:r>
        <w:t xml:space="preserve">e restrição</w:t>
      </w:r>
      <w:r>
        <w:t xml:space="preserve"> 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 v2.0 tem destino explícito:</w:t>
      </w:r>
      <w:r>
        <w:t xml:space="preserve"> </w:t>
      </w:r>
      <w:r>
        <w:rPr>
          <w:iCs/>
          <w:i/>
        </w:rPr>
        <w:t xml:space="preserve">preservada</w:t>
      </w:r>
      <w:r>
        <w:t xml:space="preserve">,</w:t>
      </w:r>
      <w:r>
        <w:t xml:space="preserve"> </w:t>
      </w:r>
      <w:r>
        <w:rPr>
          <w:iCs/>
          <w:i/>
        </w:rPr>
        <w:t xml:space="preserve">preservada com nova implementação</w:t>
      </w:r>
      <w:r>
        <w:t xml:space="preserve">,</w:t>
      </w:r>
      <w:r>
        <w:t xml:space="preserve"> </w:t>
      </w:r>
      <w:r>
        <w:rPr>
          <w:iCs/>
          <w:i/>
        </w:rPr>
        <w:t xml:space="preserve">substituída pela plataforma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aposentada</w:t>
      </w:r>
      <w:r>
        <w:t xml:space="preserve"> </w:t>
      </w:r>
      <w:r>
        <w:t xml:space="preserve">—</w:t>
      </w:r>
      <w:r>
        <w:t xml:space="preserve"> </w:t>
      </w:r>
      <w:r>
        <w:t xml:space="preserve">sempre nomeando qual.</w:t>
      </w:r>
      <w:r>
        <w:t xml:space="preserve"> </w:t>
      </w:r>
      <w:r>
        <w:rPr>
          <w:bCs/>
          <w:b/>
        </w:rPr>
        <w:t xml:space="preserve">Nenhum requisito foi apagado</w:t>
      </w:r>
      <w:r>
        <w:t xml:space="preserve">; os 120</w:t>
      </w:r>
      <w:r>
        <w:t xml:space="preserve"> </w:t>
      </w:r>
      <w:r>
        <w:rPr>
          <w:rStyle w:val="VerbatimChar"/>
        </w:rPr>
        <w:t xml:space="preserve">RF-</w:t>
      </w:r>
      <w:r>
        <w:t xml:space="preserve">, 41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e 43</w:t>
      </w:r>
      <w:r>
        <w:t xml:space="preserve"> 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</w:t>
      </w:r>
      <w:r>
        <w:t xml:space="preserve"> </w:t>
      </w:r>
      <w:r>
        <w:t xml:space="preserve">v2.0 têm destino conferido.</w:t>
      </w:r>
    </w:p>
    <w:p>
      <w:pPr>
        <w:pStyle w:val="BodyText"/>
      </w:pPr>
      <w:r>
        <w:rPr>
          <w:bCs/>
          <w:b/>
        </w:rPr>
        <w:t xml:space="preserve">A inversão que define esta versão:</w:t>
      </w:r>
      <w:r>
        <w:t xml:space="preserve"> </w:t>
      </w:r>
      <w:r>
        <w:t xml:space="preserve">na v2.0 o</w:t>
      </w:r>
      <w:r>
        <w:t xml:space="preserve"> </w:t>
      </w:r>
      <w:r>
        <w:rPr>
          <w:rStyle w:val="VerbatimChar"/>
        </w:rPr>
        <w:t xml:space="preserve">RNF-PLAT-01..04</w:t>
      </w:r>
      <w:r>
        <w:t xml:space="preserve"> </w:t>
      </w:r>
      <w:r>
        <w:t xml:space="preserve">proibia framework, banco</w:t>
      </w:r>
      <w:r>
        <w:t xml:space="preserve"> </w:t>
      </w:r>
      <w:r>
        <w:t xml:space="preserve">externo, bundler e CI/CD. Na v2.1 esses requisitos são</w:t>
      </w:r>
      <w:r>
        <w:t xml:space="preserve"> </w:t>
      </w:r>
      <w:r>
        <w:rPr>
          <w:bCs/>
          <w:b/>
        </w:rPr>
        <w:t xml:space="preserve">revogados e substituídos</w:t>
      </w:r>
      <w:r>
        <w:t xml:space="preserve">, com o texto</w:t>
      </w:r>
      <w:r>
        <w:t xml:space="preserve"> </w:t>
      </w:r>
      <w:r>
        <w:t xml:space="preserve">original preservado e marcado</w:t>
      </w:r>
      <w:r>
        <w:t xml:space="preserve"> </w:t>
      </w:r>
      <w:r>
        <w:rPr>
          <w:rStyle w:val="VerbatimChar"/>
        </w:rPr>
        <w:t xml:space="preserve">[REVOGADO — v2.1]</w:t>
      </w:r>
      <w:r>
        <w:t xml:space="preserve">. O Princípio III da constitution é reescrito,</w:t>
      </w:r>
      <w:r>
        <w:t xml:space="preserve"> </w:t>
      </w:r>
      <w:r>
        <w:t xml:space="preserve">não deletado — a trilha da v2.0 até a v2.1 precisa ser seguível.</w:t>
      </w:r>
    </w:p>
    <w:p>
      <w:pPr>
        <w:pStyle w:val="BodyText"/>
      </w:pPr>
      <w:r>
        <w:rPr>
          <w:bCs/>
          <w:b/>
        </w:rPr>
        <w:t xml:space="preserve">O que a v2.1 destrava</w:t>
      </w:r>
      <w:r>
        <w:t xml:space="preserve"> </w:t>
      </w:r>
      <w:r>
        <w:t xml:space="preserve">(citar quando couber, sem inventar escopo): deep-link e URL por tela;</w:t>
      </w:r>
      <w:r>
        <w:t xml:space="preserve"> </w:t>
      </w:r>
      <w:r>
        <w:t xml:space="preserve">integridade referencial declarativa; transações ACID; segurança no dado (RLS) e não só na função;</w:t>
      </w:r>
      <w:r>
        <w:t xml:space="preserve"> </w:t>
      </w:r>
      <w:r>
        <w:t xml:space="preserve">e ambiente de pré-visualização por branch.</w:t>
      </w:r>
    </w:p>
    <w:p>
      <w:r>
        <w:pict>
          <v:rect style="width:0;height:1.5pt" o:hralign="center" o:hrstd="t" o:hr="t"/>
        </w:pict>
      </w:r>
    </w:p>
    <w:bookmarkEnd w:id="20"/>
    <w:bookmarkStart w:id="21" w:name="stack-alvo-decidido-não-em-aberto"/>
    <w:p>
      <w:pPr>
        <w:pStyle w:val="Heading2"/>
      </w:pPr>
      <w:r>
        <w:t xml:space="preserve">1. Stack alvo — decidido, não em aberto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15+, App Router, React 19, TypeScript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Components por padrão;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só em folha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v4</w:t>
            </w:r>
            <w:r>
              <w:t xml:space="preserve"> </w:t>
            </w:r>
            <w:r>
              <w:t xml:space="preserve">(CSS-first,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Bootstrap 5 e o CSS ad hoc por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  <w:r>
              <w:t xml:space="preserve"> </w:t>
            </w:r>
            <w:r>
              <w:t xml:space="preserve">(Radix +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Copiados para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, versionados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já criado pelo Bernardo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 — e-mail/senha, somente por convite do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 público desabilitado.</w:t>
            </w:r>
            <w:r>
              <w:t xml:space="preserve"> </w:t>
            </w:r>
            <w:r>
              <w:rPr>
                <w:bCs/>
                <w:b/>
              </w:rPr>
              <w:t xml:space="preserve">Login é a primeira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no banco</w:t>
            </w:r>
            <w:r>
              <w:t xml:space="preserve"> </w:t>
            </w:r>
            <w:r>
              <w:t xml:space="preserve">+ matriz de permissões como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UI oculta por conveniência; o banco é a fronteira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a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@supabase/ssr</w:t>
            </w:r>
            <w:r>
              <w:t xml:space="preserve"> </w:t>
            </w:r>
            <w:r>
              <w:t xml:space="preserve">(servidor),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(cliente)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Actions</w:t>
            </w:r>
            <w:r>
              <w:t xml:space="preserve"> </w:t>
            </w:r>
            <w:r>
              <w:t xml:space="preserve">+ Zod na primeira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compartilhada cliente/servidor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  <w:r>
              <w:t xml:space="preserve"> </w:t>
            </w:r>
            <w:r>
              <w:t xml:space="preserve">só onde RSC não bastar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Exceção, não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) com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nuqs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; deep-link vira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Chart.js e ApexCharts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PDF/impressão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+ 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Paridade obrigatória com 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Playwright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pgTAP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, preview por branch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  <w:r>
              <w:t xml:space="preserve">, Conventional Commits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scripts/etl/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da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Proibições permanentes:</w:t>
      </w:r>
      <w:r>
        <w:t xml:space="preserve"> </w:t>
      </w:r>
      <w:r>
        <w:t xml:space="preserve">ORM que esconda o SQL (Prisma/Drizzle); banco fora do Supabase;</w:t>
      </w:r>
      <w:r>
        <w:t xml:space="preserve"> </w:t>
      </w:r>
      <w:r>
        <w:t xml:space="preserve">biblioteca de componentes além de shadcn/Radix; e</w:t>
      </w:r>
      <w:r>
        <w:t xml:space="preserve"> </w:t>
      </w:r>
      <w:r>
        <w:rPr>
          <w:bCs/>
          <w:b/>
        </w:rPr>
        <w:t xml:space="preserve">qualquer regra de negócio implementada apenas</w:t>
      </w:r>
      <w:r>
        <w:rPr>
          <w:bCs/>
          <w:b/>
        </w:rPr>
        <w:t xml:space="preserve"> </w:t>
      </w:r>
      <w:r>
        <w:rPr>
          <w:bCs/>
          <w:b/>
        </w:rPr>
        <w:t xml:space="preserve">na 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convenções-de-banco-postgresql"/>
    <w:p>
      <w:pPr>
        <w:pStyle w:val="Heading2"/>
      </w:pPr>
      <w:r>
        <w:t xml:space="preserve">2. Convenções de banco (PostgreSQL)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Identificadores: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minúsculo, sem acento, sem aspas. Tabelas no</w:t>
      </w:r>
      <w:r>
        <w:t xml:space="preserve"> </w:t>
      </w:r>
      <w:r>
        <w:rPr>
          <w:bCs/>
          <w:b/>
        </w:rPr>
        <w:t xml:space="preserve">plural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PK:</w:t>
      </w:r>
      <w:r>
        <w:t xml:space="preserve"> </w:t>
      </w:r>
      <w:r>
        <w:rPr>
          <w:rStyle w:val="VerbatimChar"/>
        </w:rPr>
        <w:t xml:space="preserve">id uuid primary key default gen_random_uuid()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Chave de negócio legada:</w:t>
      </w:r>
      <w:r>
        <w:t xml:space="preserve"> </w:t>
      </w: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guarda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da v2.0 verbatim.</w:t>
      </w:r>
      <w:r>
        <w:t xml:space="preserve"> </w:t>
      </w:r>
      <w:r>
        <w:t xml:space="preserve">É o que garante rastreabilidade 1:1 com o histórico.</w:t>
      </w:r>
      <w:r>
        <w:t xml:space="preserve"> </w:t>
      </w:r>
      <w:r>
        <w:rPr>
          <w:bCs/>
          <w:b/>
        </w:rPr>
        <w:t xml:space="preserve">FKs apontam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 nunca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rPr>
          <w:bCs/>
          <w:b/>
        </w:rPr>
        <w:t xml:space="preserve">.</w:t>
      </w:r>
      <w:r>
        <w:t xml:space="preserve"> </w:t>
      </w:r>
      <w:r>
        <w:t xml:space="preserve">Note que na base real esses códigos são legíveis, não sequenciais: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 </w:t>
      </w:r>
      <w:r>
        <w:t xml:space="preserve">é o</w:t>
      </w:r>
      <w:r>
        <w:t xml:space="preserve"> </w:t>
      </w:r>
      <w:r>
        <w:t xml:space="preserve">próprio acrônimo (</w:t>
      </w:r>
      <w:r>
        <w:rPr>
          <w:rStyle w:val="VerbatimChar"/>
        </w:rPr>
        <w:t xml:space="preserve">CAHO</w:t>
      </w:r>
      <w:r>
        <w:t xml:space="preserve">,</w:t>
      </w:r>
      <w:r>
        <w:t xml:space="preserve"> </w:t>
      </w:r>
      <w:r>
        <w:rPr>
          <w:rStyle w:val="VerbatimChar"/>
        </w:rPr>
        <w:t xml:space="preserve">C-Ap-FR</w:t>
      </w:r>
      <w:r>
        <w:t xml:space="preserve">),</w:t>
      </w:r>
      <w:r>
        <w:t xml:space="preserve"> </w:t>
      </w:r>
      <w:r>
        <w:rPr>
          <w:rStyle w:val="VerbatimChar"/>
        </w:rPr>
        <w:t xml:space="preserve">ID_Turma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C-Ap-FR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1 - CAHO - MAT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Rastro de migração:</w:t>
      </w:r>
      <w:r>
        <w:t xml:space="preserve"> </w:t>
      </w:r>
      <w:r>
        <w:rPr>
          <w:rStyle w:val="VerbatimChar"/>
        </w:rPr>
        <w:t xml:space="preserve">origem_migracao_v1 text</w:t>
      </w:r>
      <w:r>
        <w:t xml:space="preserve"> </w:t>
      </w:r>
      <w:r>
        <w:t xml:space="preserve">em toda tabela migrada + tabela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Exclusão lógica universal: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explícito (</w:t>
      </w:r>
      <w:r>
        <w:rPr>
          <w:rStyle w:val="VerbatimChar"/>
        </w:rPr>
        <w:t xml:space="preserve">ativo</w:t>
      </w:r>
      <w:r>
        <w:t xml:space="preserve">/</w:t>
      </w:r>
      <w:r>
        <w:rPr>
          <w:rStyle w:val="VerbatimChar"/>
        </w:rPr>
        <w:t xml:space="preserve">inativo</w:t>
      </w:r>
      <w:r>
        <w:t xml:space="preserve">),</w:t>
      </w:r>
      <w:r>
        <w:t xml:space="preserve"> </w:t>
      </w:r>
      <w:r>
        <w:rPr>
          <w:bCs/>
          <w:b/>
        </w:rPr>
        <w:t xml:space="preserve">nunca inferido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. Nada é apagado, e</w:t>
      </w:r>
      <w:r>
        <w:t xml:space="preserve"> </w:t>
      </w:r>
      <w:r>
        <w:rPr>
          <w:bCs/>
          <w:b/>
        </w:rPr>
        <w:t xml:space="preserve">nenhuma tabela tem policy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t xml:space="preserve"> </w:t>
      </w:r>
      <w:r>
        <w:t xml:space="preserve">— isso é regra de negócio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generalizada), não lacuna.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, por trigger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Vigência temporal:</w:t>
      </w:r>
      <w:r>
        <w:t xml:space="preserve"> </w:t>
      </w:r>
      <w:r>
        <w:rPr>
          <w:rStyle w:val="VerbatimChar"/>
        </w:rPr>
        <w:t xml:space="preserve">vigente_de date not 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vigente_ate date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vigente).</w:t>
      </w:r>
      <w:r>
        <w:t xml:space="preserve"> </w:t>
      </w:r>
      <w:r>
        <w:t xml:space="preserve">Resolução pelo maior</w:t>
      </w:r>
      <w:r>
        <w:t xml:space="preserve"> </w:t>
      </w:r>
      <w:r>
        <w:rPr>
          <w:rStyle w:val="VerbatimChar"/>
        </w:rPr>
        <w:t xml:space="preserve">vigente_de &lt;= data_do_fato</w:t>
      </w:r>
      <w:r>
        <w:t xml:space="preserve">.</w:t>
      </w:r>
      <w:r>
        <w:t xml:space="preserve"> </w:t>
      </w:r>
      <w:r>
        <w:rPr>
          <w:bCs/>
          <w:b/>
        </w:rPr>
        <w:t xml:space="preserve">Nenhuma edição reinterpreta o passado.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Domínios: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nativo só para domínio</w:t>
      </w:r>
      <w:r>
        <w:t xml:space="preserve"> </w:t>
      </w:r>
      <w:r>
        <w:rPr>
          <w:bCs/>
          <w:b/>
        </w:rPr>
        <w:t xml:space="preserve">normativo fechado</w:t>
      </w:r>
      <w:r>
        <w:t xml:space="preserve">. Domínio</w:t>
      </w:r>
      <w:r>
        <w:t xml:space="preserve"> </w:t>
      </w:r>
      <w:r>
        <w:rPr>
          <w:bCs/>
          <w:b/>
        </w:rPr>
        <w:t xml:space="preserve">operacional</w:t>
      </w:r>
      <w:r>
        <w:rPr>
          <w:bCs/>
          <w:b/>
        </w:rPr>
        <w:t xml:space="preserve"> </w:t>
      </w:r>
      <w:r>
        <w:rPr>
          <w:bCs/>
          <w:b/>
        </w:rPr>
        <w:t xml:space="preserve">administrável</w:t>
      </w:r>
      <w:r>
        <w:t xml:space="preserve"> </w:t>
      </w:r>
      <w:r>
        <w:t xml:space="preserve">vive em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com FK. Na dúvida,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fechado cedo</w:t>
      </w:r>
      <w:r>
        <w:t xml:space="preserve"> </w:t>
      </w:r>
      <w:r>
        <w:t xml:space="preserve">demais vira migration.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Parâmetro normativo é dado, nunca constante em código: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(tetos AEC 10% /</w:t>
      </w:r>
      <w:r>
        <w:t xml:space="preserve"> </w:t>
      </w:r>
      <w:r>
        <w:t xml:space="preserve">TAD 5% / TR 10%, faixas de CH docente, limite de TA por dia). Princípio VII.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Timezone: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, banco em UTC, apresentação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Coluna derivada:</w:t>
      </w:r>
      <w:r>
        <w:t xml:space="preserve"> </w:t>
      </w:r>
      <w:r>
        <w:rPr>
          <w:rStyle w:val="VerbatimChar"/>
        </w:rPr>
        <w:t xml:space="preserve">GENERATED ALWAYS AS … STORED</w:t>
      </w:r>
      <w:r>
        <w:t xml:space="preserve"> </w:t>
      </w:r>
      <w:r>
        <w:t xml:space="preserve">ou VIEW. Nunca uma segunda fonte de verdade.</w:t>
      </w:r>
    </w:p>
    <w:p>
      <w:pPr>
        <w:numPr>
          <w:ilvl w:val="0"/>
          <w:numId w:val="1001"/>
        </w:numPr>
        <w:pStyle w:val="Compact"/>
      </w:pPr>
      <w:r>
        <w:t xml:space="preserve">Toda tabela tem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.</w:t>
      </w:r>
      <w:r>
        <w:t xml:space="preserve"> </w:t>
      </w:r>
      <w:r>
        <w:rPr>
          <w:bCs/>
          <w:b/>
        </w:rPr>
        <w:t xml:space="preserve">Tabela sem policy é inacessível — é intencional.</w:t>
      </w:r>
    </w:p>
    <w:bookmarkStart w:id="23" w:name="X9b015f818a834ce5048e254eab710cd333b4848"/>
    <w:p>
      <w:pPr>
        <w:pStyle w:val="Heading3"/>
      </w:pPr>
      <w:r>
        <w:t xml:space="preserve">2.1 Mapa de tabelas —</w:t>
      </w:r>
      <w:r>
        <w:t xml:space="preserve"> </w:t>
      </w:r>
      <w:r>
        <w:rPr>
          <w:bCs/>
          <w:b/>
        </w:rPr>
        <w:t xml:space="preserve">use exatamente estes nomes</w:t>
      </w:r>
    </w:p>
    <w:p>
      <w:pPr>
        <w:pStyle w:val="FirstParagraph"/>
      </w:pPr>
      <w:r>
        <w:t xml:space="preserve">São</w:t>
      </w:r>
      <w:r>
        <w:t xml:space="preserve"> </w:t>
      </w:r>
      <w:r>
        <w:rPr>
          <w:bCs/>
          <w:b/>
        </w:rPr>
        <w:t xml:space="preserve">27 tabelas</w:t>
      </w:r>
      <w:r>
        <w:t xml:space="preserve">. Esta tabela é a autoridade de nomes citada pelo prompt do Épico 1</w:t>
      </w:r>
      <w:r>
        <w:t xml:space="preserve"> </w:t>
      </w:r>
      <w:r>
        <w:t xml:space="preserve">(documento 42,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 EXATAMENTE estes nomes</w:t>
      </w:r>
      <w:r>
        <w:rPr>
          <w:iCs/>
          <w:i/>
        </w:rPr>
        <w:t xml:space="preserve">”</w:t>
      </w:r>
      <w:r>
        <w:t xml:space="preserve">).</w:t>
      </w:r>
    </w:p>
    <w:p>
      <w:pPr>
        <w:pStyle w:val="Heading3"/>
      </w:pPr>
      <w:bookmarkStart w:id="22" w:name="revisão-de-26082026-decisão-ue-1-rota-b"/>
      <w:r>
        <w:t xml:space="preserve">⚠️ Revisão de 26/08/2026 — decisão UE-1, rota (b)</w:t>
      </w:r>
      <w:bookmarkEnd w:id="22"/>
    </w:p>
    <w:p>
      <w:pPr>
        <w:pStyle w:val="BlockText"/>
      </w:pPr>
      <w:r>
        <w:rPr>
          <w:bCs/>
          <w:b/>
        </w:rPr>
        <w:t xml:space="preserve">Esta seção foi corrigida depois da decisão UE-1</w:t>
      </w:r>
      <w:r>
        <w:t xml:space="preserve">, e a correção não é cosmética.</w:t>
      </w:r>
    </w:p>
    <w:p>
      <w:pPr>
        <w:pStyle w:val="BlockText"/>
      </w:pPr>
      <w:r>
        <w:t xml:space="preserve">A primeira versão do mapa tinha 26 tabelas e</w:t>
      </w:r>
      <w:r>
        <w:t xml:space="preserve"> </w:t>
      </w:r>
      <w:r>
        <w:rPr>
          <w:bCs/>
          <w:b/>
        </w:rPr>
        <w:t xml:space="preserve">não conhecia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unidades_ensino</w:t>
      </w:r>
      <w:r>
        <w:t xml:space="preserve">. Como o prompt</w:t>
      </w:r>
      <w:r>
        <w:t xml:space="preserve"> </w:t>
      </w:r>
      <w:r>
        <w:t xml:space="preserve">do Épico 1 manda usar exatamente os nomes daqui, ele levaria o agente a</w:t>
      </w:r>
      <w:r>
        <w:t xml:space="preserve"> </w:t>
      </w:r>
      <w:r>
        <w:rPr>
          <w:bCs/>
          <w:b/>
        </w:rPr>
        <w:t xml:space="preserve">excluir justamente a</w:t>
      </w:r>
      <w:r>
        <w:rPr>
          <w:bCs/>
          <w:b/>
        </w:rPr>
        <w:t xml:space="preserve"> </w:t>
      </w:r>
      <w:r>
        <w:rPr>
          <w:bCs/>
          <w:b/>
        </w:rPr>
        <w:t xml:space="preserve">tabela que a rota (b) exige</w:t>
      </w:r>
      <w:r>
        <w:t xml:space="preserve"> </w:t>
      </w:r>
      <w:r>
        <w:t xml:space="preserve">— e a excluí-la com autoridade, citando este documento. É o mesmo</w:t>
      </w:r>
      <w:r>
        <w:t xml:space="preserve"> </w:t>
      </w:r>
      <w:r>
        <w:t xml:space="preserve">padrão do achado P-1 (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fora do mapa), e a lição é a mesma:</w:t>
      </w:r>
      <w:r>
        <w:t xml:space="preserve"> </w:t>
      </w:r>
      <w:r>
        <w:rPr>
          <w:bCs/>
          <w:b/>
        </w:rPr>
        <w:t xml:space="preserve">um mapa</w:t>
      </w:r>
      <w:r>
        <w:rPr>
          <w:bCs/>
          <w:b/>
        </w:rPr>
        <w:t xml:space="preserve"> </w:t>
      </w:r>
      <w:r>
        <w:rPr>
          <w:bCs/>
          <w:b/>
        </w:rPr>
        <w:t xml:space="preserve">declarado autoritativo herda a obrigação de estar completo.</w:t>
      </w:r>
    </w:p>
    <w:p>
      <w:pPr>
        <w:pStyle w:val="BlockText"/>
      </w:pPr>
      <w:r>
        <w:rPr>
          <w:rStyle w:val="VerbatimChar"/>
          <w:bCs/>
          <w:b/>
        </w:rPr>
        <w:t xml:space="preserve">docs/sql-referencia/</w:t>
      </w:r>
      <w:r>
        <w:rPr>
          <w:bCs/>
          <w:b/>
        </w:rPr>
        <w:t xml:space="preserve"> </w:t>
      </w:r>
      <w:r>
        <w:rPr>
          <w:bCs/>
          <w:b/>
        </w:rPr>
        <w:t xml:space="preserve">ainda reflete o grão antigo.</w:t>
      </w:r>
      <w:r>
        <w:t xml:space="preserve"> </w:t>
      </w:r>
      <w:r>
        <w:t xml:space="preserve">Os seis scripts foram escritos e</w:t>
      </w:r>
      <w:r>
        <w:t xml:space="preserve"> </w:t>
      </w:r>
      <w:r>
        <w:t xml:space="preserve">validados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decisão, e neles</w:t>
      </w:r>
      <w:r>
        <w:t xml:space="preserve"> </w:t>
      </w:r>
      <w:r>
        <w:rPr>
          <w:rStyle w:val="VerbatimChar"/>
        </w:rPr>
        <w:t xml:space="preserve">registros_aula.disciplina_id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— grão de</w:t>
      </w:r>
      <w:r>
        <w:t xml:space="preserve"> </w:t>
      </w:r>
      <w:r>
        <w:t xml:space="preserve">disciplina.</w:t>
      </w:r>
      <w:r>
        <w:t xml:space="preserve"> </w:t>
      </w:r>
      <w:r>
        <w:rPr>
          <w:bCs/>
          <w:b/>
        </w:rPr>
        <w:t xml:space="preserve">A migration do Épico 1 implementa o grão de UE; ela não copia o script de</w:t>
      </w:r>
      <w:r>
        <w:rPr>
          <w:bCs/>
          <w:b/>
        </w:rPr>
        <w:t xml:space="preserve"> </w:t>
      </w:r>
      <w:r>
        <w:rPr>
          <w:bCs/>
          <w:b/>
        </w:rPr>
        <w:t xml:space="preserve">referência neste ponto.</w:t>
      </w:r>
      <w:r>
        <w:t xml:space="preserve"> </w:t>
      </w:r>
      <w:r>
        <w:t xml:space="preserve">Ver §2.2 e §11.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v2.0 (Sheets)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Tabela v2.1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(cabeçalho extraído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Horarios_Tempos_Aula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Turmas_Ativas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(não existia — UE-1 rota (b))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unidades_ensino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criar no Épico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(colunas-lista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Turma_Disciplina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turma_disciplina_instrutor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Registro_Aulas_E_Atividades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  <w:r>
              <w:t xml:space="preserve"> </w:t>
            </w:r>
            <w:r>
              <w:rPr>
                <w:bCs/>
                <w:b/>
              </w:rPr>
              <w:t xml:space="preserve">(grão de UE — §2.2)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  <w:r>
              <w:t xml:space="preserve"> </w:t>
            </w:r>
            <w:r>
              <w:rPr>
                <w:iCs/>
                <w:i/>
              </w:rPr>
              <w:t xml:space="preserve">(a revisar)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Calendario_Feriados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Eventos_Globais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Calendario_Janelas_Curso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Calendario_Reservas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_Migracao_Log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</w:t>
            </w:r>
            <w:r>
              <w:t xml:space="preserve"> </w:t>
            </w:r>
            <w:r>
              <w:t xml:space="preserve">— ver abaixo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_Meta_Colunas</w:t>
      </w:r>
      <w:r>
        <w:rPr>
          <w:bCs/>
          <w:b/>
        </w:rPr>
        <w:t xml:space="preserve"> </w:t>
      </w:r>
      <w:r>
        <w:rPr>
          <w:bCs/>
          <w:b/>
        </w:rPr>
        <w:t xml:space="preserve">é o exemplo canônico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requisito absorvido pela plataforma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Ela existia</w:t>
      </w:r>
      <w:r>
        <w:t xml:space="preserve"> </w:t>
      </w:r>
      <w:r>
        <w:t xml:space="preserve">para dar ao Sheets um contrato de coluna que ele não tinha nativamente. No PostgreSQL o catálogo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information_schema</w:t>
      </w:r>
      <w:r>
        <w:t xml:space="preserve">) e os tipos TypeScript gerados pelo Supabase CLI cumprem esse papel com</w:t>
      </w:r>
      <w:r>
        <w:t xml:space="preserve"> </w:t>
      </w:r>
      <w:r>
        <w:t xml:space="preserve">garantia do motor. Cite-a quando precisar do exemplo.</w:t>
      </w:r>
    </w:p>
    <w:p>
      <w:pPr>
        <w:pStyle w:val="BodyText"/>
      </w:pPr>
      <w:r>
        <w:rPr>
          <w:bCs/>
          <w:b/>
        </w:rPr>
        <w:t xml:space="preserve">Quatro tabelas não têm correspondência 1:1 com uma aba, e o motivo importa: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unidades_ensino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[NOVO — UE-1 rota (b), 26/08/2026]</w:t>
      </w:r>
      <w:r>
        <w:t xml:space="preserve"> </w:t>
      </w:r>
      <w:r>
        <w:t xml:space="preserve">a Unidade de Ensino como entidade</w:t>
      </w:r>
      <w:r>
        <w:t xml:space="preserve"> </w:t>
      </w:r>
      <w:r>
        <w:t xml:space="preserve">de primeira classe. Não existia em aba nenhuma: o</w:t>
      </w:r>
      <w:r>
        <w:t xml:space="preserve"> </w:t>
      </w:r>
      <w:r>
        <w:rPr>
          <w:rStyle w:val="VerbatimChar"/>
        </w:rPr>
        <w:t xml:space="preserve">Rascunho de funcionalidades.txt</w:t>
      </w:r>
      <w:r>
        <w:t xml:space="preserve"> </w:t>
      </w:r>
      <w:r>
        <w:t xml:space="preserve">a descrevia</w:t>
      </w:r>
      <w:r>
        <w:t xml:space="preserve"> </w:t>
      </w:r>
      <w:r>
        <w:t xml:space="preserve">(número da UE, tópico, instrutor daquela UE, data, tempos), mas nenhum documento da suíte a</w:t>
      </w:r>
      <w:r>
        <w:t xml:space="preserve"> </w:t>
      </w:r>
      <w:r>
        <w:t xml:space="preserve">modelava. Detalhe em §2.2.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configuracoes_horario</w:t>
      </w:r>
      <w:r>
        <w:t xml:space="preserve"> </w:t>
      </w:r>
      <w:r>
        <w:t xml:space="preserve">— cabeçalho extraído de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, que era</w:t>
      </w:r>
      <w:r>
        <w:t xml:space="preserve"> </w:t>
      </w:r>
      <w:r>
        <w:t xml:space="preserve">desnormalizada (</w:t>
      </w:r>
      <w:r>
        <w:rPr>
          <w:rStyle w:val="VerbatimChar"/>
        </w:rPr>
        <w:t xml:space="preserve">Nome_Config</w:t>
      </w:r>
      <w:r>
        <w:t xml:space="preserve"> </w:t>
      </w:r>
      <w:r>
        <w:t xml:space="preserve">repetido em todas as linhas da mesma configuração). Sem esse</w:t>
      </w:r>
      <w:r>
        <w:t xml:space="preserve"> </w:t>
      </w:r>
      <w:r>
        <w:t xml:space="preserve">cabeçalho não existe alvo de FK para</w:t>
      </w:r>
      <w:r>
        <w:t xml:space="preserve"> </w:t>
      </w:r>
      <w:r>
        <w:t xml:space="preserve">“</w:t>
      </w:r>
      <w:r>
        <w:t xml:space="preserve">a configuração</w:t>
      </w:r>
      <w:r>
        <w:t xml:space="preserve">”</w:t>
      </w:r>
      <w:r>
        <w:t xml:space="preserve">, que é o que elimina as chaves órfãs</w:t>
      </w:r>
      <w:r>
        <w:t xml:space="preserve"> </w:t>
      </w:r>
      <w:r>
        <w:rPr>
          <w:rStyle w:val="VerbatimChar"/>
        </w:rPr>
        <w:t xml:space="preserve">D</w:t>
      </w:r>
      <w:r>
        <w:t xml:space="preserve">/</w:t>
      </w:r>
      <w:r>
        <w:rPr>
          <w:rStyle w:val="VerbatimChar"/>
        </w:rPr>
        <w:t xml:space="preserve">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turma_disciplina_instrutor</w:t>
      </w:r>
      <w:r>
        <w:t xml:space="preserve"> </w:t>
      </w:r>
      <w:r>
        <w:t xml:space="preserve">— a atribuição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de instrutor por turma, com rateio de</w:t>
      </w:r>
      <w:r>
        <w:t xml:space="preserve"> </w:t>
      </w:r>
      <w:r>
        <w:t xml:space="preserve">carga. A auditoria da planilha viva provou que</w:t>
      </w:r>
      <w:r>
        <w:t xml:space="preserve"> </w:t>
      </w:r>
      <w:r>
        <w:rPr>
          <w:rStyle w:val="VerbatimChar"/>
        </w:rPr>
        <w:t xml:space="preserve">Turma_Disciplina.ID_Instrutor</w:t>
      </w:r>
      <w:r>
        <w:t xml:space="preserve"> </w:t>
      </w:r>
      <w:r>
        <w:t xml:space="preserve">contém</w:t>
      </w:r>
      <w:r>
        <w:t xml:space="preserve"> </w:t>
      </w:r>
      <w:r>
        <w:rPr>
          <w:bCs/>
          <w:b/>
        </w:rPr>
        <w:t xml:space="preserve">lista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"40, 60, 18, 19, 20, 21"</w:t>
      </w:r>
      <w:r>
        <w:t xml:space="preserve">) e</w:t>
      </w:r>
      <w:r>
        <w:t xml:space="preserve"> </w:t>
      </w:r>
      <w:r>
        <w:rPr>
          <w:rStyle w:val="VerbatimChar"/>
        </w:rPr>
        <w:t xml:space="preserve">CH_Prevista_Por_Instrutor</w:t>
      </w:r>
      <w:r>
        <w:t xml:space="preserve"> </w:t>
      </w:r>
      <w:r>
        <w:t xml:space="preserve">contém</w:t>
      </w:r>
      <w:r>
        <w:t xml:space="preserve"> </w:t>
      </w:r>
      <w:r>
        <w:rPr>
          <w:bCs/>
          <w:b/>
        </w:rPr>
        <w:t xml:space="preserve">mapa</w:t>
      </w:r>
      <w:r>
        <w:t xml:space="preserve"> </w:t>
      </w:r>
      <w:r>
        <w:t xml:space="preserve">(</w:t>
      </w:r>
      <w:r>
        <w:rPr>
          <w:rStyle w:val="VerbatimChar"/>
        </w:rPr>
        <w:t xml:space="preserve">"40:200, 60:200"</w:t>
      </w:r>
      <w:r>
        <w:t xml:space="preserve">).</w:t>
      </w:r>
      <w:r>
        <w:t xml:space="preserve"> </w:t>
      </w:r>
      <w:r>
        <w:t xml:space="preserve">Coluna escalar não comporta isso.</w:t>
      </w:r>
      <w:r>
        <w:t xml:space="preserve"> </w:t>
      </w:r>
      <w:r>
        <w:rPr>
          <w:bCs/>
          <w:b/>
        </w:rPr>
        <w:t xml:space="preserve">É daqui que a LIQ e a OS de Instrutoria leem</w:t>
      </w:r>
      <w:r>
        <w:t xml:space="preserve"> </w:t>
      </w:r>
      <w:r>
        <w:t xml:space="preserve">— ler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no lugar foi o defeito de produção que a spec 034 corrigiu.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perfil_permissao</w:t>
      </w:r>
      <w:r>
        <w:t xml:space="preserve"> </w:t>
      </w:r>
      <w:r>
        <w:t xml:space="preserve">— a matriz de autorização como dado (§3).</w:t>
      </w:r>
    </w:p>
    <w:p>
      <w:pPr>
        <w:pStyle w:val="BlockText"/>
      </w:pPr>
      <w:r>
        <w:rPr>
          <w:bCs/>
          <w:b/>
        </w:rPr>
        <w:t xml:space="preserve">Achado D-6 — resolvido aqui.</w:t>
      </w:r>
      <w:r>
        <w:t xml:space="preserve"> </w:t>
      </w:r>
      <w:r>
        <w:t xml:space="preserve">Três destas quatro (</w:t>
      </w:r>
      <w:r>
        <w:rPr>
          <w:rStyle w:val="VerbatimChar"/>
        </w:rPr>
        <w:t xml:space="preserve">unidades_ensino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turma_disciplina_instrutor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)</w:t>
      </w:r>
      <w:r>
        <w:t xml:space="preserve"> </w:t>
      </w:r>
      <w:r>
        <w:rPr>
          <w:bCs/>
          <w:b/>
        </w:rPr>
        <w:t xml:space="preserve">não constam do dicionário de entidades</w:t>
      </w:r>
      <w:r>
        <w:rPr>
          <w:bCs/>
          <w:b/>
        </w:rPr>
        <w:t xml:space="preserve"> </w:t>
      </w:r>
      <w:r>
        <w:rPr>
          <w:bCs/>
          <w:b/>
        </w:rPr>
        <w:t xml:space="preserve">do documento 05 §4</w:t>
      </w:r>
      <w:r>
        <w:t xml:space="preserve">, porque nasceram depois dele: as duas primeiras de decisões de 26/08, a</w:t>
      </w:r>
      <w:r>
        <w:t xml:space="preserve"> </w:t>
      </w:r>
      <w:r>
        <w:t xml:space="preserve">terceira da despivotagem de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Autoridade, para não travar o Épico 1: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inventário e nome de tabela</w:t>
      </w:r>
      <w:r>
        <w:t xml:space="preserve">, este §2.1 prevalece</w:t>
      </w:r>
      <w:r>
        <w:t xml:space="preserve"> </w:t>
      </w:r>
      <w:r>
        <w:t xml:space="preserve">— é o que a constitution e o documento 42 citam. O documento 05 §4 é a fonte de</w:t>
      </w:r>
      <w:r>
        <w:t xml:space="preserve"> </w:t>
      </w:r>
      <w:r>
        <w:rPr>
          <w:bCs/>
          <w:b/>
        </w:rPr>
        <w:t xml:space="preserve">semântica de</w:t>
      </w:r>
      <w:r>
        <w:rPr>
          <w:bCs/>
          <w:b/>
        </w:rPr>
        <w:t xml:space="preserve"> </w:t>
      </w:r>
      <w:r>
        <w:rPr>
          <w:bCs/>
          <w:b/>
        </w:rPr>
        <w:t xml:space="preserve">atributo</w:t>
      </w:r>
      <w:r>
        <w:t xml:space="preserve">, e está</w:t>
      </w:r>
      <w:r>
        <w:t xml:space="preserve"> </w:t>
      </w:r>
      <w:r>
        <w:rPr>
          <w:bCs/>
          <w:b/>
        </w:rPr>
        <w:t xml:space="preserve">incompleto</w:t>
      </w:r>
      <w:r>
        <w:t xml:space="preserve">, não errado: as três entradas faltantes precisam ser escritas</w:t>
      </w:r>
      <w:r>
        <w:t xml:space="preserve"> </w:t>
      </w:r>
      <w:r>
        <w:t xml:space="preserve">lá, e essa é uma pendência de documentação, não um bloqueio de implementação. Não invente</w:t>
      </w:r>
      <w:r>
        <w:t xml:space="preserve"> </w:t>
      </w:r>
      <w:r>
        <w:t xml:space="preserve">atributo para as três a partir do §4 — use o §2.2 abaixo e</w:t>
      </w:r>
      <w:r>
        <w:t xml:space="preserve"> </w:t>
      </w:r>
      <w:r>
        <w:rPr>
          <w:rStyle w:val="VerbatimChar"/>
        </w:rPr>
        <w:t xml:space="preserve">docs/sql-referencia/</w:t>
      </w:r>
      <w:r>
        <w:t xml:space="preserve">.</w:t>
      </w:r>
    </w:p>
    <w:bookmarkEnd w:id="23"/>
    <w:bookmarkStart w:id="24" w:name="Xf3d04c023b30e6016b4aa09c6f832a14acd2112"/>
    <w:p>
      <w:pPr>
        <w:pStyle w:val="Heading3"/>
      </w:pPr>
      <w:r>
        <w:t xml:space="preserve">2.2 O grão do fato de execução —</w:t>
      </w:r>
      <w:r>
        <w:t xml:space="preserve"> </w:t>
      </w:r>
      <w:r>
        <w:rPr>
          <w:bCs/>
          <w:b/>
        </w:rPr>
        <w:t xml:space="preserve">decisão UE-1, rota (b)</w:t>
      </w:r>
    </w:p>
    <w:p>
      <w:pPr>
        <w:pStyle w:val="FirstParagraph"/>
      </w:pPr>
      <w:r>
        <w:rPr>
          <w:bCs/>
          <w:b/>
        </w:rPr>
        <w:t xml:space="preserve">Decidido em 26/08/2026 por Bernardo Villas Bôas dos Santos. Registro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docs/fase-1/05</w:t>
      </w:r>
      <w:r>
        <w:rPr>
          <w:bCs/>
          <w:b/>
        </w:rPr>
        <w:t xml:space="preserve"> </w:t>
      </w:r>
      <w:r>
        <w:rPr>
          <w:bCs/>
          <w:b/>
        </w:rPr>
        <w:t xml:space="preserve">§9.1 e</w:t>
      </w:r>
      <w:r>
        <w:rPr>
          <w:bCs/>
          <w:b/>
        </w:rPr>
        <w:t xml:space="preserve"> </w:t>
      </w:r>
      <w:r>
        <w:rPr>
          <w:bCs/>
          <w:b/>
        </w:rPr>
        <w:t xml:space="preserve">na tabela de decisões da constitution.</w:t>
      </w:r>
      <w:r>
        <w:t xml:space="preserve"> </w:t>
      </w:r>
      <w:r>
        <w:t xml:space="preserve">É bloqueante para o Épico 1 porque</w:t>
      </w:r>
      <w:r>
        <w:t xml:space="preserve"> </w:t>
      </w:r>
      <w:r>
        <w:rPr>
          <w:bCs/>
          <w:b/>
        </w:rPr>
        <w:t xml:space="preserve">grão de tabela de</w:t>
      </w:r>
      <w:r>
        <w:rPr>
          <w:bCs/>
          <w:b/>
        </w:rPr>
        <w:t xml:space="preserve"> </w:t>
      </w:r>
      <w:r>
        <w:rPr>
          <w:bCs/>
          <w:b/>
        </w:rPr>
        <w:t xml:space="preserve">fato se escolhe na primeira migration, não depois</w:t>
      </w:r>
      <w:r>
        <w:t xml:space="preserve">.</w:t>
      </w:r>
    </w:p>
    <w:p>
      <w:pPr>
        <w:pStyle w:val="BodyText"/>
      </w:pPr>
      <w:r>
        <w:t xml:space="preserve">Quatro consequências, todas obrigatórias: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unidades_ensino</w:t>
      </w:r>
      <w:r>
        <w:rPr>
          <w:bCs/>
          <w:b/>
        </w:rPr>
        <w:t xml:space="preserve"> </w:t>
      </w:r>
      <w:r>
        <w:rPr>
          <w:bCs/>
          <w:b/>
        </w:rPr>
        <w:t xml:space="preserve">é entidade de primeira classe</w:t>
      </w:r>
      <w:r>
        <w:t xml:space="preserve"> </w:t>
      </w:r>
      <w:r>
        <w:t xml:space="preserve">— FK</w:t>
      </w:r>
      <w:r>
        <w:t xml:space="preserve"> </w:t>
      </w:r>
      <w:r>
        <w:rPr>
          <w:rStyle w:val="VerbatimChar"/>
        </w:rPr>
        <w:t xml:space="preserve">disciplina_id → disciplinas(id)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unique (disciplina_id, numero_ue)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registros_aula</w:t>
      </w:r>
      <w:r>
        <w:rPr>
          <w:bCs/>
          <w:b/>
        </w:rPr>
        <w:t xml:space="preserve"> </w:t>
      </w:r>
      <w:r>
        <w:rPr>
          <w:bCs/>
          <w:b/>
        </w:rPr>
        <w:t xml:space="preserve">nasce no grão de UE</w:t>
      </w:r>
      <w:r>
        <w:t xml:space="preserve">, não no grão de disciplina. É a mudança de fundo, e é a</w:t>
      </w:r>
      <w:r>
        <w:t xml:space="preserve"> </w:t>
      </w:r>
      <w:r>
        <w:t xml:space="preserve">razão de a decisão ter travado o épico.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 executada da disciplina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derivada</w:t>
      </w:r>
      <w:r>
        <w:t xml:space="preserve"> </w:t>
      </w:r>
      <w:r>
        <w:t xml:space="preserve">— VIEW ou coluna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,</w:t>
      </w:r>
      <w:r>
        <w:t xml:space="preserve"> </w:t>
      </w:r>
      <w:r>
        <w:rPr>
          <w:bCs/>
          <w:b/>
        </w:rPr>
        <w:t xml:space="preserve">jamais uma segunda</w:t>
      </w:r>
      <w:r>
        <w:rPr>
          <w:bCs/>
          <w:b/>
        </w:rPr>
        <w:t xml:space="preserve"> </w:t>
      </w:r>
      <w:r>
        <w:rPr>
          <w:bCs/>
          <w:b/>
        </w:rPr>
        <w:t xml:space="preserve">fonte de verdade</w:t>
      </w:r>
      <w:r>
        <w:t xml:space="preserve">. É o que elimina a objeção principal que existia contra a rota (b):</w:t>
      </w:r>
      <w:r>
        <w:t xml:space="preserve"> </w:t>
      </w:r>
      <w:r>
        <w:t xml:space="preserve">“</w:t>
      </w:r>
      <w:r>
        <w:t xml:space="preserve">duas</w:t>
      </w:r>
      <w:r>
        <w:t xml:space="preserve"> </w:t>
      </w:r>
      <w:r>
        <w:t xml:space="preserve">fontes de quanto foi dado</w:t>
      </w:r>
      <w:r>
        <w:t xml:space="preserve">”</w:t>
      </w:r>
      <w:r>
        <w:t xml:space="preserve"> </w:t>
      </w:r>
      <w:r>
        <w:t xml:space="preserve">deixa de ser risco quando uma é derivada da outra pelo motor.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CHD, DSA, Cronograma e motor preditivo leem o agregado</w:t>
      </w:r>
      <w:r>
        <w:t xml:space="preserve">, não o fato bruto — salvo onde a UE</w:t>
      </w:r>
      <w:r>
        <w:t xml:space="preserve"> </w:t>
      </w:r>
      <w:r>
        <w:t xml:space="preserve">for o objeto explícito da tela, que é o diário de classe.</w:t>
      </w:r>
    </w:p>
    <w:p>
      <w:pPr>
        <w:pStyle w:val="FirstParagraph"/>
      </w:pPr>
      <w:r>
        <w:rPr>
          <w:bCs/>
          <w:b/>
        </w:rPr>
        <w:t xml:space="preserve">O custo foi assumido de olhos abertos, e está declarado aqui para que ninguém o descubra depois.</w:t>
      </w:r>
      <w:r>
        <w:t xml:space="preserve"> </w:t>
      </w:r>
      <w:r>
        <w:t xml:space="preserve">A recomendação da revisão de 14/08 era a rota (a), por Princípio VI (mudança cirúrgica). A rota (b)</w:t>
      </w:r>
      <w:r>
        <w:t xml:space="preserve"> </w:t>
      </w:r>
      <w:r>
        <w:t xml:space="preserve">foi escolhida assim mesmo, pela coerência conceitual e porque sob PostgreSQL a assimetria de custo</w:t>
      </w:r>
      <w:r>
        <w:t xml:space="preserve"> </w:t>
      </w:r>
      <w:r>
        <w:t xml:space="preserve">diminuiu muito — a FK é declarativa, o agregado é VIEW e mover o grão é</w:t>
      </w:r>
      <w:r>
        <w:t xml:space="preserve"> </w:t>
      </w:r>
      <w:r>
        <w:rPr>
          <w:rStyle w:val="VerbatimChar"/>
        </w:rPr>
        <w:t xml:space="preserve">INSERT … SELECT</w:t>
      </w:r>
      <w:r>
        <w:t xml:space="preserve">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contrapartida é que os quatro consumidores centrais entram no escopo do Épico 1 desde o primeiro</w:t>
      </w:r>
      <w:r>
        <w:rPr>
          <w:bCs/>
          <w:b/>
        </w:rPr>
        <w:t xml:space="preserve"> </w:t>
      </w:r>
      <w:r>
        <w:rPr>
          <w:bCs/>
          <w:b/>
        </w:rPr>
        <w:t xml:space="preserve">dia.</w:t>
      </w:r>
    </w:p>
    <w:p>
      <w:pPr>
        <w:pStyle w:val="BodyText"/>
      </w:pPr>
      <w:r>
        <w:rPr>
          <w:bCs/>
          <w:b/>
        </w:rPr>
        <w:t xml:space="preserve">O que isso muda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docs/sql-referencia/02_tabelas_fato.sql</w:t>
      </w:r>
      <w:r>
        <w:rPr>
          <w:bCs/>
          <w:b/>
        </w:rPr>
        <w:t xml:space="preserve">:</w:t>
      </w:r>
      <w:r>
        <w:t xml:space="preserve"> </w:t>
      </w:r>
      <w:r>
        <w:t xml:space="preserve">hoje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disciplina_id uuid not null references disciplinas(id)</w:t>
      </w:r>
      <w:r>
        <w:t xml:space="preserve">. Na migration do Épico 1 o fato passa a</w:t>
      </w:r>
      <w:r>
        <w:t xml:space="preserve"> </w:t>
      </w:r>
      <w:r>
        <w:t xml:space="preserve">apontar para</w:t>
      </w:r>
      <w:r>
        <w:t xml:space="preserve"> </w:t>
      </w:r>
      <w:r>
        <w:rPr>
          <w:rStyle w:val="VerbatimChar"/>
        </w:rPr>
        <w:t xml:space="preserve">unidades_ensino</w:t>
      </w:r>
      <w:r>
        <w:t xml:space="preserve">, e a disciplina volta como agregado derivado. O script de referência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autoridade neste ponto — esta seção é.</w:t>
      </w:r>
    </w:p>
    <w:p>
      <w:pPr>
        <w:pStyle w:val="BodyText"/>
      </w:pPr>
      <w:r>
        <w:rPr>
          <w:bCs/>
          <w:b/>
        </w:rPr>
        <w:t xml:space="preserve">O que a decisão NÃO autoriza.</w:t>
      </w:r>
      <w:r>
        <w:t xml:space="preserve"> </w:t>
      </w:r>
      <w:r>
        <w:t xml:space="preserve">Ela fixa o grão e a entidade;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define atributos além dos</w:t>
      </w:r>
      <w:r>
        <w:t xml:space="preserve"> </w:t>
      </w:r>
      <w:r>
        <w:t xml:space="preserve">que o §9.1 do documento 05 nomeia (</w:t>
      </w:r>
      <w:r>
        <w:rPr>
          <w:rStyle w:val="VerbatimChar"/>
        </w:rPr>
        <w:t xml:space="preserve">numero_ue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ch_prevista_tempos</w:t>
      </w:r>
      <w:r>
        <w:t xml:space="preserve">,</w:t>
      </w:r>
      <w:r>
        <w:t xml:space="preserve"> </w:t>
      </w:r>
      <w:r>
        <w:rPr>
          <w:rStyle w:val="VerbatimChar"/>
        </w:rPr>
        <w:t xml:space="preserve">tecnica_ensino_sugerida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),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cria tela nova. O diário de classe por UE é</w:t>
      </w:r>
      <w:r>
        <w:t xml:space="preserve"> </w:t>
      </w:r>
      <w:r>
        <w:t xml:space="preserve">funcionalidade, e funcionalidade nova esbarra no</w:t>
      </w:r>
      <w:r>
        <w:t xml:space="preserve"> </w:t>
      </w:r>
      <w:r>
        <w:rPr>
          <w:bCs/>
          <w:b/>
        </w:rPr>
        <w:t xml:space="preserve">Princípio X — Paridade Antes de Novidade</w:t>
      </w:r>
      <w:r>
        <w:t xml:space="preserve">: a</w:t>
      </w:r>
      <w:r>
        <w:t xml:space="preserve"> </w:t>
      </w:r>
      <w:r>
        <w:t xml:space="preserve">v2.1 entrega a estrutura que a decisão exige, não a tela que ela viabiliza. Se faltar atributo,</w:t>
      </w:r>
      <w:r>
        <w:t xml:space="preserve"> </w:t>
      </w:r>
      <w:r>
        <w:rPr>
          <w:bCs/>
          <w:b/>
        </w:rPr>
        <w:t xml:space="preserve">pergunte</w:t>
      </w:r>
      <w:r>
        <w:t xml:space="preserve"> </w:t>
      </w:r>
      <w:r>
        <w:t xml:space="preserve">(Princípio I).</w:t>
      </w:r>
    </w:p>
    <w:p>
      <w:pPr>
        <w:pStyle w:val="BodyText"/>
      </w:pPr>
      <w:r>
        <w:rPr>
          <w:bCs/>
          <w:b/>
        </w:rPr>
        <w:t xml:space="preserve">As três formas de atribuição, que o schema agora separa: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habilitação</w:t>
            </w:r>
            <w:r>
              <w:t xml:space="preserve"> </w:t>
            </w:r>
            <w:r>
              <w:t xml:space="preserve">— este instrutor</w:t>
            </w:r>
            <w:r>
              <w:t xml:space="preserve"> </w:t>
            </w:r>
            <w:r>
              <w:rPr>
                <w:iCs/>
                <w:i/>
              </w:rPr>
              <w:t xml:space="preserve">pode</w:t>
            </w:r>
            <w:r>
              <w:t xml:space="preserve"> </w:t>
            </w:r>
            <w:r>
              <w:t xml:space="preserve">ministrar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disciplinas.instrutores_atribuidos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planejamento</w:t>
            </w:r>
            <w:r>
              <w:t xml:space="preserve">, por grade de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atribuição real</w:t>
            </w:r>
            <w:r>
              <w:t xml:space="preserve">, por turma ← LIQ e OS leem daqui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utenticação-e-rbac"/>
    <w:p>
      <w:pPr>
        <w:pStyle w:val="Heading2"/>
      </w:pPr>
      <w:r>
        <w:t xml:space="preserve">3. Autenticação e RBAC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Somente e-mail/senha, criado por convite do Admin</w:t>
      </w:r>
      <w:r>
        <w:t xml:space="preserve"> </w:t>
      </w:r>
      <w:r>
        <w:t xml:space="preserve">(decisão do Bernardo, 25/08/2026).</w:t>
      </w:r>
      <w:r>
        <w:t xml:space="preserve"> </w:t>
      </w:r>
      <w:r>
        <w:t xml:space="preserve">Reverte a decisão D1 da v2.0, que dependia do runtime Apps Script.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primeira tela do sistema é o Login.</w:t>
      </w:r>
      <w:r>
        <w:t xml:space="preserve"> </w:t>
      </w:r>
      <w:r>
        <w:t xml:space="preserve">Nenhuma rota de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é acessível sem</w:t>
      </w:r>
      <w:r>
        <w:t xml:space="preserve"> </w:t>
      </w:r>
      <w:r>
        <w:t xml:space="preserve">sessão; o middleware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Fluxo: Admin cadastra → Server Action com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auth.admin.inviteUserByEmail()</w:t>
      </w:r>
      <w:r>
        <w:t xml:space="preserve"> </w:t>
      </w:r>
      <w:r>
        <w:t xml:space="preserve">→ usuário define senha em</w:t>
      </w:r>
      <w:r>
        <w:t xml:space="preserve"> </w:t>
      </w:r>
      <w:r>
        <w:rPr>
          <w:rStyle w:val="VerbatimChar"/>
        </w:rPr>
        <w:t xml:space="preserve">/convite/[token]</w:t>
      </w:r>
      <w:r>
        <w:t xml:space="preserve">.</w:t>
      </w:r>
      <w:r>
        <w:t xml:space="preserve"> </w:t>
      </w:r>
      <w:r>
        <w:rPr>
          <w:bCs/>
          <w:b/>
        </w:rPr>
        <w:t xml:space="preserve">Signup público desabilitado no painel Supabase</w:t>
      </w:r>
      <w:r>
        <w:t xml:space="preserve"> </w:t>
      </w:r>
      <w:r>
        <w:t xml:space="preserve">(item de checklist do Épico 0, sem equivalente em código).</w:t>
      </w:r>
    </w:p>
    <w:p>
      <w:pPr>
        <w:numPr>
          <w:ilvl w:val="0"/>
          <w:numId w:val="1004"/>
        </w:numPr>
        <w:pStyle w:val="Compact"/>
      </w:pPr>
      <w:r>
        <w:t xml:space="preserve">Senha: mínimo 12 caracteres, verificação contra vazamentos habilitada, sem expiração compulsória.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usuarios.auth_user_id uuid unique references auth.users(id) on delete restrict</w:t>
      </w:r>
      <w:r>
        <w:t xml:space="preserve"> </w:t>
      </w:r>
      <w:r>
        <w:t xml:space="preserve">— 1:1 com o</w:t>
      </w:r>
      <w:r>
        <w:t xml:space="preserve"> </w:t>
      </w:r>
      <w:r>
        <w:t xml:space="preserve">Supabase Auth,</w:t>
      </w:r>
      <w:r>
        <w:t xml:space="preserve"> </w:t>
      </w:r>
      <w:r>
        <w:rPr>
          <w:bCs/>
          <w:b/>
        </w:rPr>
        <w:t xml:space="preserve">nulo entre o cadastro e o aceite do convite</w:t>
      </w:r>
      <w:r>
        <w:t xml:space="preserve"> </w:t>
      </w:r>
      <w:r>
        <w:t xml:space="preserve">(é a janela em que o Admin revisa</w:t>
      </w:r>
      <w:r>
        <w:t xml:space="preserve"> </w:t>
      </w:r>
      <w:r>
        <w:t xml:space="preserve">o perfil antes de a pessoa entrar).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Matriz de permissões como dado:</w:t>
      </w:r>
      <w:r>
        <w:t xml:space="preserve"> </w:t>
      </w:r>
      <w:r>
        <w:rPr>
          <w:rStyle w:val="VerbatimChar"/>
        </w:rPr>
        <w:t xml:space="preserve">perfil_permissao (perfil, recurso, acao, permitido)</w:t>
      </w:r>
      <w:r>
        <w:t xml:space="preserve">.</w:t>
      </w:r>
      <w:r>
        <w:t xml:space="preserve"> </w:t>
      </w:r>
      <w:r>
        <w:t xml:space="preserve">As policies consultam</w:t>
      </w:r>
      <w:r>
        <w:t xml:space="preserve"> </w:t>
      </w:r>
      <w:r>
        <w:rPr>
          <w:rStyle w:val="VerbatimChar"/>
        </w:rPr>
        <w:t xml:space="preserve">app.pode()</w:t>
      </w:r>
      <w:r>
        <w:t xml:space="preserve">; trocar uma permissão é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não migration.</w:t>
      </w:r>
    </w:p>
    <w:p>
      <w:pPr>
        <w:numPr>
          <w:ilvl w:val="0"/>
          <w:numId w:val="1004"/>
        </w:numPr>
        <w:pStyle w:val="Compact"/>
      </w:pPr>
      <w:r>
        <w:t xml:space="preserve">Funções auxiliares (schema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fixo):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app.perfil_atual()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app.eh_admin()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app.cursos_do_usuario()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app.alcanca_curso()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app.alcanca_turma()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app.alcanca_disciplina()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RNF-SEG-02</w:t>
      </w:r>
      <w:r>
        <w:t xml:space="preserve"> </w:t>
      </w:r>
      <w:r>
        <w:t xml:space="preserve">deixa de ser disciplina de código e vira garantia do motor:</w:t>
      </w:r>
      <w:r>
        <w:t xml:space="preserve"> </w:t>
      </w:r>
      <w:r>
        <w:rPr>
          <w:bCs/>
          <w:b/>
        </w:rPr>
        <w:t xml:space="preserve">é RLS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Pendência que afeta a policy do Operador — decidir antes do Épico 3.</w:t>
      </w:r>
      <w:r>
        <w:t xml:space="preserve"> </w:t>
      </w:r>
      <w:r>
        <w:t xml:space="preserve">A policy pressupõe que</w:t>
      </w:r>
      <w:r>
        <w:t xml:space="preserve"> </w:t>
      </w:r>
      <w:r>
        <w:rPr>
          <w:rStyle w:val="VerbatimChar"/>
        </w:rPr>
        <w:t xml:space="preserve">cursos.classificacao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usuarios.escopo_curso</w:t>
      </w:r>
      <w:r>
        <w:t xml:space="preserve"> </w:t>
      </w:r>
      <w:r>
        <w:t xml:space="preserve">compartilham domínio.</w:t>
      </w:r>
      <w:r>
        <w:t xml:space="preserve"> </w:t>
      </w:r>
      <w:r>
        <w:rPr>
          <w:bCs/>
          <w:b/>
        </w:rPr>
        <w:t xml:space="preserve">A planilha real desmentiu:</w:t>
      </w:r>
      <w:r>
        <w:t xml:space="preserve"> </w:t>
      </w:r>
      <w:r>
        <w:t xml:space="preserve">as classificações são</w:t>
      </w:r>
      <w:r>
        <w:t xml:space="preserve"> </w:t>
      </w:r>
      <w:r>
        <w:rPr>
          <w:rStyle w:val="VerbatimChar"/>
        </w:rPr>
        <w:t xml:space="preserve">Curso 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 Expedito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 Especial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 de Aperfeiçoamento Avançado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Estágio de qualificação</w:t>
      </w:r>
      <w:r>
        <w:t xml:space="preserve">, enquanto o</w:t>
      </w:r>
      <w:r>
        <w:t xml:space="preserve"> </w:t>
      </w:r>
      <w:r>
        <w:t xml:space="preserve">escopo prevê</w:t>
      </w:r>
      <w:r>
        <w:t xml:space="preserve"> </w:t>
      </w:r>
      <w:r>
        <w:rPr>
          <w:rStyle w:val="VerbatimChar"/>
        </w:rPr>
        <w:t xml:space="preserve">ead_semipresencial</w:t>
      </w:r>
      <w:r>
        <w:t xml:space="preserve"> </w:t>
      </w:r>
      <w:r>
        <w:t xml:space="preserve">— que na verdade é</w:t>
      </w:r>
      <w:r>
        <w:t xml:space="preserve"> </w:t>
      </w:r>
      <w:r>
        <w:rPr>
          <w:bCs/>
          <w:b/>
        </w:rPr>
        <w:t xml:space="preserve">modalidade</w:t>
      </w:r>
      <w:r>
        <w:t xml:space="preserve">, coluna separada. Duas</w:t>
      </w:r>
      <w:r>
        <w:t xml:space="preserve"> </w:t>
      </w:r>
      <w:r>
        <w:t xml:space="preserve">classificações não têm escopo correspondente. Recomendação: separar os domínios e ligá-los por</w:t>
      </w:r>
      <w:r>
        <w:t xml:space="preserve"> </w:t>
      </w:r>
      <w:r>
        <w:t xml:space="preserve">uma tabela</w:t>
      </w:r>
      <w:r>
        <w:t xml:space="preserve"> </w:t>
      </w:r>
      <w:r>
        <w:rPr>
          <w:rStyle w:val="VerbatimChar"/>
        </w:rPr>
        <w:t xml:space="preserve">escopo_classificacao</w:t>
      </w:r>
      <w:r>
        <w:t xml:space="preserve">. Detalhe no documento 32, §5.</w:t>
      </w:r>
    </w:p>
    <w:p>
      <w:r>
        <w:pict>
          <v:rect style="width:0;height:1.5pt" o:hralign="center" o:hrstd="t" o:hr="t"/>
        </w:pict>
      </w:r>
    </w:p>
    <w:bookmarkEnd w:id="26"/>
    <w:bookmarkStart w:id="27" w:name="estrutura-do-repositório"/>
    <w:p>
      <w:pPr>
        <w:pStyle w:val="Heading2"/>
      </w:pPr>
      <w:r>
        <w:t xml:space="preserve">4. Estrutura do repositório</w:t>
      </w:r>
    </w:p>
    <w:p>
      <w:pPr>
        <w:pStyle w:val="SourceCode"/>
      </w:pP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(auth)/login/ · convite/[token]/ · recuperar-senha/</w:t>
      </w:r>
      <w:r>
        <w:br/>
      </w:r>
      <w:r>
        <w:rPr>
          <w:rStyle w:val="VerbatimChar"/>
        </w:rPr>
        <w:t xml:space="preserve">│   ├── (app)/inicio/ · cursos/[curso]/ · turmas/[turma]/dsa/ · cronograma/</w:t>
      </w:r>
      <w:r>
        <w:br/>
      </w:r>
      <w:r>
        <w:rPr>
          <w:rStyle w:val="VerbatimChar"/>
        </w:rPr>
        <w:t xml:space="preserve">│   │         avaliacoes/ · atividades/ · relatorio/ · instrutores/ · disciplinas/</w:t>
      </w:r>
      <w:r>
        <w:br/>
      </w:r>
      <w:r>
        <w:rPr>
          <w:rStyle w:val="VerbatimChar"/>
        </w:rPr>
        <w:t xml:space="preserve">│   │         admin/usuarios/ · admin/parametros/ · admin/calendario/</w:t>
      </w:r>
      <w:r>
        <w:br/>
      </w:r>
      <w:r>
        <w:rPr>
          <w:rStyle w:val="VerbatimChar"/>
        </w:rPr>
        <w:t xml:space="preserve">│   ├── print/            # dsa · relatorio · cronograma · ficha-instrutor · liq · os-instrutoria</w:t>
      </w:r>
      <w:r>
        <w:br/>
      </w:r>
      <w:r>
        <w:rPr>
          <w:rStyle w:val="VerbatimChar"/>
        </w:rPr>
        <w:t xml:space="preserve">│   └── layout.tsx · error.tsx · not-found.tsx</w:t>
      </w:r>
      <w:r>
        <w:br/>
      </w:r>
      <w:r>
        <w:rPr>
          <w:rStyle w:val="VerbatimChar"/>
        </w:rPr>
        <w:t xml:space="preserve">├── components/{ui,ciaara,graficos,impressao}/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supabase/{client,server,middleware,admin}.ts</w:t>
      </w:r>
      <w:r>
        <w:br/>
      </w:r>
      <w:r>
        <w:rPr>
          <w:rStyle w:val="VerbatimChar"/>
        </w:rPr>
        <w:t xml:space="preserve">│   ├── dominio/          # ← REGRAS DE NEGÓCIO PURAS (RN-*). Sem I/O</w:t>
      </w:r>
      <w:r>
        <w:br/>
      </w:r>
      <w:r>
        <w:rPr>
          <w:rStyle w:val="VerbatimChar"/>
        </w:rPr>
        <w:t xml:space="preserve">│   ├── validacao/        # schemas Zod, compartilhados</w:t>
      </w:r>
      <w:r>
        <w:br/>
      </w:r>
      <w:r>
        <w:rPr>
          <w:rStyle w:val="VerbatimChar"/>
        </w:rPr>
        <w:t xml:space="preserve">│   ├── acoes/            # Server Actions por domínio</w:t>
      </w:r>
      <w:r>
        <w:br/>
      </w:r>
      <w:r>
        <w:rPr>
          <w:rStyle w:val="VerbatimChar"/>
        </w:rPr>
        <w:t xml:space="preserve">│   └── tipos/database.ts # gerado por `supabase gen types typescript`</w:t>
      </w:r>
      <w:r>
        <w:br/>
      </w:r>
      <w:r>
        <w:rPr>
          <w:rStyle w:val="VerbatimChar"/>
        </w:rPr>
        <w:t xml:space="preserve">├── supabase/migrations/ · seed.sql · config.toml</w:t>
      </w:r>
      <w:r>
        <w:br/>
      </w:r>
      <w:r>
        <w:rPr>
          <w:rStyle w:val="VerbatimChar"/>
        </w:rPr>
        <w:t xml:space="preserve">├── scripts/etl/          # Python — Sheets → PostgreSQL</w:t>
      </w:r>
      <w:r>
        <w:br/>
      </w:r>
      <w:r>
        <w:rPr>
          <w:rStyle w:val="VerbatimChar"/>
        </w:rPr>
        <w:t xml:space="preserve">├── tests/{unidade,invariantes,e2e}/</w:t>
      </w:r>
      <w:r>
        <w:br/>
      </w:r>
      <w:r>
        <w:rPr>
          <w:rStyle w:val="VerbatimChar"/>
        </w:rPr>
        <w:t xml:space="preserve">├── docs/                 # esta documentação</w:t>
      </w:r>
      <w:r>
        <w:br/>
      </w:r>
      <w:r>
        <w:rPr>
          <w:rStyle w:val="VerbatimChar"/>
        </w:rPr>
        <w:t xml:space="preserve">├── specs/                # Spec 00 + as 39 specs convertidas</w:t>
      </w:r>
      <w:r>
        <w:br/>
      </w:r>
      <w:r>
        <w:rPr>
          <w:rStyle w:val="VerbatimChar"/>
        </w:rPr>
        <w:t xml:space="preserve">└── CLAUDE.md · AGENTS.md · .claude/</w:t>
      </w:r>
    </w:p>
    <w:p>
      <w:pPr>
        <w:pStyle w:val="FirstParagraph"/>
      </w:pP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é o item mais importante desta migração.</w:t>
      </w:r>
      <w:r>
        <w:t xml:space="preserve"> </w:t>
      </w:r>
      <w:r>
        <w:t xml:space="preserve">É onde as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viram</w:t>
      </w:r>
      <w:r>
        <w:t xml:space="preserve"> </w:t>
      </w:r>
      <w:r>
        <w:t xml:space="preserve">funções TypeScript puras, sem acesso a banco: motor preditivo, distribuição semanal de carga</w:t>
      </w:r>
      <w:r>
        <w:t xml:space="preserve"> </w:t>
      </w:r>
      <w:r>
        <w:t xml:space="preserve">horária, detecção de conflito de horário, sugestão do DSA, ordenação por antiguidade, tetos</w:t>
      </w:r>
      <w:r>
        <w:t xml:space="preserve"> </w:t>
      </w:r>
      <w:r>
        <w:t xml:space="preserve">normativos. Puras ⇒ testáveis sem banco ⇒ a suíte de invariantes da v2.0 porta quase 1:1.</w:t>
      </w:r>
      <w:r>
        <w:t xml:space="preserve"> </w:t>
      </w:r>
      <w:r>
        <w:rPr>
          <w:bCs/>
          <w:b/>
        </w:rPr>
        <w:t xml:space="preserve">Regra: nada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react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design-system"/>
    <w:p>
      <w:pPr>
        <w:pStyle w:val="Heading2"/>
      </w:pPr>
      <w:r>
        <w:t xml:space="preserve">5. Design System</w:t>
      </w:r>
    </w:p>
    <w:p>
      <w:pPr>
        <w:numPr>
          <w:ilvl w:val="0"/>
          <w:numId w:val="1005"/>
        </w:numPr>
        <w:pStyle w:val="Compact"/>
      </w:pPr>
      <w:r>
        <w:t xml:space="preserve">Tokens CIAARA como CSS custom properties em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sob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(Tailwind v4).</w:t>
      </w:r>
    </w:p>
    <w:p>
      <w:pPr>
        <w:numPr>
          <w:ilvl w:val="0"/>
          <w:numId w:val="1005"/>
        </w:numPr>
        <w:pStyle w:val="Compact"/>
      </w:pPr>
      <w:r>
        <w:t xml:space="preserve">Tema claro e modo noturno via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, estratégia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 persistido — preserva</w:t>
      </w:r>
      <w:r>
        <w:t xml:space="preserve"> </w:t>
      </w:r>
      <w:r>
        <w:rPr>
          <w:rStyle w:val="VerbatimChar"/>
        </w:rPr>
        <w:t xml:space="preserve">RNF-USA-05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da v2.0 deixa de existir: vira</w:t>
      </w:r>
      <w:r>
        <w:t xml:space="preserve"> </w:t>
      </w:r>
      <w:r>
        <w:rPr>
          <w:bCs/>
          <w:b/>
        </w:rPr>
        <w:t xml:space="preserve">tokens + biblioteca de componentes</w:t>
      </w:r>
      <w:r>
        <w:rPr>
          <w:bCs/>
          <w:b/>
        </w:rPr>
        <w:t xml:space="preserve"> </w:t>
      </w:r>
      <w:r>
        <w:rPr>
          <w:bCs/>
          <w:b/>
        </w:rPr>
        <w:t xml:space="preserve">tipada</w:t>
      </w:r>
      <w:r>
        <w:t xml:space="preserve">. O requisito</w:t>
      </w:r>
      <w:r>
        <w:t xml:space="preserve"> </w:t>
      </w:r>
      <w:r>
        <w:rPr>
          <w:rStyle w:val="VerbatimChar"/>
        </w:rPr>
        <w:t xml:space="preserve">RF-DS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preservado</w:t>
      </w:r>
      <w:r>
        <w:t xml:space="preserve">; o mecanismo muda.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Impressão é requisito, não detalhe</w:t>
      </w:r>
      <w:r>
        <w:t xml:space="preserve"> </w:t>
      </w:r>
      <w:r>
        <w:t xml:space="preserve">(</w:t>
      </w:r>
      <w:r>
        <w:rPr>
          <w:rStyle w:val="VerbatimChar"/>
        </w:rPr>
        <w:t xml:space="preserve">RNF-COMP-01</w:t>
      </w:r>
      <w:r>
        <w:t xml:space="preserve">): DSA, Relatório, Cronograma, Ficha do</w:t>
      </w:r>
      <w:r>
        <w:t xml:space="preserve"> </w:t>
      </w:r>
      <w:r>
        <w:t xml:space="preserve">Instrutor, LIQ e OS de Instrutoria mantêm paridade. Rotas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sem shell.</w:t>
      </w:r>
    </w:p>
    <w:p>
      <w:pPr>
        <w:numPr>
          <w:ilvl w:val="0"/>
          <w:numId w:val="1005"/>
        </w:numPr>
        <w:pStyle w:val="Compact"/>
      </w:pPr>
      <w:r>
        <w:t xml:space="preserve">Densidade antes de beleza: é sistema de gestão, com tabelas de centenas de linhas.</w:t>
      </w:r>
    </w:p>
    <w:p>
      <w:pPr>
        <w:numPr>
          <w:ilvl w:val="0"/>
          <w:numId w:val="1005"/>
        </w:numPr>
        <w:pStyle w:val="Compact"/>
      </w:pPr>
      <w:r>
        <w:t xml:space="preserve">Acessibilidade AA; nenhuma cor entra fora dos tokens.</w:t>
      </w:r>
    </w:p>
    <w:p>
      <w:r>
        <w:pict>
          <v:rect style="width:0;height:1.5pt" o:hralign="center" o:hrstd="t" o:hr="t"/>
        </w:pict>
      </w:r>
    </w:p>
    <w:bookmarkEnd w:id="28"/>
    <w:bookmarkStart w:id="29" w:name="estado-e-navegação"/>
    <w:p>
      <w:pPr>
        <w:pStyle w:val="Heading2"/>
      </w:pPr>
      <w:r>
        <w:t xml:space="preserve">6. Estado e navegação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AppState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URL como fonte de verdade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nuqs</w:t>
      </w:r>
      <w:r>
        <w:t xml:space="preserve">. Entrega o que</w:t>
      </w:r>
      <w:r>
        <w:t xml:space="preserve"> </w:t>
      </w:r>
      <w:r>
        <w:rPr>
          <w:rStyle w:val="VerbatimChar"/>
        </w:rPr>
        <w:t xml:space="preserve">RF-NAV</w:t>
      </w:r>
      <w:r>
        <w:t xml:space="preserve"> </w:t>
      </w:r>
      <w:r>
        <w:t xml:space="preserve">pedia e o Apps</w:t>
      </w:r>
      <w:r>
        <w:t xml:space="preserve"> </w:t>
      </w:r>
      <w:r>
        <w:t xml:space="preserve">Script não permitia: histórico do navegador, voltar/avançar, link compartilhável, recarregar sem</w:t>
      </w:r>
      <w:r>
        <w:t xml:space="preserve"> </w:t>
      </w:r>
      <w:r>
        <w:t xml:space="preserve">perder contexto.</w:t>
      </w:r>
    </w:p>
    <w:p>
      <w:pPr>
        <w:numPr>
          <w:ilvl w:val="0"/>
          <w:numId w:val="1006"/>
        </w:numPr>
        <w:pStyle w:val="Compact"/>
      </w:pPr>
      <w:r>
        <w:t xml:space="preserve">Estado de servidor: Server Components + Server Actions com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/</w:t>
      </w:r>
      <w:r>
        <w:rPr>
          <w:rStyle w:val="VerbatimChar"/>
        </w:rPr>
        <w:t xml:space="preserve">revalidateTag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Zustand apenas para estado efêmero de UI.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loading.tsx</w:t>
      </w:r>
      <w:r>
        <w:t xml:space="preserve"> </w:t>
      </w:r>
      <w:r>
        <w:t xml:space="preserve">+ Suspense por segmento;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por segmento (degradação segura,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testes-e-definition-of-done"/>
    <w:p>
      <w:pPr>
        <w:pStyle w:val="Heading2"/>
      </w:pPr>
      <w:r>
        <w:t xml:space="preserve">7. Testes e Definition of Done</w:t>
      </w:r>
    </w:p>
    <w:p>
      <w:pPr>
        <w:pStyle w:val="FirstParagraph"/>
      </w:pPr>
      <w:r>
        <w:t xml:space="preserve">Uma fatia só está pronta 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passam: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sem erro 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sem aviso novo.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Unidade (Vitest):</w:t>
      </w:r>
      <w:r>
        <w:t xml:space="preserve"> </w:t>
      </w:r>
      <w:r>
        <w:t xml:space="preserve">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tocada, com casos sintéticos.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Invariantes (pgTAP):</w:t>
      </w:r>
      <w:r>
        <w:t xml:space="preserve"> </w:t>
      </w:r>
      <w:r>
        <w:t xml:space="preserve">contagens, integridade referencial, e uma asserção</w:t>
      </w:r>
      <w:r>
        <w:t xml:space="preserve"> </w:t>
      </w:r>
      <w:r>
        <w:rPr>
          <w:bCs/>
          <w:b/>
        </w:rPr>
        <w:t xml:space="preserve">nomeada</w:t>
      </w:r>
      <w:r>
        <w:t xml:space="preserve"> </w:t>
      </w:r>
      <w:r>
        <w:t xml:space="preserve">por</w:t>
      </w:r>
      <w:r>
        <w:t xml:space="preserve"> </w:t>
      </w:r>
      <w:r>
        <w:t xml:space="preserve">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. Stub rastreável e explicitamente pendente é melhor que cobertura</w:t>
      </w:r>
      <w:r>
        <w:t xml:space="preserve"> </w:t>
      </w:r>
      <w:r>
        <w:t xml:space="preserve">fingida (Princípio VIII).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RLS — teste negativo por perfil:</w:t>
      </w:r>
      <w:r>
        <w:t xml:space="preserve"> </w:t>
      </w:r>
      <w:r>
        <w:t xml:space="preserve">o que cada perfil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ler ou escrever é negado</w:t>
      </w:r>
      <w:r>
        <w:t xml:space="preserve"> </w:t>
      </w:r>
      <w:r>
        <w:rPr>
          <w:bCs/>
          <w:b/>
        </w:rPr>
        <w:t xml:space="preserve">pelo banco</w:t>
      </w:r>
      <w:r>
        <w:t xml:space="preserve">. Testar só o caminho feliz aprovaria uma RLS desligada.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E2E (Playwright):</w:t>
      </w:r>
      <w:r>
        <w:t xml:space="preserve"> </w:t>
      </w:r>
      <w:r>
        <w:t xml:space="preserve">o percurso principal, incluindo a rota de impressão quando houver.</w:t>
      </w:r>
    </w:p>
    <w:p>
      <w:pPr>
        <w:numPr>
          <w:ilvl w:val="0"/>
          <w:numId w:val="1007"/>
        </w:numPr>
        <w:pStyle w:val="Compact"/>
      </w:pPr>
      <w:r>
        <w:t xml:space="preserve">Migration aplicada em preview e revertível.</w:t>
      </w:r>
    </w:p>
    <w:p>
      <w:pPr>
        <w:numPr>
          <w:ilvl w:val="0"/>
          <w:numId w:val="1007"/>
        </w:numPr>
        <w:pStyle w:val="Compact"/>
      </w:pPr>
      <w:r>
        <w:t xml:space="preserve">Commit no padrão</w:t>
      </w:r>
      <w:r>
        <w:t xml:space="preserve"> </w:t>
      </w:r>
      <w:r>
        <w:rPr>
          <w:rStyle w:val="VerbatimChar"/>
        </w:rPr>
        <w:t xml:space="preserve">feat(RF-DSA-08): …</w:t>
      </w:r>
      <w:r>
        <w:t xml:space="preserve"> </w:t>
      </w:r>
      <w:r>
        <w:t xml:space="preserve">citando o identificador de origem.</w:t>
      </w:r>
    </w:p>
    <w:p>
      <w:pPr>
        <w:pStyle w:val="FirstParagraph"/>
      </w:pPr>
      <w:r>
        <w:rPr>
          <w:bCs/>
          <w:b/>
        </w:rPr>
        <w:t xml:space="preserve">Validação de não regressão por invariantes estruturais e matemáticos</w:t>
      </w:r>
      <w:r>
        <w:t xml:space="preserve">, nunca por diff com a</w:t>
      </w:r>
      <w:r>
        <w:t xml:space="preserve"> </w:t>
      </w:r>
      <w:r>
        <w:t xml:space="preserve">saída histórica de um curso — a CAHO 2026 foi rejeitada como padrão-ouro pelo Bernardo em</w:t>
      </w:r>
      <w:r>
        <w:t xml:space="preserve"> </w:t>
      </w:r>
      <w:r>
        <w:t xml:space="preserve">2026-08-10.</w:t>
      </w:r>
    </w:p>
    <w:p>
      <w:r>
        <w:pict>
          <v:rect style="width:0;height:1.5pt" o:hralign="center" o:hrstd="t" o:hr="t"/>
        </w:pict>
      </w:r>
    </w:p>
    <w:bookmarkEnd w:id="30"/>
    <w:bookmarkStart w:id="31" w:name="épicos-da-v2.1"/>
    <w:p>
      <w:pPr>
        <w:pStyle w:val="Heading2"/>
      </w:pPr>
      <w:r>
        <w:t xml:space="preserve">8. Épicos da v2.1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Fundação: repo, Next.js, Supabase, CI, tipos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(migração)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PostgreSQL + RLS + matriz de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 C 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Sheets → PostgreSQL + 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por convite, gestão de usuários,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+ shell de navegação por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 A, B 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Cadastros: cursos, turmas, disciplinas,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RF-CURSOS/MATERIAS/INSTR/CRUD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Semanal de Aula (lançamento + impressão)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unificado + motor preditivo multi-ano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 simplificadas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 AEC/TAD/TR/Estudo Individual + 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 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LIQ, OS de Instrutoria, Ficha de Docentes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027, 028, 022–026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à Avaliação Externa /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J</w:t>
            </w:r>
          </w:p>
        </w:tc>
      </w:tr>
    </w:tbl>
    <w:p>
      <w:pPr>
        <w:pStyle w:val="BodyText"/>
      </w:pPr>
      <w:r>
        <w:t xml:space="preserve">Sequenciamento:</w:t>
      </w:r>
      <w:r>
        <w:t xml:space="preserve"> </w:t>
      </w:r>
      <w:r>
        <w:rPr>
          <w:rStyle w:val="VerbatimChar"/>
        </w:rPr>
        <w:t xml:space="preserve">0 → 1 → 2 → 3 → 4</w:t>
      </w:r>
      <w:r>
        <w:t xml:space="preserve">, depois por valor.</w:t>
      </w:r>
      <w:r>
        <w:t xml:space="preserve"> </w:t>
      </w:r>
      <w:r>
        <w:rPr>
          <w:bCs/>
          <w:b/>
        </w:rPr>
        <w:t xml:space="preserve">2 antes de 3:</w:t>
      </w:r>
      <w:r>
        <w:t xml:space="preserve"> </w:t>
      </w:r>
      <w:r>
        <w:t xml:space="preserve">sem dado migrado não há</w:t>
      </w:r>
      <w:r>
        <w:t xml:space="preserve"> </w:t>
      </w:r>
      <w:r>
        <w:t xml:space="preserve">o que proteger.</w:t>
      </w:r>
    </w:p>
    <w:p>
      <w:r>
        <w:pict>
          <v:rect style="width:0;height:1.5pt" o:hralign="center" o:hrstd="t" o:hr="t"/>
        </w:pict>
      </w:r>
    </w:p>
    <w:bookmarkEnd w:id="31"/>
    <w:bookmarkStart w:id="32" w:name="o-que-não-muda-invariável"/>
    <w:p>
      <w:pPr>
        <w:pStyle w:val="Heading2"/>
      </w:pPr>
      <w:r>
        <w:t xml:space="preserve">9. O que NÃO muda (invariável)</w:t>
      </w:r>
    </w:p>
    <w:p>
      <w:pPr>
        <w:numPr>
          <w:ilvl w:val="0"/>
          <w:numId w:val="1008"/>
        </w:numPr>
        <w:pStyle w:val="Compact"/>
      </w:pPr>
      <w:r>
        <w:t xml:space="preserve">Todo o corpo normativo: DGPM-101/103, DEnsM-1002/1004/2001/2003, PCP-FCT-2, PROENS, Regimento</w:t>
      </w:r>
      <w:r>
        <w:t xml:space="preserve"> </w:t>
      </w:r>
      <w:r>
        <w:t xml:space="preserve">Interno.</w:t>
      </w:r>
    </w:p>
    <w:p>
      <w:pPr>
        <w:numPr>
          <w:ilvl w:val="0"/>
          <w:numId w:val="1008"/>
        </w:numPr>
        <w:pStyle w:val="Compact"/>
      </w:pPr>
      <w:r>
        <w:t xml:space="preserve">Termos intraduzíveis, jamais abreviados ou substituídos:</w:t>
      </w:r>
      <w:r>
        <w:t xml:space="preserve"> </w:t>
      </w:r>
      <w:r>
        <w:rPr>
          <w:bCs/>
          <w:b/>
        </w:rPr>
        <w:t xml:space="preserve">CHD, AEC, TAD, TR, TA, DSA, CHR,</w:t>
      </w:r>
      <w:r>
        <w:rPr>
          <w:bCs/>
          <w:b/>
        </w:rPr>
        <w:t xml:space="preserve"> </w:t>
      </w:r>
      <w:r>
        <w:rPr>
          <w:bCs/>
          <w:b/>
        </w:rPr>
        <w:t xml:space="preserve">PROENS, DGPM-101/103, CAHO, LIQ, OS de Instrutoria, ROTA, LHFC, PM, OD, TFM</w:t>
      </w:r>
      <w:r>
        <w:t xml:space="preserve">, siglas de curso.</w:t>
      </w:r>
    </w:p>
    <w:p>
      <w:pPr>
        <w:numPr>
          <w:ilvl w:val="0"/>
          <w:numId w:val="1008"/>
        </w:numPr>
        <w:pStyle w:val="Compact"/>
      </w:pPr>
      <w:r>
        <w:t xml:space="preserve">Nomenclatura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t xml:space="preserve"> </w:t>
      </w:r>
      <w:r>
        <w:t xml:space="preserve">(decisão P-14), nunca</w:t>
      </w:r>
      <w:r>
        <w:t xml:space="preserve"> </w:t>
      </w:r>
      <w:r>
        <w:t xml:space="preserve">“</w:t>
      </w:r>
      <w:r>
        <w:t xml:space="preserve">Matéria</w:t>
      </w:r>
      <w:r>
        <w:t xml:space="preserve">”</w:t>
      </w:r>
      <w:r>
        <w:t xml:space="preserve">, em schema, código e documentação.</w:t>
      </w:r>
    </w:p>
    <w:p>
      <w:pPr>
        <w:numPr>
          <w:ilvl w:val="0"/>
          <w:numId w:val="1008"/>
        </w:numPr>
        <w:pStyle w:val="Compact"/>
      </w:pPr>
      <w:r>
        <w:t xml:space="preserve">Tetos: AEC ≤ 10% do somatório das CH das disciplinas; TAD ≤ 5% da CHR; TR ≤ 10% da CHR.</w:t>
      </w:r>
    </w:p>
    <w:p>
      <w:pPr>
        <w:numPr>
          <w:ilvl w:val="0"/>
          <w:numId w:val="1008"/>
        </w:numPr>
        <w:pStyle w:val="Compact"/>
      </w:pPr>
      <w:r>
        <w:t xml:space="preserve">Faixas de CH docente: 20h → 8–12 h; 40h → 16–24 h; Dedicação Exclusiva → 16–30 h.</w:t>
      </w:r>
    </w:p>
    <w:p>
      <w:pPr>
        <w:numPr>
          <w:ilvl w:val="0"/>
          <w:numId w:val="1008"/>
        </w:numPr>
        <w:pStyle w:val="Compact"/>
      </w:pPr>
      <w:r>
        <w:t xml:space="preserve">9º TA é</w:t>
      </w:r>
      <w:r>
        <w:t xml:space="preserve"> </w:t>
      </w:r>
      <w:r>
        <w:rPr>
          <w:bCs/>
          <w:b/>
        </w:rPr>
        <w:t xml:space="preserve">alerta informativo, nunca bloqueio</w:t>
      </w:r>
      <w:r>
        <w:t xml:space="preserve"> </w:t>
      </w:r>
      <w:r>
        <w:t xml:space="preserve">(autorizado por currículo de CAHO, C-Ap-HN,</w:t>
      </w:r>
      <w:r>
        <w:t xml:space="preserve"> </w:t>
      </w:r>
      <w:r>
        <w:t xml:space="preserve">C-Ap-FR).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RNF-NORM-04</w:t>
      </w:r>
      <w:r>
        <w:t xml:space="preserve"> </w:t>
      </w:r>
      <w:r>
        <w:t xml:space="preserve">(sequenciamento pedagógico) permanece</w:t>
      </w:r>
      <w:r>
        <w:t xml:space="preserve"> </w:t>
      </w:r>
      <w:r>
        <w:rPr>
          <w:bCs/>
          <w:b/>
        </w:rPr>
        <w:t xml:space="preserve">rejeitado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RNF-NORM-06</w:t>
      </w:r>
      <w:r>
        <w:t xml:space="preserve">: o sistema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calcula nota, média final, aprovação ou documento escolar —</w:t>
      </w:r>
      <w:r>
        <w:t xml:space="preserve"> </w:t>
      </w:r>
      <w:r>
        <w:t xml:space="preserve">competência das divisões CIAARA-32 e CIAARA-12.</w:t>
      </w:r>
    </w:p>
    <w:p>
      <w:pPr>
        <w:numPr>
          <w:ilvl w:val="0"/>
          <w:numId w:val="1008"/>
        </w:numPr>
        <w:pStyle w:val="Compact"/>
      </w:pPr>
      <w:r>
        <w:t xml:space="preserve">Contenção de escopo (Princípio IX):</w:t>
      </w:r>
      <w:r>
        <w:t xml:space="preserve"> </w:t>
      </w:r>
      <w:r>
        <w:rPr>
          <w:iCs/>
          <w:i/>
        </w:rPr>
        <w:t xml:space="preserve">este processo está atribuído à CIAARA-11 na Matriz de</w:t>
      </w:r>
      <w:r>
        <w:rPr>
          <w:iCs/>
          <w:i/>
        </w:rPr>
        <w:t xml:space="preserve"> </w:t>
      </w:r>
      <w:r>
        <w:rPr>
          <w:iCs/>
          <w:i/>
        </w:rPr>
        <w:t xml:space="preserve">Responsabilidades?</w:t>
      </w:r>
      <w:r>
        <w:t xml:space="preserve"> </w:t>
      </w:r>
      <w:r>
        <w:t xml:space="preserve">Se não, está fora.</w:t>
      </w:r>
    </w:p>
    <w:p>
      <w:pPr>
        <w:numPr>
          <w:ilvl w:val="0"/>
          <w:numId w:val="1008"/>
        </w:numPr>
        <w:pStyle w:val="Compact"/>
      </w:pPr>
      <w:r>
        <w:t xml:space="preserve">Degradação segura (</w:t>
      </w:r>
      <w:r>
        <w:rPr>
          <w:rStyle w:val="VerbatimChar"/>
        </w:rPr>
        <w:t xml:space="preserve">RN-DEG-01</w:t>
      </w:r>
      <w:r>
        <w:t xml:space="preserve">) e alerta-não-bloqueio (</w:t>
      </w:r>
      <w:r>
        <w:rPr>
          <w:rStyle w:val="VerbatimChar"/>
        </w:rPr>
        <w:t xml:space="preserve">RN-DEG-02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Integridade do histórico: nenhuma linha de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já gravada é reescrita.</w:t>
      </w:r>
    </w:p>
    <w:p>
      <w:pPr>
        <w:numPr>
          <w:ilvl w:val="0"/>
          <w:numId w:val="1008"/>
        </w:numPr>
        <w:pStyle w:val="Compact"/>
      </w:pPr>
      <w:r>
        <w:t xml:space="preserve">Português do Brasil em toda interface, documentação, spec e mensagem de commit.</w:t>
      </w:r>
    </w:p>
    <w:p>
      <w:r>
        <w:pict>
          <v:rect style="width:0;height:1.5pt" o:hralign="center" o:hrstd="t" o:hr="t"/>
        </w:pict>
      </w:r>
    </w:p>
    <w:bookmarkEnd w:id="32"/>
    <w:bookmarkStart w:id="33" w:name="X4fb25a3db543abf83bb56723f8c87052d053ee0"/>
    <w:p>
      <w:pPr>
        <w:pStyle w:val="Heading2"/>
      </w:pPr>
      <w:r>
        <w:t xml:space="preserve">10. Volumes reais (para dimensionar, não para otimizar)</w:t>
      </w:r>
    </w:p>
    <w:p>
      <w:pPr>
        <w:pStyle w:val="FirstParagraph"/>
      </w:pPr>
      <w:r>
        <w:t xml:space="preserve">Conferidos contra a planilha viva em</w:t>
      </w:r>
      <w:r>
        <w:t xml:space="preserve"> </w:t>
      </w:r>
      <w:r>
        <w:rPr>
          <w:bCs/>
          <w:b/>
        </w:rPr>
        <w:t xml:space="preserve">26/08/2026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substituem</w:t>
      </w:r>
      <w:r>
        <w:t xml:space="preserve"> </w:t>
      </w:r>
      <w:r>
        <w:t xml:space="preserve">os números do inventário de</w:t>
      </w:r>
      <w:r>
        <w:t xml:space="preserve"> </w:t>
      </w:r>
      <w:r>
        <w:t xml:space="preserve">02/08 que ainda circulam em alguns documentos: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Documentado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  <w:r>
              <w:t xml:space="preserve"> </w:t>
            </w:r>
            <w:r>
              <w:rPr>
                <w:iCs/>
                <w:i/>
              </w:rPr>
              <w:t xml:space="preserve">(+1 linha-lixo a descartar)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Vínculos instrutor↔disciplina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Atividades não 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</w:tr>
    </w:tbl>
    <w:p>
      <w:pPr>
        <w:pStyle w:val="BodyText"/>
      </w:pPr>
      <w:r>
        <w:t xml:space="preserve">Registros de aula caíram e avaliações subiram porque a</w:t>
      </w:r>
      <w:r>
        <w:t xml:space="preserve"> </w:t>
      </w:r>
      <w:r>
        <w:rPr>
          <w:bCs/>
          <w:b/>
        </w:rPr>
        <w:t xml:space="preserve">fusão de agendamento e execução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RN-AVAL-02</w:t>
      </w:r>
      <w:r>
        <w:t xml:space="preserve">) foi executada depois do inventário: 186 execuções saíram de</w:t>
      </w:r>
      <w:r>
        <w:t xml:space="preserve"> </w:t>
      </w:r>
      <w:r>
        <w:rPr>
          <w:rStyle w:val="VerbatimChar"/>
        </w:rPr>
        <w:t xml:space="preserve">Registro_Aulas_E_Atividades</w:t>
      </w:r>
      <w:r>
        <w:t xml:space="preserve">, foram para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 </w:t>
      </w:r>
      <w:r>
        <w:t xml:space="preserve">e foram conciliadas em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É uma base pequena. Priorize clareza de schema e manutenibilidade sobre desempenho</w:t>
      </w:r>
      <w:r>
        <w:t xml:space="preserve"> </w:t>
      </w:r>
      <w:r>
        <w:t xml:space="preserve">—</w:t>
      </w:r>
      <w:r>
        <w:t xml:space="preserve"> </w:t>
      </w:r>
      <w:r>
        <w:t xml:space="preserve">desempenho não é um problema real deste sistema, e a v2.1 não deve fingir que é.</w:t>
      </w:r>
    </w:p>
    <w:p>
      <w:r>
        <w:pict>
          <v:rect style="width:0;height:1.5pt" o:hralign="center" o:hrstd="t" o:hr="t"/>
        </w:pict>
      </w:r>
    </w:p>
    <w:bookmarkEnd w:id="33"/>
    <w:bookmarkStart w:id="35" w:name="estado-verificado-do-schema"/>
    <w:p>
      <w:pPr>
        <w:pStyle w:val="Heading2"/>
      </w:pPr>
      <w:r>
        <w:t xml:space="preserve">11. Estado verificado do schema</w:t>
      </w:r>
    </w:p>
    <w:p>
      <w:pPr>
        <w:pStyle w:val="Heading3"/>
      </w:pPr>
      <w:bookmarkStart w:id="34" w:name="Xb1b43fc7e780fb43c056ecdd8ee43808dd26a27"/>
      <w:r>
        <w:t xml:space="preserve">⚠️</w:t>
      </w:r>
      <w:r>
        <w:t xml:space="preserve"> </w:t>
      </w:r>
      <w:r>
        <w:rPr>
          <w:rStyle w:val="VerbatimChar"/>
        </w:rPr>
        <w:t xml:space="preserve">docs/sql-referencia/</w:t>
      </w:r>
      <w:r>
        <w:t xml:space="preserve"> </w:t>
      </w:r>
      <w:r>
        <w:t xml:space="preserve">é REFERÊNCIA, não é a migration do Épico 1</w:t>
      </w:r>
      <w:bookmarkEnd w:id="34"/>
    </w:p>
    <w:p>
      <w:pPr>
        <w:pStyle w:val="BlockText"/>
      </w:pPr>
      <w:r>
        <w:t xml:space="preserve">Os números abaixo são reais e foram medidos — mas</w:t>
      </w:r>
      <w:r>
        <w:t xml:space="preserve"> </w:t>
      </w:r>
      <w:r>
        <w:rPr>
          <w:bCs/>
          <w:b/>
        </w:rPr>
        <w:t xml:space="preserve">datam de antes da decisão UE-1</w:t>
      </w:r>
      <w:r>
        <w:t xml:space="preserve">, tomada em</w:t>
      </w:r>
      <w:r>
        <w:t xml:space="preserve"> </w:t>
      </w:r>
      <w:r>
        <w:t xml:space="preserve">26/08/2026. Duas divergências conhecidas, e nenhuma delas é erro do script: são o schema anterior</w:t>
      </w:r>
      <w:r>
        <w:t xml:space="preserve"> </w:t>
      </w:r>
      <w:r>
        <w:t xml:space="preserve">a uma decisão que veio depois.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docs/sql-referencia/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Épico 1 deve implementar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  <w:r>
              <w:t xml:space="preserve"> </w:t>
            </w:r>
            <w:r>
              <w:t xml:space="preserve">— falta</w:t>
            </w:r>
            <w:r>
              <w:t xml:space="preserve"> </w:t>
            </w:r>
            <w:r>
              <w:rPr>
                <w:rStyle w:val="VerbatimChar"/>
              </w:rPr>
              <w:t xml:space="preserve">unidades_ensino</w:t>
            </w:r>
            <w:r>
              <w:t xml:space="preserve"> </w:t>
            </w:r>
            <w:r>
              <w:t xml:space="preserve">(§2.1)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Grão de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 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unidade_ensino_id</w:t>
            </w:r>
            <w:r>
              <w:t xml:space="preserve"> </w:t>
            </w:r>
            <w:r>
              <w:t xml:space="preserve">— grão de UE (§2.2)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 executada da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do próprio fato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VIEW/</w:t>
            </w:r>
            <w:r>
              <w:rPr>
                <w:rStyle w:val="VerbatimChar"/>
                <w:bCs/>
                <w:b/>
              </w:rPr>
              <w:t xml:space="preserve">GENERATED</w:t>
            </w:r>
            <w:r>
              <w:t xml:space="preserve"> </w:t>
            </w:r>
            <w:r>
              <w:t xml:space="preserve">sobre as UEs (§2.2)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Tudo o mais permanece válido e vale a pena reaproveitar</w:t>
      </w:r>
      <w:r>
        <w:t xml:space="preserve">: os 27 ENUMs, as funções do schema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as 74 policies, a matriz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semeada, os gatilhos de auditoria e as duas</w:t>
      </w:r>
      <w:r>
        <w:t xml:space="preserve"> </w:t>
      </w:r>
      <w:r>
        <w:t xml:space="preserve">correções de produção do fim desta seção não são afetados pela mudança de grão.</w:t>
      </w:r>
    </w:p>
    <w:p>
      <w:pPr>
        <w:pStyle w:val="BlockText"/>
      </w:pPr>
      <w:r>
        <w:rPr>
          <w:bCs/>
          <w:b/>
        </w:rPr>
        <w:t xml:space="preserve">Regra para o agente do Épico 1:</w:t>
      </w:r>
      <w:r>
        <w:t xml:space="preserve"> </w:t>
      </w:r>
      <w:r>
        <w:t xml:space="preserve">o script de referência é ponto de partida revisável,</w:t>
      </w:r>
      <w:r>
        <w:t xml:space="preserve"> </w:t>
      </w:r>
      <w:r>
        <w:rPr>
          <w:bCs/>
          <w:b/>
        </w:rPr>
        <w:t xml:space="preserve">não é</w:t>
      </w:r>
      <w:r>
        <w:rPr>
          <w:bCs/>
          <w:b/>
        </w:rPr>
        <w:t xml:space="preserve"> </w:t>
      </w:r>
      <w:r>
        <w:rPr>
          <w:bCs/>
          <w:b/>
        </w:rPr>
        <w:t xml:space="preserve">cópia</w:t>
      </w:r>
      <w:r>
        <w:t xml:space="preserve">. Onde §2.1 ou §2.2 divergirem dele,</w:t>
      </w:r>
      <w:r>
        <w:t xml:space="preserve"> </w:t>
      </w:r>
      <w:r>
        <w:rPr>
          <w:bCs/>
          <w:b/>
        </w:rPr>
        <w:t xml:space="preserve">o BRIEF vence</w:t>
      </w:r>
      <w:r>
        <w:t xml:space="preserve"> </w:t>
      </w:r>
      <w:r>
        <w:t xml:space="preserve">— e a divergência é do script, que</w:t>
      </w:r>
      <w:r>
        <w:t xml:space="preserve"> </w:t>
      </w:r>
      <w:r>
        <w:t xml:space="preserve">nasceu antes da decisão.</w:t>
      </w:r>
    </w:p>
    <w:p>
      <w:pPr>
        <w:pStyle w:val="FirstParagraph"/>
      </w:pPr>
      <w:r>
        <w:t xml:space="preserve">As seis migrations de</w:t>
      </w:r>
      <w:r>
        <w:t xml:space="preserve"> </w:t>
      </w:r>
      <w:r>
        <w:rPr>
          <w:rStyle w:val="VerbatimChar"/>
        </w:rPr>
        <w:t xml:space="preserve">docs/sql-referencia/</w:t>
      </w:r>
      <w:r>
        <w:t xml:space="preserve"> </w:t>
      </w:r>
      <w:r>
        <w:t xml:space="preserve">foram aplicadas em ordem contra um</w:t>
      </w:r>
      <w:r>
        <w:t xml:space="preserve"> </w:t>
      </w:r>
      <w:r>
        <w:rPr>
          <w:bCs/>
          <w:b/>
        </w:rPr>
        <w:t xml:space="preserve">PostgreSQL 16</w:t>
      </w:r>
      <w:r>
        <w:rPr>
          <w:bCs/>
          <w:b/>
        </w:rPr>
        <w:t xml:space="preserve"> </w:t>
      </w:r>
      <w:r>
        <w:rPr>
          <w:bCs/>
          <w:b/>
        </w:rPr>
        <w:t xml:space="preserve">real</w:t>
      </w:r>
      <w:r>
        <w:t xml:space="preserve">, com stubs 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e dos papéis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/</w:t>
      </w:r>
      <w:r>
        <w:rPr>
          <w:rStyle w:val="VerbatimChar"/>
        </w:rPr>
        <w:t xml:space="preserve">authenticated</w:t>
      </w:r>
      <w:r>
        <w:t xml:space="preserve">/</w:t>
      </w:r>
      <w:r>
        <w:rPr>
          <w:rStyle w:val="VerbatimChar"/>
        </w:rPr>
        <w:t xml:space="preserve">service_role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(no script de referência)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  <w:r>
              <w:t xml:space="preserve"> </w:t>
            </w:r>
            <w:r>
              <w:t xml:space="preserve">— o alvo é 27,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primárias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estrangeiras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</w:t>
            </w:r>
            <w:r>
              <w:t xml:space="preserve">, todas com</w:t>
            </w:r>
            <w:r>
              <w:t xml:space="preserve"> </w:t>
            </w:r>
            <w:r>
              <w:rPr>
                <w:rStyle w:val="VerbatimChar"/>
              </w:rPr>
              <w:t xml:space="preserve">ON DELETE</w:t>
            </w:r>
            <w:r>
              <w:t xml:space="preserve"> </w:t>
            </w:r>
            <w:r>
              <w:t xml:space="preserve">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Restrições de unicidade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sem 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 de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(deliberado)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 semente de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docs/sql-referencia/schema_completo.sql</w:t>
      </w:r>
      <w:r>
        <w:t xml:space="preserve"> </w:t>
      </w:r>
      <w:r>
        <w:t xml:space="preserve">roda de uma vez, sem erro, e serve para colar no SQL</w:t>
      </w:r>
      <w:r>
        <w:t xml:space="preserve"> </w:t>
      </w:r>
      <w:r>
        <w:t xml:space="preserve">Editor do Supabase.</w:t>
      </w:r>
    </w:p>
    <w:p>
      <w:pPr>
        <w:pStyle w:val="BodyText"/>
      </w:pPr>
      <w:r>
        <w:rPr>
          <w:bCs/>
          <w:b/>
        </w:rPr>
        <w:t xml:space="preserve">Dois defeitos de produção foram encontrados pela validação com sessão autenticada de verdade</w:t>
      </w:r>
      <w:r>
        <w:t xml:space="preserve"> </w:t>
      </w:r>
      <w:r>
        <w:t xml:space="preserve">—</w:t>
      </w:r>
      <w:r>
        <w:t xml:space="preserve"> </w:t>
      </w:r>
      <w:r>
        <w:t xml:space="preserve">nenhum apareceria em revisão de código, e ambos estão no caminho menos testado, o de servidor: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permission denied for schema extensions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app.normalizar_texto()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extensions.unaccent()</w:t>
      </w:r>
      <w:r>
        <w:t xml:space="preserve"> </w:t>
      </w:r>
      <w:r>
        <w:t xml:space="preserve">no contexto de quem faz o INSERT. Sem</w:t>
      </w:r>
      <w:r>
        <w:t xml:space="preserve"> </w:t>
      </w:r>
      <w:r>
        <w:rPr>
          <w:rStyle w:val="VerbatimChar"/>
        </w:rPr>
        <w:t xml:space="preserve">grant usage on schema extensions to authenticated</w:t>
      </w:r>
      <w:r>
        <w:t xml:space="preserve">,</w:t>
      </w:r>
      <w:r>
        <w:t xml:space="preserve"> </w:t>
      </w:r>
      <w:r>
        <w:rPr>
          <w:bCs/>
          <w:b/>
        </w:rPr>
        <w:t xml:space="preserve">todo INSERT de usuário real falha</w:t>
      </w:r>
      <w:r>
        <w:t xml:space="preserve">,</w:t>
      </w:r>
      <w:r>
        <w:t xml:space="preserve"> </w:t>
      </w:r>
      <w:r>
        <w:t xml:space="preserve">enquanto ETL, migration e seed passam por rodarem como dono do schema.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Gatilho anti-escalonamento bloqueando o ETL e o painel administrativo</w:t>
      </w:r>
      <w:r>
        <w:t xml:space="preserve"> </w:t>
      </w:r>
      <w:r>
        <w:t xml:space="preserve">— impedia a carga dos</w:t>
      </w:r>
      <w:r>
        <w:t xml:space="preserve"> </w:t>
      </w:r>
      <w:r>
        <w:t xml:space="preserve">usuários migrados e a desativação de conta pelo Supabase Studio.</w:t>
      </w:r>
    </w:p>
    <w:p>
      <w:r>
        <w:pict>
          <v:rect style="width:0;height:1.5pt" o:hralign="center" o:hrstd="t" o:hr="t"/>
        </w:pict>
      </w:r>
    </w:p>
    <w:bookmarkEnd w:id="35"/>
    <w:bookmarkStart w:id="36" w:name="estilo-de-redação-dos-documentos"/>
    <w:p>
      <w:pPr>
        <w:pStyle w:val="Heading2"/>
      </w:pPr>
      <w:r>
        <w:t xml:space="preserve">12. Estilo de redação dos documentos</w:t>
      </w:r>
    </w:p>
    <w:p>
      <w:pPr>
        <w:numPr>
          <w:ilvl w:val="0"/>
          <w:numId w:val="1010"/>
        </w:numPr>
        <w:pStyle w:val="Compact"/>
      </w:pPr>
      <w:r>
        <w:t xml:space="preserve">Português do Brasil, tom técnico e direto.</w:t>
      </w:r>
    </w:p>
    <w:p>
      <w:pPr>
        <w:numPr>
          <w:ilvl w:val="0"/>
          <w:numId w:val="1010"/>
        </w:numPr>
        <w:pStyle w:val="Compact"/>
      </w:pPr>
      <w:r>
        <w:t xml:space="preserve">Frontmatter YAML: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Toda mudança em relação à v2.0 marcada inline:</w:t>
      </w:r>
      <w:r>
        <w:t xml:space="preserve"> </w:t>
      </w:r>
      <w:r>
        <w:rPr>
          <w:rStyle w:val="VerbatimChar"/>
        </w:rPr>
        <w:t xml:space="preserve">**[MIGRAÇÃO v2.1]**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**[REVOGADO — v2.1]**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**[PRESERVADO]**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**[ABSORVIDO PELA PLATAFORMA]**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**[NOVO — v2.1]**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Rastreabilidade obrigatória: todo item cita seu identificador de origem.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Nunca apagar um requisito.</w:t>
      </w:r>
      <w:r>
        <w:t xml:space="preserve"> </w:t>
      </w:r>
      <w:r>
        <w:t xml:space="preserve">Um requisito que perdeu sentido é marcado</w:t>
      </w:r>
      <w:r>
        <w:t xml:space="preserve"> </w:t>
      </w:r>
      <w:r>
        <w:rPr>
          <w:rStyle w:val="VerbatimChar"/>
        </w:rPr>
        <w:t xml:space="preserve">[REVOGADO — v2.1]</w:t>
      </w:r>
      <w:r>
        <w:t xml:space="preserve"> </w:t>
      </w:r>
      <w:r>
        <w:t xml:space="preserve">com o motivo e o que ficou no lugar.</w:t>
      </w:r>
    </w:p>
    <w:p>
      <w:pPr>
        <w:numPr>
          <w:ilvl w:val="0"/>
          <w:numId w:val="1010"/>
        </w:numPr>
        <w:pStyle w:val="Compact"/>
      </w:pPr>
      <w:r>
        <w:t xml:space="preserve">Comentários didáticos em código explicando</w:t>
      </w:r>
      <w:r>
        <w:t xml:space="preserve"> </w:t>
      </w:r>
      <w:r>
        <w:rPr>
          <w:iCs/>
          <w:i/>
        </w:rPr>
        <w:t xml:space="preserve">o quê</w:t>
      </w:r>
      <w:r>
        <w:t xml:space="preserve">,</w:t>
      </w:r>
      <w:r>
        <w:t xml:space="preserve"> </w:t>
      </w:r>
      <w:r>
        <w:rPr>
          <w:iCs/>
          <w:i/>
        </w:rPr>
        <w:t xml:space="preserve">para quê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como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Tabelas em vez de listas longas quando houver 3+ atributos por item.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v2.1 — Contrato de Consistência</dc:title>
  <dc:creator>CIAARA-11 v2.1</dc:creator>
  <cp:keywords/>
  <dcterms:created xsi:type="dcterms:W3CDTF">2026-08-27T03:00:14Z</dcterms:created>
  <dcterms:modified xsi:type="dcterms:W3CDTF">2026-08-27T03:00:14Z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status">
    <vt:lpwstr>Vigente</vt:lpwstr>
  </property>
  <property fmtid="{D5CDD505-2E9C-101B-9397-08002B2CF9AE}" pid="4" name="version">
    <vt:lpwstr>2.1</vt:lpwstr>
  </property>
</Properties>
</file>