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bookmarkStart w:id="0" w:name="_GoBack"/>
      <w:bookmarkEnd w:id="0"/>
      <w:r>
        <w:t xml:space="preserve">Lab: </w:t>
      </w:r>
      <w:r>
        <w:rPr>
          <w:bCs/>
        </w:rPr>
        <w:t>Interfaces and Abstraction</w:t>
      </w:r>
    </w:p>
    <w:p w14:paraId="463C109A" w14:textId="77777777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7777777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>
          <w:rPr>
            <w:rStyle w:val="Hyperlink"/>
          </w:rPr>
          <w:t>https://judge.softuni.bg/Contests/1501/Interfaces-and-Abstraction-Lab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77777777" w:rsidR="005F0B63" w:rsidRDefault="005F0B63" w:rsidP="005F0B63">
      <w:pPr>
        <w:rPr>
          <w:lang w:val="bg-BG"/>
        </w:rPr>
      </w:pPr>
      <w:r>
        <w:t xml:space="preserve">Build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5"/>
            <w:bookmarkStart w:id="6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5"/>
            <w:bookmarkEnd w:id="6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87C86" w14:textId="77777777" w:rsidR="00DF2F59" w:rsidRDefault="00DF2F59" w:rsidP="008068A2">
      <w:pPr>
        <w:spacing w:after="0" w:line="240" w:lineRule="auto"/>
      </w:pPr>
      <w:r>
        <w:separator/>
      </w:r>
    </w:p>
  </w:endnote>
  <w:endnote w:type="continuationSeparator" w:id="0">
    <w:p w14:paraId="5AFBD74E" w14:textId="77777777" w:rsidR="00DF2F59" w:rsidRDefault="00DF2F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D690A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59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59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D690A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59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59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3C23A" w14:textId="77777777" w:rsidR="00DF2F59" w:rsidRDefault="00DF2F59" w:rsidP="008068A2">
      <w:pPr>
        <w:spacing w:after="0" w:line="240" w:lineRule="auto"/>
      </w:pPr>
      <w:r>
        <w:separator/>
      </w:r>
    </w:p>
  </w:footnote>
  <w:footnote w:type="continuationSeparator" w:id="0">
    <w:p w14:paraId="438BC47E" w14:textId="77777777" w:rsidR="00DF2F59" w:rsidRDefault="00DF2F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5922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F5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6C827F-2430-4906-83C0-227E087F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vill-pc</cp:lastModifiedBy>
  <cp:revision>2</cp:revision>
  <cp:lastPrinted>2015-10-26T22:35:00Z</cp:lastPrinted>
  <dcterms:created xsi:type="dcterms:W3CDTF">2020-11-03T09:43:00Z</dcterms:created>
  <dcterms:modified xsi:type="dcterms:W3CDTF">2020-11-03T09:43:00Z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