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Subjective</w:t>
      </w:r>
    </w:p>
    <w:p>
      <w:r>
        <w:t xml:space="preserve">John Smith reports improved sleep since the last session and fewer intrusive thoughts during the workday.</w:t>
      </w:r>
    </w:p>
    <w:p>
      <w:r>
        <w:rPr>
          <w:b/>
        </w:rPr>
        <w:t xml:space="preserve">Objective</w:t>
      </w:r>
    </w:p>
    <w:p>
      <w:r>
        <w:t xml:space="preserve">Alert and engaged. The restlessness noted at earlier sessions was not present.</w:t>
      </w:r>
    </w:p>
    <w:p>
      <w:r>
        <w:rPr>
          <w:b/>
        </w:rPr>
        <w:t xml:space="preserve">Assessment</w:t>
      </w:r>
    </w:p>
    <w:p>
      <w:r>
        <w:t xml:space="preserve">Continued progress on anxiety management goals.</w:t>
      </w:r>
    </w:p>
    <w:p>
      <w:r>
        <w:rPr>
          <w:b/>
        </w:rPr>
        <w:t xml:space="preserve">Plan</w:t>
      </w:r>
    </w:p>
    <w:p>
      <w:r>
        <w:t xml:space="preserve">Continue weekly sessions. Introduce grounding exercises for use between sessions.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ectionHead">
    <w:name w:val="Section Head"/>
  </w:style>
</w:styles>
</file>