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Willow Creek Counseling — Progress Note</w:t>
      </w:r>
    </w:p>
    <w:p>
      <w:pPr>
        <w:pStyle w:val="Heading2"/>
      </w:pPr>
      <w:r>
        <w:t xml:space="preserve">Subjective</w:t>
      </w:r>
    </w:p>
    <w:p/>
    <w:p>
      <w:pPr>
        <w:pStyle w:val="Heading2"/>
      </w:pPr>
      <w:r>
        <w:t xml:space="preserve">Objective</w:t>
      </w:r>
    </w:p>
    <w:p/>
    <w:p>
      <w:pPr>
        <w:pStyle w:val="Heading2"/>
      </w:pPr>
      <w:r>
        <w:t xml:space="preserve">Assessment</w:t>
      </w:r>
    </w:p>
    <w:p/>
    <w:p>
      <w:pPr>
        <w:pStyle w:val="Heading2"/>
      </w:pPr>
      <w:r>
        <w:t xml:space="preserve">Plan</w:t>
      </w:r>
    </w:p>
    <w:p/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SectionHead">
    <w:name w:val="Section Head"/>
  </w:style>
</w:styles>
</file>