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7CEF" w:rsidRDefault="00047CEF">
      <w:pPr>
        <w:pStyle w:val="Antrat2"/>
        <w:ind w:firstLine="0"/>
        <w:jc w:val="center"/>
      </w:pPr>
    </w:p>
    <w:p w:rsidR="0097763A" w:rsidRDefault="0097763A" w:rsidP="0097763A">
      <w:pPr>
        <w:spacing w:line="360" w:lineRule="auto"/>
        <w:jc w:val="center"/>
        <w:rPr>
          <w:b/>
          <w:caps/>
          <w:szCs w:val="24"/>
        </w:rPr>
      </w:pPr>
      <w:r>
        <w:rPr>
          <w:b/>
          <w:caps/>
          <w:szCs w:val="24"/>
        </w:rPr>
        <w:t>TARYBOS SPRENDIMO PROJEKTO</w:t>
      </w:r>
    </w:p>
    <w:p w:rsidR="0097763A" w:rsidRDefault="0097763A" w:rsidP="0097763A">
      <w:pPr>
        <w:spacing w:line="360" w:lineRule="auto"/>
        <w:jc w:val="center"/>
      </w:pPr>
      <w:r>
        <w:rPr>
          <w:b/>
          <w:caps/>
          <w:szCs w:val="24"/>
        </w:rPr>
        <w:t>„DĖL VILNIAUS MIESTO SAVIVALDYBĖS 201</w:t>
      </w:r>
      <w:r w:rsidR="005F709A">
        <w:rPr>
          <w:b/>
          <w:caps/>
          <w:szCs w:val="24"/>
        </w:rPr>
        <w:t xml:space="preserve">8 </w:t>
      </w:r>
      <w:r>
        <w:rPr>
          <w:b/>
          <w:caps/>
          <w:szCs w:val="24"/>
        </w:rPr>
        <w:t>METŲ BIUDŽETO TVIRTINIMO“</w:t>
      </w:r>
    </w:p>
    <w:p w:rsidR="0097763A" w:rsidRDefault="0097763A" w:rsidP="0097763A">
      <w:pPr>
        <w:pStyle w:val="Antrat2"/>
        <w:ind w:firstLine="0"/>
        <w:jc w:val="center"/>
      </w:pPr>
    </w:p>
    <w:p w:rsidR="0097763A" w:rsidRDefault="0097763A" w:rsidP="0097763A">
      <w:pPr>
        <w:pStyle w:val="Antrat2"/>
        <w:ind w:firstLine="0"/>
        <w:jc w:val="center"/>
        <w:rPr>
          <w:caps/>
          <w:szCs w:val="24"/>
        </w:rPr>
      </w:pPr>
      <w:r>
        <w:t>AIŠKINAMASIS RAŠTAS</w:t>
      </w:r>
    </w:p>
    <w:p w:rsidR="0097763A" w:rsidRDefault="0097763A" w:rsidP="0097763A">
      <w:pPr>
        <w:pStyle w:val="Antrat2"/>
        <w:ind w:firstLine="0"/>
        <w:jc w:val="center"/>
        <w:rPr>
          <w:caps/>
          <w:szCs w:val="24"/>
        </w:rPr>
      </w:pPr>
      <w:r w:rsidRPr="005230AD">
        <w:rPr>
          <w:caps/>
          <w:szCs w:val="24"/>
        </w:rPr>
        <w:t>201</w:t>
      </w:r>
      <w:r w:rsidR="008D6219">
        <w:rPr>
          <w:caps/>
          <w:szCs w:val="24"/>
          <w:lang w:val="en-US"/>
        </w:rPr>
        <w:t>8</w:t>
      </w:r>
      <w:r w:rsidRPr="005230AD">
        <w:rPr>
          <w:caps/>
          <w:szCs w:val="24"/>
        </w:rPr>
        <w:t>-</w:t>
      </w:r>
      <w:r w:rsidR="008D6219">
        <w:rPr>
          <w:caps/>
          <w:szCs w:val="24"/>
        </w:rPr>
        <w:t>01</w:t>
      </w:r>
      <w:r w:rsidRPr="005230AD">
        <w:rPr>
          <w:caps/>
          <w:szCs w:val="24"/>
        </w:rPr>
        <w:t>-</w:t>
      </w:r>
      <w:r w:rsidR="008D6219">
        <w:rPr>
          <w:caps/>
          <w:szCs w:val="24"/>
        </w:rPr>
        <w:t>10</w:t>
      </w:r>
    </w:p>
    <w:p w:rsidR="00775B90" w:rsidRPr="00775B90" w:rsidRDefault="00775B90" w:rsidP="00775B90"/>
    <w:p w:rsidR="0097763A" w:rsidRDefault="0097763A" w:rsidP="00FD7041">
      <w:pPr>
        <w:pStyle w:val="Antrat2"/>
        <w:tabs>
          <w:tab w:val="left" w:pos="567"/>
        </w:tabs>
        <w:ind w:firstLine="0"/>
        <w:rPr>
          <w:b w:val="0"/>
        </w:rPr>
      </w:pPr>
      <w:r>
        <w:rPr>
          <w:szCs w:val="24"/>
        </w:rPr>
        <w:tab/>
        <w:t>1. Parengto teisės akto projekto tikslas ir uždaviniai.</w:t>
      </w:r>
    </w:p>
    <w:p w:rsidR="0097763A" w:rsidRDefault="0097763A" w:rsidP="00FD7041">
      <w:pPr>
        <w:pStyle w:val="Antrat2"/>
        <w:tabs>
          <w:tab w:val="left" w:pos="567"/>
        </w:tabs>
        <w:ind w:firstLine="0"/>
      </w:pPr>
      <w:r>
        <w:rPr>
          <w:b w:val="0"/>
        </w:rPr>
        <w:tab/>
        <w:t>Patvirtinti Vilniaus miesto savivaldybės 201</w:t>
      </w:r>
      <w:r w:rsidR="00E12082">
        <w:rPr>
          <w:b w:val="0"/>
        </w:rPr>
        <w:t>8</w:t>
      </w:r>
      <w:r>
        <w:rPr>
          <w:b w:val="0"/>
        </w:rPr>
        <w:t xml:space="preserve"> metų biudžetą.</w:t>
      </w:r>
    </w:p>
    <w:p w:rsidR="0097763A" w:rsidRDefault="0097763A" w:rsidP="00FD7041">
      <w:pPr>
        <w:pStyle w:val="Pagrindiniotekstotrauka"/>
        <w:tabs>
          <w:tab w:val="left" w:pos="567"/>
        </w:tabs>
        <w:ind w:firstLine="0"/>
      </w:pPr>
      <w:r>
        <w:rPr>
          <w:b/>
        </w:rPr>
        <w:tab/>
        <w:t xml:space="preserve">2. Šiuo metu galiojančios ir teikiamu klausimu siūlomos naujos teisinio reguliavimo nuostatos. </w:t>
      </w:r>
      <w:r>
        <w:rPr>
          <w:b/>
        </w:rPr>
        <w:tab/>
      </w:r>
    </w:p>
    <w:p w:rsidR="0097763A" w:rsidRDefault="0097763A" w:rsidP="00FD7041">
      <w:pPr>
        <w:tabs>
          <w:tab w:val="left" w:pos="567"/>
          <w:tab w:val="left" w:pos="709"/>
        </w:tabs>
        <w:spacing w:line="360" w:lineRule="auto"/>
        <w:jc w:val="both"/>
      </w:pPr>
      <w:r>
        <w:tab/>
        <w:t xml:space="preserve">Vadovaujantis </w:t>
      </w:r>
      <w:r w:rsidR="009C0D26">
        <w:t>LR</w:t>
      </w:r>
      <w:r>
        <w:t xml:space="preserve"> Vietos savivaldos ir Biudžeto sandaros įstatymais,</w:t>
      </w:r>
      <w:r>
        <w:rPr>
          <w:b/>
        </w:rPr>
        <w:t xml:space="preserve"> </w:t>
      </w:r>
      <w:r>
        <w:t>savivaldyb</w:t>
      </w:r>
      <w:r w:rsidR="00E12082">
        <w:t>ių biudžetai tvirtinami</w:t>
      </w:r>
      <w:r>
        <w:t xml:space="preserve"> kasmet Savivaldybės tarybos sprendimu. </w:t>
      </w:r>
    </w:p>
    <w:p w:rsidR="0097763A" w:rsidRPr="00AD6BE1" w:rsidRDefault="0097763A" w:rsidP="00FD7041">
      <w:pPr>
        <w:pStyle w:val="Pagrindinistekstas"/>
        <w:tabs>
          <w:tab w:val="left" w:pos="567"/>
        </w:tabs>
        <w:spacing w:line="360" w:lineRule="auto"/>
        <w:jc w:val="both"/>
        <w:rPr>
          <w:b w:val="0"/>
        </w:rPr>
      </w:pPr>
      <w:r>
        <w:rPr>
          <w:b w:val="0"/>
        </w:rPr>
        <w:tab/>
        <w:t>Vilniaus miesto savivaldybės 201</w:t>
      </w:r>
      <w:r w:rsidR="00E12082">
        <w:rPr>
          <w:b w:val="0"/>
        </w:rPr>
        <w:t>8</w:t>
      </w:r>
      <w:r>
        <w:rPr>
          <w:b w:val="0"/>
        </w:rPr>
        <w:t xml:space="preserve"> metų biudžeto projektas parengtas </w:t>
      </w:r>
      <w:r w:rsidR="004120DF">
        <w:rPr>
          <w:b w:val="0"/>
        </w:rPr>
        <w:t xml:space="preserve">vadovaujantis </w:t>
      </w:r>
      <w:r>
        <w:rPr>
          <w:b w:val="0"/>
        </w:rPr>
        <w:t xml:space="preserve">LR vietos savivaldos įstatymu, LR biudžeto sandaros įstatymu, LR savivaldybių biudžetų pajamų nustatymo metodikos </w:t>
      </w:r>
      <w:r w:rsidRPr="00395071">
        <w:rPr>
          <w:b w:val="0"/>
        </w:rPr>
        <w:t>įstatymu</w:t>
      </w:r>
      <w:r w:rsidR="00711423">
        <w:rPr>
          <w:b w:val="0"/>
        </w:rPr>
        <w:t xml:space="preserve"> </w:t>
      </w:r>
      <w:r w:rsidR="00711423" w:rsidRPr="00991845">
        <w:rPr>
          <w:b w:val="0"/>
        </w:rPr>
        <w:t>(toliau – Metodikos įstatymas)</w:t>
      </w:r>
      <w:r>
        <w:rPr>
          <w:b w:val="0"/>
        </w:rPr>
        <w:t>, LR 201</w:t>
      </w:r>
      <w:r w:rsidR="00E12082">
        <w:rPr>
          <w:b w:val="0"/>
        </w:rPr>
        <w:t>8</w:t>
      </w:r>
      <w:r>
        <w:rPr>
          <w:b w:val="0"/>
        </w:rPr>
        <w:t xml:space="preserve"> metų valstybės biudžeto ir savivaldybių biudžetų finansinių rodiklių patvirtinimo </w:t>
      </w:r>
      <w:r w:rsidRPr="006007CC">
        <w:rPr>
          <w:b w:val="0"/>
        </w:rPr>
        <w:t>įstatym</w:t>
      </w:r>
      <w:r w:rsidR="00ED6C45">
        <w:rPr>
          <w:b w:val="0"/>
        </w:rPr>
        <w:t>u</w:t>
      </w:r>
      <w:r w:rsidR="00DA786C">
        <w:rPr>
          <w:b w:val="0"/>
        </w:rPr>
        <w:t xml:space="preserve"> </w:t>
      </w:r>
      <w:r w:rsidR="00946446" w:rsidRPr="00991845">
        <w:rPr>
          <w:b w:val="0"/>
        </w:rPr>
        <w:t>(tolia</w:t>
      </w:r>
      <w:r w:rsidR="00711423" w:rsidRPr="00991845">
        <w:rPr>
          <w:b w:val="0"/>
        </w:rPr>
        <w:t>u – Finansinių rodiklių įstatymas</w:t>
      </w:r>
      <w:r w:rsidR="00946446" w:rsidRPr="00991845">
        <w:rPr>
          <w:b w:val="0"/>
        </w:rPr>
        <w:t>)</w:t>
      </w:r>
      <w:r w:rsidRPr="00991845">
        <w:rPr>
          <w:b w:val="0"/>
        </w:rPr>
        <w:t>,</w:t>
      </w:r>
      <w:r>
        <w:rPr>
          <w:b w:val="0"/>
        </w:rPr>
        <w:t xml:space="preserve"> </w:t>
      </w:r>
      <w:r w:rsidR="004120DF">
        <w:rPr>
          <w:b w:val="0"/>
          <w:sz w:val="22"/>
          <w:szCs w:val="22"/>
        </w:rPr>
        <w:t xml:space="preserve">LR </w:t>
      </w:r>
      <w:r w:rsidR="004120DF" w:rsidRPr="004120DF">
        <w:rPr>
          <w:b w:val="0"/>
          <w:szCs w:val="24"/>
        </w:rPr>
        <w:t>f</w:t>
      </w:r>
      <w:proofErr w:type="spellStart"/>
      <w:r w:rsidR="004120DF" w:rsidRPr="004120DF">
        <w:rPr>
          <w:b w:val="0"/>
          <w:szCs w:val="24"/>
          <w:lang w:val="x-none"/>
        </w:rPr>
        <w:t>iskalinės</w:t>
      </w:r>
      <w:proofErr w:type="spellEnd"/>
      <w:r w:rsidR="004120DF" w:rsidRPr="004120DF">
        <w:rPr>
          <w:b w:val="0"/>
          <w:szCs w:val="24"/>
          <w:lang w:val="x-none"/>
        </w:rPr>
        <w:t xml:space="preserve"> </w:t>
      </w:r>
      <w:r w:rsidR="004120DF" w:rsidRPr="004120DF">
        <w:rPr>
          <w:b w:val="0"/>
          <w:szCs w:val="24"/>
        </w:rPr>
        <w:t>sutarties įgyvendinimo konstituciniu</w:t>
      </w:r>
      <w:r w:rsidR="004120DF" w:rsidRPr="004120DF">
        <w:rPr>
          <w:b w:val="0"/>
          <w:szCs w:val="24"/>
          <w:lang w:val="x-none"/>
        </w:rPr>
        <w:t xml:space="preserve"> įstatym</w:t>
      </w:r>
      <w:r w:rsidR="004120DF" w:rsidRPr="004120DF">
        <w:rPr>
          <w:b w:val="0"/>
          <w:szCs w:val="24"/>
        </w:rPr>
        <w:t>u</w:t>
      </w:r>
      <w:r w:rsidR="004120DF" w:rsidRPr="009C0D26">
        <w:rPr>
          <w:b w:val="0"/>
          <w:sz w:val="22"/>
          <w:szCs w:val="22"/>
          <w:lang w:val="x-none"/>
        </w:rPr>
        <w:t>,</w:t>
      </w:r>
      <w:r w:rsidR="004120DF">
        <w:rPr>
          <w:b w:val="0"/>
          <w:sz w:val="22"/>
          <w:szCs w:val="22"/>
        </w:rPr>
        <w:t xml:space="preserve"> </w:t>
      </w:r>
      <w:r w:rsidR="00E12082">
        <w:rPr>
          <w:b w:val="0"/>
        </w:rPr>
        <w:t>LRV</w:t>
      </w:r>
      <w:r>
        <w:rPr>
          <w:b w:val="0"/>
        </w:rPr>
        <w:t xml:space="preserve"> nutarimu „Dėl Lietuvos Respublikos valstybės biudžeto ir savivaldybių biudžetų sudarymo ir vykdymo taisyklių patvirtinimo“ bei kitais LR </w:t>
      </w:r>
      <w:r w:rsidRPr="00AD6BE1">
        <w:rPr>
          <w:b w:val="0"/>
        </w:rPr>
        <w:t xml:space="preserve">įstatymais ir teisės aktais, o taip pat Vilniaus miesto savivaldybės tarybos 2015-11-11 sprendimu Nr. 1-234 „Dėl Vilniaus miesto savivaldybės </w:t>
      </w:r>
      <w:r w:rsidR="008D066A" w:rsidRPr="00AD6BE1">
        <w:rPr>
          <w:b w:val="0"/>
        </w:rPr>
        <w:t>veiklos 2015–</w:t>
      </w:r>
      <w:r w:rsidRPr="00AD6BE1">
        <w:rPr>
          <w:b w:val="0"/>
        </w:rPr>
        <w:t xml:space="preserve">2019 metais svarbiausių krypčių nustatymo“ bei Savivaldybės administracijos atitinkamų </w:t>
      </w:r>
      <w:r w:rsidR="00AD6BE1" w:rsidRPr="00AD6BE1">
        <w:rPr>
          <w:b w:val="0"/>
        </w:rPr>
        <w:t>pa</w:t>
      </w:r>
      <w:r w:rsidRPr="00AD6BE1">
        <w:rPr>
          <w:b w:val="0"/>
        </w:rPr>
        <w:t>dalinių pajamų prognozėmis.</w:t>
      </w:r>
    </w:p>
    <w:p w:rsidR="004120DF" w:rsidRPr="00AD6BE1" w:rsidRDefault="00361B8C" w:rsidP="00FD7041">
      <w:pPr>
        <w:pStyle w:val="Pagrindinistekstas"/>
        <w:tabs>
          <w:tab w:val="left" w:pos="567"/>
        </w:tabs>
        <w:spacing w:line="360" w:lineRule="auto"/>
        <w:ind w:firstLine="720"/>
        <w:jc w:val="both"/>
        <w:rPr>
          <w:b w:val="0"/>
        </w:rPr>
      </w:pPr>
      <w:r w:rsidRPr="00AD6BE1">
        <w:rPr>
          <w:b w:val="0"/>
          <w:bCs w:val="0"/>
          <w:szCs w:val="24"/>
        </w:rPr>
        <w:t>Sprendimo projekte Savivaldybės 201</w:t>
      </w:r>
      <w:r w:rsidR="00E12082" w:rsidRPr="00AD6BE1">
        <w:rPr>
          <w:b w:val="0"/>
          <w:bCs w:val="0"/>
          <w:szCs w:val="24"/>
        </w:rPr>
        <w:t>8</w:t>
      </w:r>
      <w:r w:rsidRPr="00AD6BE1">
        <w:rPr>
          <w:b w:val="0"/>
          <w:bCs w:val="0"/>
          <w:szCs w:val="24"/>
        </w:rPr>
        <w:t xml:space="preserve"> metų biudžeto planuojamos pajamos – </w:t>
      </w:r>
      <w:r w:rsidR="00514F8D" w:rsidRPr="00AD6BE1">
        <w:rPr>
          <w:b w:val="0"/>
          <w:bCs w:val="0"/>
          <w:szCs w:val="24"/>
        </w:rPr>
        <w:t>551948,2</w:t>
      </w:r>
      <w:r w:rsidRPr="00AD6BE1">
        <w:rPr>
          <w:b w:val="0"/>
          <w:bCs w:val="0"/>
          <w:szCs w:val="24"/>
        </w:rPr>
        <w:t xml:space="preserve"> tūkst. Eur, numatyti asignavimai – </w:t>
      </w:r>
      <w:r w:rsidR="00514F8D" w:rsidRPr="00AD6BE1">
        <w:rPr>
          <w:b w:val="0"/>
          <w:bCs w:val="0"/>
          <w:szCs w:val="24"/>
        </w:rPr>
        <w:t>583162,6</w:t>
      </w:r>
      <w:r w:rsidRPr="00AD6BE1">
        <w:rPr>
          <w:b w:val="0"/>
          <w:bCs w:val="0"/>
          <w:szCs w:val="24"/>
        </w:rPr>
        <w:t xml:space="preserve"> tūkst. Eur, </w:t>
      </w:r>
      <w:r w:rsidRPr="00AD6BE1">
        <w:rPr>
          <w:b w:val="0"/>
        </w:rPr>
        <w:t xml:space="preserve">asignavimai viršija pajamas – </w:t>
      </w:r>
      <w:r w:rsidR="001E37D6" w:rsidRPr="00AD6BE1">
        <w:rPr>
          <w:b w:val="0"/>
        </w:rPr>
        <w:t>31214,4</w:t>
      </w:r>
      <w:r w:rsidRPr="00AD6BE1">
        <w:rPr>
          <w:b w:val="0"/>
        </w:rPr>
        <w:t xml:space="preserve"> tūkst. Eur</w:t>
      </w:r>
      <w:r w:rsidR="004407BC" w:rsidRPr="00AD6BE1">
        <w:rPr>
          <w:b w:val="0"/>
        </w:rPr>
        <w:t xml:space="preserve"> apyvartos lėšų likučiai</w:t>
      </w:r>
      <w:r w:rsidR="004E514B" w:rsidRPr="00AD6BE1">
        <w:rPr>
          <w:b w:val="0"/>
        </w:rPr>
        <w:t>s</w:t>
      </w:r>
      <w:r w:rsidR="004407BC" w:rsidRPr="00AD6BE1">
        <w:rPr>
          <w:b w:val="0"/>
        </w:rPr>
        <w:t xml:space="preserve"> 201</w:t>
      </w:r>
      <w:r w:rsidR="004E514B" w:rsidRPr="00AD6BE1">
        <w:rPr>
          <w:b w:val="0"/>
        </w:rPr>
        <w:t>8</w:t>
      </w:r>
      <w:r w:rsidR="001E37D6" w:rsidRPr="00AD6BE1">
        <w:rPr>
          <w:b w:val="0"/>
        </w:rPr>
        <w:t>-01-01</w:t>
      </w:r>
      <w:r w:rsidR="004407BC" w:rsidRPr="00AD6BE1">
        <w:rPr>
          <w:b w:val="0"/>
        </w:rPr>
        <w:t>.</w:t>
      </w:r>
      <w:r w:rsidR="00AD6BE1" w:rsidRPr="00AD6BE1">
        <w:rPr>
          <w:b w:val="0"/>
        </w:rPr>
        <w:t xml:space="preserve"> Metų bėgyje Savivaldybės biudžetas dar pasipildys dotacijomis iš valstybės biudžeto bei Europos Sąjungos finansinės paramos lėšomis.</w:t>
      </w:r>
    </w:p>
    <w:p w:rsidR="00E00207" w:rsidRPr="00AC4734" w:rsidRDefault="00BF462A" w:rsidP="00F3494E">
      <w:pPr>
        <w:spacing w:line="360" w:lineRule="auto"/>
        <w:ind w:firstLine="720"/>
        <w:jc w:val="both"/>
        <w:rPr>
          <w:b/>
          <w:bCs/>
          <w:sz w:val="22"/>
          <w:lang w:eastAsia="en-US"/>
        </w:rPr>
      </w:pPr>
      <w:r w:rsidRPr="00AD6BE1">
        <w:rPr>
          <w:b/>
          <w:bCs/>
        </w:rPr>
        <w:t>Naujovė</w:t>
      </w:r>
      <w:r w:rsidR="00F0338E" w:rsidRPr="00AD6BE1">
        <w:rPr>
          <w:b/>
          <w:bCs/>
          <w:sz w:val="22"/>
          <w:lang w:eastAsia="en-US"/>
        </w:rPr>
        <w:t xml:space="preserve">. </w:t>
      </w:r>
      <w:r w:rsidRPr="00AD6BE1">
        <w:t xml:space="preserve">Vadovaujantis </w:t>
      </w:r>
      <w:r w:rsidR="00AD6BE1" w:rsidRPr="00AD6BE1">
        <w:t>F</w:t>
      </w:r>
      <w:r w:rsidRPr="00AD6BE1">
        <w:t xml:space="preserve">inansinių rodiklių įstatymo 4 straipsnio 3 dalimi </w:t>
      </w:r>
      <w:r w:rsidR="004C4FD4" w:rsidRPr="00AD6BE1">
        <w:t xml:space="preserve">2018 metais Savivaldybių tarybos gali įgalioti Savivaldybės administracijos direktorius </w:t>
      </w:r>
      <w:r w:rsidR="00F0338E" w:rsidRPr="00AD6BE1">
        <w:t xml:space="preserve">patikslinti </w:t>
      </w:r>
      <w:r w:rsidR="004C4FD4" w:rsidRPr="00AD6BE1">
        <w:t>patvirtintus savivaldybių biudžetus</w:t>
      </w:r>
      <w:r w:rsidRPr="00AD6BE1">
        <w:t>, atsižvelg</w:t>
      </w:r>
      <w:r w:rsidR="00F0338E" w:rsidRPr="00AD6BE1">
        <w:t>iant</w:t>
      </w:r>
      <w:r w:rsidRPr="00AD6BE1">
        <w:t xml:space="preserve"> į </w:t>
      </w:r>
      <w:r w:rsidRPr="00AC4734">
        <w:t>iš valstybės institucijų ir įstaigų gautas dotacijas, įskaitant Europos Sąjungos ir kitos tarptautinės finansinės paramos lė</w:t>
      </w:r>
      <w:r w:rsidR="00F0338E" w:rsidRPr="00AC4734">
        <w:t>šas.</w:t>
      </w:r>
      <w:r w:rsidRPr="00AC4734">
        <w:t xml:space="preserve"> </w:t>
      </w:r>
      <w:r w:rsidR="00F3494E" w:rsidRPr="00AC4734">
        <w:t xml:space="preserve">Tai </w:t>
      </w:r>
      <w:r w:rsidR="002E336C" w:rsidRPr="00AC4734">
        <w:t xml:space="preserve">leistų greičiau </w:t>
      </w:r>
      <w:r w:rsidR="00A27529" w:rsidRPr="00AC4734">
        <w:t xml:space="preserve">ir efektyviau </w:t>
      </w:r>
      <w:r w:rsidR="002E336C" w:rsidRPr="00AC4734">
        <w:t xml:space="preserve">panaudoti gautas </w:t>
      </w:r>
      <w:r w:rsidR="00A27529" w:rsidRPr="00AC4734">
        <w:t>valstybės biudžeto dotacijų ir Europos Sąjungos</w:t>
      </w:r>
      <w:r w:rsidR="002E336C" w:rsidRPr="00AC4734">
        <w:t xml:space="preserve"> </w:t>
      </w:r>
      <w:r w:rsidR="00A27529" w:rsidRPr="00AC4734">
        <w:t xml:space="preserve">finansinės paramos lėšas valstybės perduotoms savivaldybėms funkcijoms vykdyti ir </w:t>
      </w:r>
      <w:r w:rsidR="00F3494E" w:rsidRPr="00AC4734">
        <w:t>projekt</w:t>
      </w:r>
      <w:r w:rsidR="00A27529" w:rsidRPr="00AC4734">
        <w:t>ams</w:t>
      </w:r>
      <w:r w:rsidR="00F3494E" w:rsidRPr="00AC4734">
        <w:t xml:space="preserve"> finans</w:t>
      </w:r>
      <w:r w:rsidR="00A27529" w:rsidRPr="00AC4734">
        <w:t>uoti</w:t>
      </w:r>
      <w:r w:rsidR="002E336C" w:rsidRPr="00AC4734">
        <w:t>.</w:t>
      </w:r>
    </w:p>
    <w:p w:rsidR="0097763A" w:rsidRPr="00AC4734" w:rsidRDefault="0097763A" w:rsidP="00FD7041">
      <w:pPr>
        <w:tabs>
          <w:tab w:val="left" w:pos="567"/>
        </w:tabs>
        <w:suppressAutoHyphens w:val="0"/>
        <w:spacing w:line="360" w:lineRule="auto"/>
        <w:jc w:val="both"/>
        <w:rPr>
          <w:b/>
          <w:szCs w:val="24"/>
          <w:u w:val="single"/>
          <w:lang w:eastAsia="lt-LT"/>
        </w:rPr>
      </w:pPr>
      <w:r w:rsidRPr="00AC4734">
        <w:rPr>
          <w:b/>
          <w:bCs/>
        </w:rPr>
        <w:tab/>
      </w:r>
      <w:r w:rsidR="006068B3" w:rsidRPr="00AC4734">
        <w:rPr>
          <w:b/>
          <w:bCs/>
        </w:rPr>
        <w:t xml:space="preserve">2.1. </w:t>
      </w:r>
      <w:r w:rsidRPr="00AC4734">
        <w:rPr>
          <w:b/>
          <w:szCs w:val="24"/>
          <w:u w:val="single"/>
          <w:lang w:eastAsia="lt-LT"/>
        </w:rPr>
        <w:t>Savivaldybės 201</w:t>
      </w:r>
      <w:r w:rsidR="00E12082" w:rsidRPr="00AC4734">
        <w:rPr>
          <w:b/>
          <w:szCs w:val="24"/>
          <w:u w:val="single"/>
          <w:lang w:eastAsia="lt-LT"/>
        </w:rPr>
        <w:t>8</w:t>
      </w:r>
      <w:r w:rsidRPr="00AC4734">
        <w:rPr>
          <w:b/>
          <w:szCs w:val="24"/>
          <w:u w:val="single"/>
          <w:lang w:eastAsia="lt-LT"/>
        </w:rPr>
        <w:t xml:space="preserve"> metų biudžeto finansiniai šaltiniai</w:t>
      </w:r>
      <w:r w:rsidR="006068B3" w:rsidRPr="00AC4734">
        <w:rPr>
          <w:b/>
          <w:szCs w:val="24"/>
          <w:u w:val="single"/>
          <w:lang w:eastAsia="lt-LT"/>
        </w:rPr>
        <w:t xml:space="preserve"> (1,</w:t>
      </w:r>
      <w:r w:rsidR="00991845" w:rsidRPr="00AC4734">
        <w:rPr>
          <w:b/>
          <w:szCs w:val="24"/>
          <w:u w:val="single"/>
          <w:lang w:eastAsia="lt-LT"/>
        </w:rPr>
        <w:t xml:space="preserve"> </w:t>
      </w:r>
      <w:r w:rsidR="006068B3" w:rsidRPr="00AC4734">
        <w:rPr>
          <w:b/>
          <w:szCs w:val="24"/>
          <w:u w:val="single"/>
          <w:lang w:eastAsia="lt-LT"/>
        </w:rPr>
        <w:t>2,</w:t>
      </w:r>
      <w:r w:rsidR="00991845" w:rsidRPr="00AC4734">
        <w:rPr>
          <w:b/>
          <w:szCs w:val="24"/>
          <w:u w:val="single"/>
          <w:lang w:eastAsia="lt-LT"/>
        </w:rPr>
        <w:t xml:space="preserve"> </w:t>
      </w:r>
      <w:r w:rsidR="006068B3" w:rsidRPr="00AC4734">
        <w:rPr>
          <w:b/>
          <w:szCs w:val="24"/>
          <w:u w:val="single"/>
          <w:lang w:eastAsia="lt-LT"/>
        </w:rPr>
        <w:t>3,</w:t>
      </w:r>
      <w:r w:rsidR="00991845" w:rsidRPr="00AC4734">
        <w:rPr>
          <w:b/>
          <w:szCs w:val="24"/>
          <w:u w:val="single"/>
          <w:lang w:eastAsia="lt-LT"/>
        </w:rPr>
        <w:t xml:space="preserve"> </w:t>
      </w:r>
      <w:r w:rsidR="006068B3" w:rsidRPr="00AC4734">
        <w:rPr>
          <w:b/>
          <w:szCs w:val="24"/>
          <w:u w:val="single"/>
          <w:lang w:eastAsia="lt-LT"/>
        </w:rPr>
        <w:t>4,</w:t>
      </w:r>
      <w:r w:rsidR="00991845" w:rsidRPr="00AC4734">
        <w:rPr>
          <w:b/>
          <w:szCs w:val="24"/>
          <w:u w:val="single"/>
          <w:lang w:eastAsia="lt-LT"/>
        </w:rPr>
        <w:t xml:space="preserve"> </w:t>
      </w:r>
      <w:r w:rsidR="00A40133" w:rsidRPr="00AC4734">
        <w:rPr>
          <w:b/>
          <w:szCs w:val="24"/>
          <w:u w:val="single"/>
          <w:lang w:eastAsia="lt-LT"/>
        </w:rPr>
        <w:t xml:space="preserve">5 </w:t>
      </w:r>
      <w:r w:rsidR="006068B3" w:rsidRPr="00AC4734">
        <w:rPr>
          <w:b/>
          <w:szCs w:val="24"/>
          <w:u w:val="single"/>
          <w:lang w:eastAsia="lt-LT"/>
        </w:rPr>
        <w:t>priedai)</w:t>
      </w:r>
      <w:r w:rsidR="009D0F5D" w:rsidRPr="00AC4734">
        <w:rPr>
          <w:b/>
          <w:szCs w:val="24"/>
          <w:u w:val="single"/>
          <w:lang w:eastAsia="lt-LT"/>
        </w:rPr>
        <w:t>.</w:t>
      </w:r>
    </w:p>
    <w:p w:rsidR="00D0321C" w:rsidRPr="005D2234" w:rsidRDefault="00FC31FA" w:rsidP="005D2234">
      <w:pPr>
        <w:tabs>
          <w:tab w:val="left" w:pos="567"/>
          <w:tab w:val="left" w:pos="709"/>
        </w:tabs>
        <w:spacing w:line="360" w:lineRule="auto"/>
        <w:jc w:val="both"/>
      </w:pPr>
      <w:r w:rsidRPr="00AC4734">
        <w:rPr>
          <w:b/>
        </w:rPr>
        <w:tab/>
      </w:r>
      <w:r w:rsidRPr="00AC4734">
        <w:t>Savivaldybės 201</w:t>
      </w:r>
      <w:r w:rsidR="00E12082" w:rsidRPr="00AC4734">
        <w:t>8</w:t>
      </w:r>
      <w:r w:rsidRPr="00AC4734">
        <w:t xml:space="preserve"> metų biudžeto projekte </w:t>
      </w:r>
      <w:r w:rsidR="00711423" w:rsidRPr="00AC4734">
        <w:t>planuojami finansiniai šaltiniai sudarys</w:t>
      </w:r>
      <w:r w:rsidRPr="00AC4734">
        <w:t xml:space="preserve"> </w:t>
      </w:r>
      <w:r w:rsidR="00514F8D" w:rsidRPr="00AC4734">
        <w:t xml:space="preserve">583162,6 </w:t>
      </w:r>
      <w:r w:rsidR="00C66753" w:rsidRPr="00AC4734">
        <w:t>tūkst. Eur</w:t>
      </w:r>
      <w:r w:rsidR="009108EC" w:rsidRPr="00AC4734">
        <w:t>,</w:t>
      </w:r>
      <w:r w:rsidRPr="00AC4734">
        <w:t xml:space="preserve"> </w:t>
      </w:r>
      <w:r w:rsidR="00FD446C" w:rsidRPr="00AC4734">
        <w:t xml:space="preserve">tai </w:t>
      </w:r>
      <w:r w:rsidR="00514F8D" w:rsidRPr="00AC4734">
        <w:t>72630,1</w:t>
      </w:r>
      <w:r w:rsidR="00FD446C" w:rsidRPr="00AC4734">
        <w:t xml:space="preserve"> tūkst. Eur daugiau negu buvo patvirtinta 2017 metų biudžete, </w:t>
      </w:r>
      <w:r w:rsidRPr="00AC4734">
        <w:t>iš jų</w:t>
      </w:r>
      <w:r w:rsidR="00FD446C" w:rsidRPr="00AC4734">
        <w:t xml:space="preserve"> planuojama</w:t>
      </w:r>
      <w:r w:rsidRPr="00AC4734">
        <w:t xml:space="preserve">: </w:t>
      </w:r>
      <w:r w:rsidR="00514F8D" w:rsidRPr="00AC4734">
        <w:t>551948,2</w:t>
      </w:r>
      <w:r w:rsidRPr="00AC4734">
        <w:t xml:space="preserve"> tūkst. Eur </w:t>
      </w:r>
      <w:r w:rsidR="001E37D6" w:rsidRPr="00AC4734">
        <w:t xml:space="preserve">– </w:t>
      </w:r>
      <w:r w:rsidRPr="00AC4734">
        <w:t>biudžeto pajam</w:t>
      </w:r>
      <w:r w:rsidR="00FD446C" w:rsidRPr="00AC4734">
        <w:t>ų</w:t>
      </w:r>
      <w:r w:rsidRPr="00AC4734">
        <w:t xml:space="preserve"> (t. sk. </w:t>
      </w:r>
      <w:r w:rsidR="00E12082" w:rsidRPr="00AC4734">
        <w:t>390842,0</w:t>
      </w:r>
      <w:r w:rsidRPr="00AC4734">
        <w:t xml:space="preserve"> tūkst. Eur – biudžeto pajamos Savivaldybės savarankiškoms funkcijoms vykdyti,</w:t>
      </w:r>
      <w:r w:rsidR="00283CFE" w:rsidRPr="00AC4734">
        <w:t xml:space="preserve"> </w:t>
      </w:r>
      <w:r w:rsidR="00514F8D" w:rsidRPr="00AC4734">
        <w:t>158718,4</w:t>
      </w:r>
      <w:r w:rsidRPr="00AC4734">
        <w:t xml:space="preserve"> tūkst. Eur –</w:t>
      </w:r>
      <w:r w:rsidR="003C3B76" w:rsidRPr="00AC4734">
        <w:t xml:space="preserve"> </w:t>
      </w:r>
      <w:r w:rsidR="00D81E2F" w:rsidRPr="00AC4734">
        <w:t xml:space="preserve">valstybės biudžeto </w:t>
      </w:r>
      <w:r w:rsidR="00206B6E" w:rsidRPr="00AC4734">
        <w:t>specialios tikslinės dotacijos</w:t>
      </w:r>
      <w:r w:rsidR="001E37D6" w:rsidRPr="00AC4734">
        <w:t xml:space="preserve"> 2387,8 tūkst. Eur – Europos Sąjungos finansinės paramos lėšos</w:t>
      </w:r>
      <w:r w:rsidR="009108EC" w:rsidRPr="00AC4734">
        <w:t>)</w:t>
      </w:r>
      <w:r w:rsidR="007E0218" w:rsidRPr="00AC4734">
        <w:t xml:space="preserve">, </w:t>
      </w:r>
      <w:r w:rsidR="00A40133" w:rsidRPr="00AC4734">
        <w:t>3121</w:t>
      </w:r>
      <w:r w:rsidR="001E37D6" w:rsidRPr="00AC4734">
        <w:t>4</w:t>
      </w:r>
      <w:r w:rsidR="00A40133" w:rsidRPr="00AC4734">
        <w:t>,</w:t>
      </w:r>
      <w:r w:rsidR="001E37D6" w:rsidRPr="00AC4734">
        <w:t>4</w:t>
      </w:r>
      <w:r w:rsidRPr="00AC4734">
        <w:t xml:space="preserve"> tūkst. Eur –</w:t>
      </w:r>
      <w:r w:rsidR="00D81E2F" w:rsidRPr="00AC4734">
        <w:t xml:space="preserve"> </w:t>
      </w:r>
      <w:r w:rsidRPr="00AC4734">
        <w:t>apyvartos lėšų likuči</w:t>
      </w:r>
      <w:r w:rsidR="00FD446C" w:rsidRPr="00AC4734">
        <w:t xml:space="preserve">ų 2018-01-01 </w:t>
      </w:r>
      <w:r w:rsidR="00C66753" w:rsidRPr="00AC4734">
        <w:t>(1 priedas)</w:t>
      </w:r>
      <w:r w:rsidRPr="00AC4734">
        <w:t>.</w:t>
      </w:r>
    </w:p>
    <w:p w:rsidR="00D0321C" w:rsidRPr="00775B90" w:rsidRDefault="00D0321C" w:rsidP="00D0321C">
      <w:pPr>
        <w:spacing w:line="360" w:lineRule="auto"/>
        <w:ind w:firstLine="720"/>
        <w:jc w:val="both"/>
        <w:rPr>
          <w:bCs/>
        </w:rPr>
      </w:pPr>
      <w:r w:rsidRPr="00775B90">
        <w:t>Vadovaujantis Finansinių rodiklių įstatym</w:t>
      </w:r>
      <w:r w:rsidR="005D2234" w:rsidRPr="00775B90">
        <w:t>u</w:t>
      </w:r>
      <w:r w:rsidRPr="00775B90">
        <w:t>, Vilniaus miesto sav</w:t>
      </w:r>
      <w:r w:rsidR="00206B6E">
        <w:t>ivaldybės prognozuojamos 2018 metais</w:t>
      </w:r>
      <w:r w:rsidRPr="00775B90">
        <w:t xml:space="preserve"> gauti pajamos sudar</w:t>
      </w:r>
      <w:r w:rsidR="005D09CF" w:rsidRPr="00775B90">
        <w:t>ys</w:t>
      </w:r>
      <w:r w:rsidRPr="00775B90">
        <w:t xml:space="preserve"> </w:t>
      </w:r>
      <w:r w:rsidR="00F0767E" w:rsidRPr="00775B90">
        <w:t>341282</w:t>
      </w:r>
      <w:r w:rsidRPr="00775B90">
        <w:t xml:space="preserve">,0 tūkst. Eur, tai </w:t>
      </w:r>
      <w:r w:rsidR="008E305B" w:rsidRPr="00775B90">
        <w:t>52866</w:t>
      </w:r>
      <w:r w:rsidRPr="00775B90">
        <w:t>,0 tūkst. Eur arba 18,</w:t>
      </w:r>
      <w:r w:rsidR="008E305B" w:rsidRPr="00775B90">
        <w:t>3</w:t>
      </w:r>
      <w:r w:rsidRPr="00775B90">
        <w:t xml:space="preserve"> proc. daugiau negu buvo numatyta 2017 metų Įstatyme</w:t>
      </w:r>
      <w:r w:rsidRPr="00775B90">
        <w:rPr>
          <w:bCs/>
        </w:rPr>
        <w:t xml:space="preserve"> (</w:t>
      </w:r>
      <w:r w:rsidR="005D09CF" w:rsidRPr="00775B90">
        <w:rPr>
          <w:bCs/>
        </w:rPr>
        <w:t>2</w:t>
      </w:r>
      <w:r w:rsidRPr="00775B90">
        <w:rPr>
          <w:bCs/>
        </w:rPr>
        <w:t xml:space="preserve"> priedas).</w:t>
      </w:r>
    </w:p>
    <w:p w:rsidR="00D0321C" w:rsidRPr="00775B90" w:rsidRDefault="00D0321C" w:rsidP="00D0321C">
      <w:pPr>
        <w:tabs>
          <w:tab w:val="left" w:pos="851"/>
        </w:tabs>
        <w:spacing w:line="360" w:lineRule="auto"/>
        <w:jc w:val="both"/>
        <w:rPr>
          <w:bCs/>
        </w:rPr>
      </w:pPr>
      <w:r>
        <w:rPr>
          <w:bCs/>
        </w:rPr>
        <w:tab/>
      </w:r>
      <w:r w:rsidR="00480F45" w:rsidRPr="00775B90">
        <w:rPr>
          <w:bCs/>
        </w:rPr>
        <w:t>Sa</w:t>
      </w:r>
      <w:r w:rsidRPr="00775B90">
        <w:rPr>
          <w:bCs/>
        </w:rPr>
        <w:t>vivaldybė prie 2018 metų Finansinių rodiklių įstatym</w:t>
      </w:r>
      <w:r w:rsidR="0069396B">
        <w:rPr>
          <w:bCs/>
        </w:rPr>
        <w:t>e</w:t>
      </w:r>
      <w:r w:rsidRPr="00775B90">
        <w:rPr>
          <w:bCs/>
        </w:rPr>
        <w:t xml:space="preserve"> numatytų prognozuojamų pajamų </w:t>
      </w:r>
      <w:r w:rsidR="0069396B">
        <w:rPr>
          <w:bCs/>
        </w:rPr>
        <w:t>(</w:t>
      </w:r>
      <w:r w:rsidR="00480F45" w:rsidRPr="00775B90">
        <w:rPr>
          <w:bCs/>
        </w:rPr>
        <w:t>341282,0</w:t>
      </w:r>
      <w:r w:rsidRPr="00775B90">
        <w:rPr>
          <w:bCs/>
        </w:rPr>
        <w:t xml:space="preserve"> tūkst. Eur</w:t>
      </w:r>
      <w:r w:rsidR="0069396B">
        <w:rPr>
          <w:bCs/>
        </w:rPr>
        <w:t>)</w:t>
      </w:r>
      <w:r w:rsidRPr="00775B90">
        <w:rPr>
          <w:bCs/>
        </w:rPr>
        <w:t xml:space="preserve"> papildomai planuoja gauti 49560,0 tūkst. Eur pajamų, kurios nėra tvirtinamos Finansinių rodiklių įstatymu, tačiau gaunamos į</w:t>
      </w:r>
      <w:r w:rsidRPr="005840A3">
        <w:rPr>
          <w:bCs/>
        </w:rPr>
        <w:t xml:space="preserve"> Savivaldybės biudžetą, vadovaujantis LR biudžeto sandaros įstatymu ir kitais teisės aktais, todėl </w:t>
      </w:r>
      <w:r>
        <w:rPr>
          <w:bCs/>
        </w:rPr>
        <w:t>Savivaldybė</w:t>
      </w:r>
      <w:r w:rsidRPr="005840A3">
        <w:rPr>
          <w:bCs/>
        </w:rPr>
        <w:t xml:space="preserve"> turi numatyti šias pajamas tvirtindama biudžetą, </w:t>
      </w:r>
      <w:r w:rsidRPr="001F2034">
        <w:rPr>
          <w:bCs/>
        </w:rPr>
        <w:t>iš jų</w:t>
      </w:r>
      <w:r w:rsidRPr="005840A3">
        <w:rPr>
          <w:b/>
          <w:bCs/>
        </w:rPr>
        <w:t xml:space="preserve"> papildomai planuojama:</w:t>
      </w:r>
      <w:r w:rsidRPr="005840A3">
        <w:rPr>
          <w:bCs/>
        </w:rPr>
        <w:t xml:space="preserve"> </w:t>
      </w:r>
      <w:r>
        <w:t>1200,0</w:t>
      </w:r>
      <w:r w:rsidRPr="005840A3">
        <w:t xml:space="preserve"> tūkst. Eur – mokesčių už aplinkos teršimą, </w:t>
      </w:r>
      <w:r>
        <w:t>360,0</w:t>
      </w:r>
      <w:r w:rsidRPr="005840A3">
        <w:t xml:space="preserve"> tūkst. Eur – mokesčių už valstybinius gamtos išteklius,</w:t>
      </w:r>
      <w:r w:rsidR="00B91CBA">
        <w:t xml:space="preserve"> </w:t>
      </w:r>
      <w:r>
        <w:rPr>
          <w:bCs/>
        </w:rPr>
        <w:t>3060,1</w:t>
      </w:r>
      <w:r w:rsidRPr="005840A3">
        <w:rPr>
          <w:bCs/>
        </w:rPr>
        <w:t xml:space="preserve"> tūkst. Eur – pajamų už patalpų nuomą (t.sk. </w:t>
      </w:r>
      <w:r>
        <w:rPr>
          <w:bCs/>
        </w:rPr>
        <w:t>2300,0</w:t>
      </w:r>
      <w:r w:rsidRPr="005840A3">
        <w:rPr>
          <w:bCs/>
        </w:rPr>
        <w:t xml:space="preserve"> tūkst. </w:t>
      </w:r>
      <w:r w:rsidR="00B91CBA">
        <w:rPr>
          <w:bCs/>
        </w:rPr>
        <w:t>Eur – Savivaldybės patalpų nuoma</w:t>
      </w:r>
      <w:r w:rsidRPr="005840A3">
        <w:rPr>
          <w:bCs/>
        </w:rPr>
        <w:t xml:space="preserve"> ir </w:t>
      </w:r>
      <w:r>
        <w:rPr>
          <w:bCs/>
        </w:rPr>
        <w:t>760,1</w:t>
      </w:r>
      <w:r w:rsidRPr="005840A3">
        <w:rPr>
          <w:bCs/>
        </w:rPr>
        <w:t xml:space="preserve"> tūkst. Eur – b</w:t>
      </w:r>
      <w:r w:rsidR="00B91CBA">
        <w:rPr>
          <w:bCs/>
        </w:rPr>
        <w:t>iudžetinių įstaigų patalpų nuoma</w:t>
      </w:r>
      <w:r w:rsidRPr="005840A3">
        <w:rPr>
          <w:bCs/>
        </w:rPr>
        <w:t xml:space="preserve">), </w:t>
      </w:r>
      <w:r w:rsidR="00B91CBA">
        <w:rPr>
          <w:bCs/>
        </w:rPr>
        <w:t xml:space="preserve">16085,9 </w:t>
      </w:r>
      <w:r w:rsidRPr="005840A3">
        <w:rPr>
          <w:bCs/>
        </w:rPr>
        <w:t>tūkst. Eur –</w:t>
      </w:r>
      <w:r>
        <w:rPr>
          <w:bCs/>
        </w:rPr>
        <w:t xml:space="preserve"> </w:t>
      </w:r>
      <w:r w:rsidRPr="005840A3">
        <w:rPr>
          <w:bCs/>
        </w:rPr>
        <w:t xml:space="preserve">biudžetinių įstaigų įmokų už išlaikymą švietimo, socialinės apsaugos ir kitose įstaigose, </w:t>
      </w:r>
      <w:r>
        <w:rPr>
          <w:bCs/>
        </w:rPr>
        <w:t xml:space="preserve">18332,0 tūkst. Eur – pajamų iš vietinių rinkliavų, </w:t>
      </w:r>
      <w:r w:rsidR="003E3D0E">
        <w:t>200,0 tūkst. E</w:t>
      </w:r>
      <w:r w:rsidR="005D09CF">
        <w:t>ur – želdynų atkuriamosios vertės lėšų (už iš</w:t>
      </w:r>
      <w:r w:rsidR="003E3D0E">
        <w:t>kir</w:t>
      </w:r>
      <w:r w:rsidR="005D09CF">
        <w:t>s</w:t>
      </w:r>
      <w:r w:rsidR="003E3D0E">
        <w:t xml:space="preserve">tus medžius), </w:t>
      </w:r>
      <w:r>
        <w:rPr>
          <w:bCs/>
        </w:rPr>
        <w:t>1750,0 tūkst. Eur – pajamų už valstybinės žemės pardavimą, 2572,0 tūkst. Eur – pajamų už gyventojų išsiperkamus Savivaldybės gyvenamuosius būstus, 6</w:t>
      </w:r>
      <w:r w:rsidRPr="005840A3">
        <w:rPr>
          <w:bCs/>
        </w:rPr>
        <w:t>000</w:t>
      </w:r>
      <w:r>
        <w:rPr>
          <w:bCs/>
        </w:rPr>
        <w:t>,0</w:t>
      </w:r>
      <w:r w:rsidRPr="005840A3">
        <w:rPr>
          <w:bCs/>
        </w:rPr>
        <w:t xml:space="preserve"> tūkst. Eur – pajamų už pr</w:t>
      </w:r>
      <w:r>
        <w:rPr>
          <w:bCs/>
        </w:rPr>
        <w:t>ivatizuojamą Savivaldybės turtą</w:t>
      </w:r>
      <w:r w:rsidRPr="005840A3">
        <w:rPr>
          <w:bCs/>
        </w:rPr>
        <w:t xml:space="preserve"> </w:t>
      </w:r>
      <w:r w:rsidRPr="00775B90">
        <w:rPr>
          <w:bCs/>
        </w:rPr>
        <w:t>(</w:t>
      </w:r>
      <w:r w:rsidR="005D09CF" w:rsidRPr="00775B90">
        <w:rPr>
          <w:bCs/>
        </w:rPr>
        <w:t>3</w:t>
      </w:r>
      <w:r w:rsidRPr="00775B90">
        <w:rPr>
          <w:bCs/>
        </w:rPr>
        <w:t xml:space="preserve"> priedas).</w:t>
      </w:r>
    </w:p>
    <w:p w:rsidR="00D0321C" w:rsidRPr="0069396B" w:rsidRDefault="00D0321C" w:rsidP="00D0321C">
      <w:pPr>
        <w:tabs>
          <w:tab w:val="left" w:pos="851"/>
        </w:tabs>
        <w:spacing w:line="360" w:lineRule="auto"/>
        <w:jc w:val="both"/>
      </w:pPr>
      <w:r>
        <w:rPr>
          <w:b/>
        </w:rPr>
        <w:tab/>
      </w:r>
      <w:r w:rsidRPr="00775B90">
        <w:t>T</w:t>
      </w:r>
      <w:r w:rsidR="0069396B">
        <w:t>aigi</w:t>
      </w:r>
      <w:r w:rsidRPr="00775B90">
        <w:t xml:space="preserve"> visos Savivaldybės 2018 metų biudžeto pajamos savarankiškoms funkcijoms vykdyti su papildomai planuojamomis pajamomis sudarys </w:t>
      </w:r>
      <w:r w:rsidR="003E3D0E" w:rsidRPr="00775B90">
        <w:t>390842</w:t>
      </w:r>
      <w:r w:rsidRPr="00775B90">
        <w:t xml:space="preserve">,0 tūkst. Eur, </w:t>
      </w:r>
      <w:r w:rsidR="003E3D0E" w:rsidRPr="00775B90">
        <w:t xml:space="preserve">t. </w:t>
      </w:r>
      <w:r w:rsidRPr="00775B90">
        <w:t xml:space="preserve">y. </w:t>
      </w:r>
      <w:r w:rsidR="003E3D0E" w:rsidRPr="00775B90">
        <w:t>55384,3</w:t>
      </w:r>
      <w:r w:rsidRPr="00775B90">
        <w:t xml:space="preserve"> tūkst. Eur arba 16,</w:t>
      </w:r>
      <w:r w:rsidR="003E3D0E" w:rsidRPr="00775B90">
        <w:t>5</w:t>
      </w:r>
      <w:r w:rsidRPr="00775B90">
        <w:t xml:space="preserve"> </w:t>
      </w:r>
      <w:r w:rsidRPr="0069396B">
        <w:t>proc. daugiau negu patvirtinta 2017 m. (</w:t>
      </w:r>
      <w:r w:rsidR="0054235C" w:rsidRPr="0069396B">
        <w:t>3</w:t>
      </w:r>
      <w:r w:rsidRPr="0069396B">
        <w:rPr>
          <w:bCs/>
        </w:rPr>
        <w:t xml:space="preserve"> priedas)</w:t>
      </w:r>
      <w:r w:rsidRPr="0069396B">
        <w:t>.</w:t>
      </w:r>
    </w:p>
    <w:p w:rsidR="00D0321C" w:rsidRPr="0069396B" w:rsidRDefault="00D0321C" w:rsidP="00D0321C">
      <w:pPr>
        <w:tabs>
          <w:tab w:val="left" w:pos="851"/>
        </w:tabs>
        <w:spacing w:line="360" w:lineRule="auto"/>
        <w:ind w:firstLine="900"/>
        <w:jc w:val="both"/>
      </w:pPr>
      <w:r w:rsidRPr="0069396B">
        <w:t>Savivaldyb</w:t>
      </w:r>
      <w:r w:rsidR="00276009" w:rsidRPr="0069396B">
        <w:t>ės</w:t>
      </w:r>
      <w:r w:rsidRPr="0069396B">
        <w:t xml:space="preserve"> 2018 m</w:t>
      </w:r>
      <w:r w:rsidR="00276009" w:rsidRPr="0069396B">
        <w:t xml:space="preserve">etų biudžeto projekte numatyta gauti </w:t>
      </w:r>
      <w:r w:rsidR="00514F8D" w:rsidRPr="0069396B">
        <w:t>161106,2</w:t>
      </w:r>
      <w:r w:rsidR="00276009" w:rsidRPr="0069396B">
        <w:t xml:space="preserve"> tūkst. Eur dotacijų, iš jų </w:t>
      </w:r>
      <w:r w:rsidR="00514F8D" w:rsidRPr="0069396B">
        <w:t>158718,4</w:t>
      </w:r>
      <w:r w:rsidR="00276009" w:rsidRPr="0069396B">
        <w:t xml:space="preserve"> tūkst. Eur </w:t>
      </w:r>
      <w:r w:rsidRPr="0069396B">
        <w:t>valstybės biudžeto speciali</w:t>
      </w:r>
      <w:r w:rsidR="0099708D" w:rsidRPr="0069396B">
        <w:t>ų</w:t>
      </w:r>
      <w:r w:rsidRPr="0069396B">
        <w:t xml:space="preserve"> tikslin</w:t>
      </w:r>
      <w:r w:rsidR="0099708D" w:rsidRPr="0069396B">
        <w:t>ių</w:t>
      </w:r>
      <w:r w:rsidRPr="0069396B">
        <w:t xml:space="preserve"> dotacij</w:t>
      </w:r>
      <w:r w:rsidR="0099708D" w:rsidRPr="0069396B">
        <w:t>ų</w:t>
      </w:r>
      <w:r w:rsidR="003E3D0E" w:rsidRPr="0069396B">
        <w:t xml:space="preserve"> </w:t>
      </w:r>
      <w:r w:rsidR="00276009" w:rsidRPr="0069396B">
        <w:t xml:space="preserve">ir </w:t>
      </w:r>
      <w:r w:rsidR="001E37D6" w:rsidRPr="0069396B">
        <w:t>2387,8</w:t>
      </w:r>
      <w:r w:rsidR="00276009" w:rsidRPr="0069396B">
        <w:t xml:space="preserve"> tūkst. Eur –</w:t>
      </w:r>
      <w:r w:rsidR="003E3D0E" w:rsidRPr="0069396B">
        <w:t xml:space="preserve"> </w:t>
      </w:r>
      <w:r w:rsidR="0099708D" w:rsidRPr="0069396B">
        <w:t>ES finansinės paramos lėš</w:t>
      </w:r>
      <w:r w:rsidR="00276009" w:rsidRPr="0069396B">
        <w:t>ų.</w:t>
      </w:r>
      <w:r w:rsidRPr="0069396B">
        <w:rPr>
          <w:b/>
        </w:rPr>
        <w:t xml:space="preserve"> </w:t>
      </w:r>
    </w:p>
    <w:p w:rsidR="00D0321C" w:rsidRPr="0069396B" w:rsidRDefault="00A96835" w:rsidP="004B0586">
      <w:pPr>
        <w:tabs>
          <w:tab w:val="left" w:pos="851"/>
        </w:tabs>
        <w:spacing w:line="360" w:lineRule="auto"/>
        <w:ind w:firstLine="900"/>
        <w:jc w:val="both"/>
      </w:pPr>
      <w:r w:rsidRPr="0069396B">
        <w:t>V</w:t>
      </w:r>
      <w:r w:rsidR="00D0321C" w:rsidRPr="0069396B">
        <w:t xml:space="preserve">isas Savivaldybės 2018 metų biudžeto pajamų planas su dotacijomis sudarys </w:t>
      </w:r>
      <w:r w:rsidR="00514F8D" w:rsidRPr="0069396B">
        <w:t>551948,2</w:t>
      </w:r>
      <w:r w:rsidR="00D0321C" w:rsidRPr="0069396B">
        <w:t xml:space="preserve"> tūkst. Eur, t. y. </w:t>
      </w:r>
      <w:r w:rsidR="00514F8D" w:rsidRPr="0069396B">
        <w:t>82646,7</w:t>
      </w:r>
      <w:r w:rsidR="00D0321C" w:rsidRPr="0069396B">
        <w:t xml:space="preserve"> tūkst. Eur arba </w:t>
      </w:r>
      <w:r w:rsidR="00C47416" w:rsidRPr="0069396B">
        <w:t>17,</w:t>
      </w:r>
      <w:r w:rsidR="00496518" w:rsidRPr="0069396B">
        <w:t>6</w:t>
      </w:r>
      <w:r w:rsidR="00D0321C" w:rsidRPr="0069396B">
        <w:t xml:space="preserve"> proc. daugiau negu </w:t>
      </w:r>
      <w:r w:rsidR="004B0586" w:rsidRPr="0069396B">
        <w:t>patvirtinta 2017 m.</w:t>
      </w:r>
      <w:r w:rsidR="0054235C" w:rsidRPr="0069396B">
        <w:t xml:space="preserve"> (4 priedas).</w:t>
      </w:r>
    </w:p>
    <w:p w:rsidR="00D0321C" w:rsidRPr="00775B90" w:rsidRDefault="00D0321C" w:rsidP="00D0321C">
      <w:pPr>
        <w:tabs>
          <w:tab w:val="left" w:pos="851"/>
        </w:tabs>
        <w:spacing w:line="360" w:lineRule="auto"/>
        <w:jc w:val="both"/>
      </w:pPr>
      <w:r w:rsidRPr="0069396B">
        <w:rPr>
          <w:b/>
        </w:rPr>
        <w:tab/>
        <w:t xml:space="preserve">Savivaldybės 2018 metų biudžeto pajamas sudarys: </w:t>
      </w:r>
      <w:r w:rsidR="00B95DC9" w:rsidRPr="0069396B">
        <w:t>333418</w:t>
      </w:r>
      <w:r w:rsidRPr="0069396B">
        <w:t xml:space="preserve">,0 tūkst. Eur, t. y. </w:t>
      </w:r>
      <w:r w:rsidR="009A5BC8" w:rsidRPr="0069396B">
        <w:t>60,</w:t>
      </w:r>
      <w:r w:rsidR="00514F8D" w:rsidRPr="0069396B">
        <w:t>4</w:t>
      </w:r>
      <w:r w:rsidRPr="0069396B">
        <w:rPr>
          <w:b/>
        </w:rPr>
        <w:t xml:space="preserve"> </w:t>
      </w:r>
      <w:r w:rsidRPr="0069396B">
        <w:t xml:space="preserve">proc. – mokesčiai, 47102,0 tūkst. Eur, t. y. </w:t>
      </w:r>
      <w:r w:rsidR="009A5BC8" w:rsidRPr="0069396B">
        <w:t>8,</w:t>
      </w:r>
      <w:r w:rsidR="001E37D6" w:rsidRPr="0069396B">
        <w:t>5</w:t>
      </w:r>
      <w:r w:rsidRPr="0069396B">
        <w:t xml:space="preserve"> proc. – kitos pajamos, 10322,0 tūkst. Eur, t. y. </w:t>
      </w:r>
      <w:r w:rsidR="009A5BC8" w:rsidRPr="0069396B">
        <w:t>1,9</w:t>
      </w:r>
      <w:r w:rsidRPr="0069396B">
        <w:t xml:space="preserve"> proc. – materialiojo ir nematerialiojo turto realizavimo pajamos, </w:t>
      </w:r>
      <w:r w:rsidR="00406793" w:rsidRPr="0069396B">
        <w:t>161106,2</w:t>
      </w:r>
      <w:r w:rsidRPr="0069396B">
        <w:t xml:space="preserve"> tūkst. Eur, t. y. </w:t>
      </w:r>
      <w:r w:rsidR="00406793" w:rsidRPr="0069396B">
        <w:t>29,2</w:t>
      </w:r>
      <w:r w:rsidRPr="0069396B">
        <w:t xml:space="preserve"> proc. – </w:t>
      </w:r>
      <w:r w:rsidR="00B95DC9" w:rsidRPr="0069396B">
        <w:t>dotacijos</w:t>
      </w:r>
      <w:r w:rsidR="00775B90" w:rsidRPr="0069396B">
        <w:t xml:space="preserve"> </w:t>
      </w:r>
      <w:r w:rsidRPr="0069396B">
        <w:t>(</w:t>
      </w:r>
      <w:r w:rsidR="00775B90" w:rsidRPr="0069396B">
        <w:t>4, 5</w:t>
      </w:r>
      <w:r w:rsidRPr="0069396B">
        <w:t xml:space="preserve"> prieda</w:t>
      </w:r>
      <w:r w:rsidR="00775B90" w:rsidRPr="0069396B">
        <w:t>i</w:t>
      </w:r>
      <w:r w:rsidRPr="0069396B">
        <w:t>).</w:t>
      </w:r>
      <w:r w:rsidRPr="00775B90">
        <w:t xml:space="preserve"> </w:t>
      </w:r>
    </w:p>
    <w:p w:rsidR="00D0321C" w:rsidRPr="000A5AF0" w:rsidRDefault="00D0321C" w:rsidP="00C47416">
      <w:pPr>
        <w:tabs>
          <w:tab w:val="left" w:pos="851"/>
        </w:tabs>
        <w:outlineLvl w:val="0"/>
        <w:rPr>
          <w:b/>
          <w:u w:val="single"/>
        </w:rPr>
      </w:pPr>
      <w:r w:rsidRPr="005840A3">
        <w:rPr>
          <w:b/>
        </w:rPr>
        <w:tab/>
      </w:r>
      <w:r w:rsidRPr="000A5AF0">
        <w:rPr>
          <w:b/>
          <w:u w:val="single"/>
        </w:rPr>
        <w:t>Mokesčiai.</w:t>
      </w:r>
    </w:p>
    <w:p w:rsidR="00D0321C" w:rsidRDefault="00D0321C" w:rsidP="00C47416">
      <w:pPr>
        <w:tabs>
          <w:tab w:val="left" w:pos="851"/>
        </w:tabs>
        <w:spacing w:line="360" w:lineRule="auto"/>
        <w:jc w:val="both"/>
        <w:outlineLvl w:val="0"/>
      </w:pPr>
      <w:r w:rsidRPr="000A5AF0">
        <w:rPr>
          <w:b/>
          <w:bCs/>
        </w:rPr>
        <w:tab/>
      </w:r>
      <w:r w:rsidRPr="00775B90">
        <w:t xml:space="preserve"> </w:t>
      </w:r>
      <w:r w:rsidRPr="00775B90">
        <w:rPr>
          <w:bCs/>
        </w:rPr>
        <w:t>Mokesčių pajamos</w:t>
      </w:r>
      <w:r w:rsidRPr="009C207B">
        <w:t xml:space="preserve"> Savivaldybės 201</w:t>
      </w:r>
      <w:r>
        <w:t>8</w:t>
      </w:r>
      <w:r w:rsidRPr="009C207B">
        <w:t xml:space="preserve"> m. biudžete </w:t>
      </w:r>
      <w:r w:rsidRPr="0090552E">
        <w:t xml:space="preserve">sudarys </w:t>
      </w:r>
      <w:r w:rsidR="00B95DC9">
        <w:t>333418,0</w:t>
      </w:r>
      <w:r w:rsidRPr="009C207B">
        <w:t xml:space="preserve"> tūkst. Eur, </w:t>
      </w:r>
      <w:r w:rsidRPr="00184B9A">
        <w:t xml:space="preserve">tai </w:t>
      </w:r>
      <w:r w:rsidR="00B95DC9">
        <w:t>41257,0</w:t>
      </w:r>
      <w:r>
        <w:t xml:space="preserve"> tūkst. Eur daugiau negu patvirtinta 2017 m.</w:t>
      </w:r>
    </w:p>
    <w:p w:rsidR="00D0321C" w:rsidRDefault="00D0321C" w:rsidP="00C47416">
      <w:pPr>
        <w:tabs>
          <w:tab w:val="left" w:pos="851"/>
        </w:tabs>
        <w:spacing w:line="360" w:lineRule="auto"/>
        <w:jc w:val="both"/>
        <w:outlineLvl w:val="0"/>
        <w:rPr>
          <w:b/>
        </w:rPr>
      </w:pPr>
      <w:r>
        <w:rPr>
          <w:bCs/>
        </w:rPr>
        <w:tab/>
      </w:r>
      <w:r w:rsidRPr="00901250">
        <w:rPr>
          <w:bCs/>
        </w:rPr>
        <w:t>P</w:t>
      </w:r>
      <w:r>
        <w:rPr>
          <w:bCs/>
        </w:rPr>
        <w:t>agrindinis rodiklis, lemiantis S</w:t>
      </w:r>
      <w:r w:rsidRPr="00901250">
        <w:rPr>
          <w:bCs/>
        </w:rPr>
        <w:t xml:space="preserve">avivaldybės </w:t>
      </w:r>
      <w:r>
        <w:rPr>
          <w:bCs/>
        </w:rPr>
        <w:t xml:space="preserve">mokesčių </w:t>
      </w:r>
      <w:r w:rsidRPr="00901250">
        <w:rPr>
          <w:bCs/>
        </w:rPr>
        <w:t xml:space="preserve">biudžeto apimtį, yra </w:t>
      </w:r>
      <w:r>
        <w:rPr>
          <w:bCs/>
        </w:rPr>
        <w:t>Finansinių rodiklių į</w:t>
      </w:r>
      <w:r w:rsidRPr="00901250">
        <w:rPr>
          <w:bCs/>
        </w:rPr>
        <w:t xml:space="preserve">statymu tvirtinama </w:t>
      </w:r>
      <w:r w:rsidRPr="00126626">
        <w:rPr>
          <w:bCs/>
        </w:rPr>
        <w:t>GPM</w:t>
      </w:r>
      <w:r>
        <w:rPr>
          <w:b/>
          <w:bCs/>
        </w:rPr>
        <w:t xml:space="preserve"> </w:t>
      </w:r>
      <w:r>
        <w:rPr>
          <w:bCs/>
        </w:rPr>
        <w:t>dalis (proc.</w:t>
      </w:r>
      <w:r w:rsidRPr="00901250">
        <w:rPr>
          <w:bCs/>
        </w:rPr>
        <w:t>), tenkanti savivaldybių biudžetams.</w:t>
      </w:r>
      <w:r>
        <w:t xml:space="preserve"> </w:t>
      </w:r>
      <w:r w:rsidRPr="005B0B5C">
        <w:t>Pagal 2018 metų Finan</w:t>
      </w:r>
      <w:r w:rsidR="00B95DC9">
        <w:t>sinių rodiklių įstatymą</w:t>
      </w:r>
      <w:r w:rsidRPr="005B0B5C">
        <w:t xml:space="preserve">, savivaldybių biudžetams </w:t>
      </w:r>
      <w:r>
        <w:t>2018 metais bus skiriama</w:t>
      </w:r>
      <w:r w:rsidRPr="005B0B5C">
        <w:t xml:space="preserve"> </w:t>
      </w:r>
      <w:r w:rsidRPr="0038212F">
        <w:rPr>
          <w:b/>
        </w:rPr>
        <w:t>82,</w:t>
      </w:r>
      <w:r w:rsidR="00B95DC9">
        <w:rPr>
          <w:b/>
        </w:rPr>
        <w:t>82</w:t>
      </w:r>
      <w:r w:rsidRPr="0038212F">
        <w:rPr>
          <w:b/>
        </w:rPr>
        <w:t xml:space="preserve"> proc.</w:t>
      </w:r>
      <w:r w:rsidRPr="005B0B5C">
        <w:t xml:space="preserve"> (2017 m. yra patvirtinta 78,17 proc.) </w:t>
      </w:r>
      <w:r>
        <w:t>GPM</w:t>
      </w:r>
      <w:r w:rsidRPr="005B0B5C">
        <w:t xml:space="preserve"> mokesčio įplaukų nuo visų </w:t>
      </w:r>
      <w:r>
        <w:t>šio mokesčio</w:t>
      </w:r>
      <w:r w:rsidRPr="005B0B5C">
        <w:t xml:space="preserve"> įplaukų į konsoliduotus valstybės biudžetą ir savivaldybių biudžetus </w:t>
      </w:r>
      <w:r>
        <w:t>(</w:t>
      </w:r>
      <w:r w:rsidRPr="005B0B5C">
        <w:t xml:space="preserve">palyginus su 2017 m. didėja </w:t>
      </w:r>
      <w:r w:rsidR="00B95DC9">
        <w:t>4,65</w:t>
      </w:r>
      <w:r w:rsidRPr="005B0B5C">
        <w:t xml:space="preserve"> procentinio punkto</w:t>
      </w:r>
      <w:r>
        <w:t xml:space="preserve">), kurį sudaro </w:t>
      </w:r>
      <w:r w:rsidRPr="00394FF0">
        <w:rPr>
          <w:b/>
        </w:rPr>
        <w:t>pastovioji dalis – 78</w:t>
      </w:r>
      <w:r w:rsidR="00B95DC9">
        <w:rPr>
          <w:b/>
        </w:rPr>
        <w:t xml:space="preserve">,45 proc. ir kintamoji dalis – 4,37 </w:t>
      </w:r>
      <w:r w:rsidRPr="00394FF0">
        <w:rPr>
          <w:b/>
        </w:rPr>
        <w:t>proc.</w:t>
      </w:r>
    </w:p>
    <w:p w:rsidR="00C47416" w:rsidRDefault="00C47416" w:rsidP="00C47416">
      <w:pPr>
        <w:tabs>
          <w:tab w:val="left" w:pos="851"/>
        </w:tabs>
        <w:spacing w:line="360" w:lineRule="auto"/>
        <w:jc w:val="both"/>
        <w:outlineLvl w:val="0"/>
        <w:rPr>
          <w:b/>
        </w:rPr>
      </w:pPr>
    </w:p>
    <w:tbl>
      <w:tblPr>
        <w:tblW w:w="9745" w:type="dxa"/>
        <w:tblInd w:w="108" w:type="dxa"/>
        <w:tblLook w:val="04A0" w:firstRow="1" w:lastRow="0" w:firstColumn="1" w:lastColumn="0" w:noHBand="0" w:noVBand="1"/>
      </w:tblPr>
      <w:tblGrid>
        <w:gridCol w:w="486"/>
        <w:gridCol w:w="4901"/>
        <w:gridCol w:w="1276"/>
        <w:gridCol w:w="1134"/>
        <w:gridCol w:w="1275"/>
        <w:gridCol w:w="673"/>
      </w:tblGrid>
      <w:tr w:rsidR="00B95DC9" w:rsidRPr="00B95DC9" w:rsidTr="00583105">
        <w:trPr>
          <w:trHeight w:val="270"/>
        </w:trPr>
        <w:tc>
          <w:tcPr>
            <w:tcW w:w="9745" w:type="dxa"/>
            <w:gridSpan w:val="6"/>
            <w:tcBorders>
              <w:top w:val="nil"/>
              <w:left w:val="nil"/>
              <w:bottom w:val="single" w:sz="4" w:space="0" w:color="auto"/>
              <w:right w:val="nil"/>
            </w:tcBorders>
            <w:shd w:val="clear" w:color="auto" w:fill="auto"/>
            <w:noWrap/>
            <w:vAlign w:val="bottom"/>
            <w:hideMark/>
          </w:tcPr>
          <w:p w:rsidR="00B95DC9" w:rsidRPr="00B95DC9" w:rsidRDefault="00B95DC9" w:rsidP="00B95DC9">
            <w:pPr>
              <w:suppressAutoHyphens w:val="0"/>
              <w:jc w:val="right"/>
              <w:rPr>
                <w:b/>
                <w:bCs/>
                <w:sz w:val="18"/>
                <w:szCs w:val="18"/>
                <w:lang w:eastAsia="lt-LT"/>
              </w:rPr>
            </w:pPr>
            <w:r w:rsidRPr="00B95DC9">
              <w:rPr>
                <w:b/>
                <w:bCs/>
                <w:sz w:val="18"/>
                <w:szCs w:val="18"/>
                <w:lang w:eastAsia="lt-LT"/>
              </w:rPr>
              <w:t>tūkst. Eur</w:t>
            </w:r>
          </w:p>
        </w:tc>
      </w:tr>
      <w:tr w:rsidR="006A0C08" w:rsidRPr="00B95DC9" w:rsidTr="00583105">
        <w:trPr>
          <w:trHeight w:val="716"/>
        </w:trPr>
        <w:tc>
          <w:tcPr>
            <w:tcW w:w="486" w:type="dxa"/>
            <w:tcBorders>
              <w:top w:val="nil"/>
              <w:left w:val="single" w:sz="4" w:space="0" w:color="auto"/>
              <w:bottom w:val="single" w:sz="4" w:space="0" w:color="auto"/>
              <w:right w:val="single" w:sz="4" w:space="0" w:color="auto"/>
            </w:tcBorders>
            <w:shd w:val="clear" w:color="auto" w:fill="auto"/>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Eil. Nr.</w:t>
            </w:r>
          </w:p>
        </w:tc>
        <w:tc>
          <w:tcPr>
            <w:tcW w:w="4901" w:type="dxa"/>
            <w:tcBorders>
              <w:top w:val="nil"/>
              <w:left w:val="nil"/>
              <w:bottom w:val="single" w:sz="4" w:space="0" w:color="auto"/>
              <w:right w:val="single" w:sz="4" w:space="0" w:color="auto"/>
            </w:tcBorders>
            <w:shd w:val="clear" w:color="auto" w:fill="auto"/>
            <w:noWrap/>
            <w:vAlign w:val="center"/>
            <w:hideMark/>
          </w:tcPr>
          <w:p w:rsidR="00B95DC9" w:rsidRPr="00B95DC9" w:rsidRDefault="00583105" w:rsidP="00B95DC9">
            <w:pPr>
              <w:suppressAutoHyphens w:val="0"/>
              <w:jc w:val="center"/>
              <w:rPr>
                <w:b/>
                <w:bCs/>
                <w:sz w:val="18"/>
                <w:szCs w:val="18"/>
                <w:lang w:eastAsia="lt-LT"/>
              </w:rPr>
            </w:pPr>
            <w:r>
              <w:rPr>
                <w:b/>
                <w:bCs/>
                <w:sz w:val="18"/>
                <w:szCs w:val="18"/>
                <w:lang w:eastAsia="lt-LT"/>
              </w:rPr>
              <w:t>GPM p</w:t>
            </w:r>
            <w:r w:rsidR="00B95DC9" w:rsidRPr="00B95DC9">
              <w:rPr>
                <w:b/>
                <w:bCs/>
                <w:sz w:val="18"/>
                <w:szCs w:val="18"/>
                <w:lang w:eastAsia="lt-LT"/>
              </w:rPr>
              <w:t>ajamos</w:t>
            </w:r>
          </w:p>
        </w:tc>
        <w:tc>
          <w:tcPr>
            <w:tcW w:w="1276" w:type="dxa"/>
            <w:tcBorders>
              <w:top w:val="nil"/>
              <w:left w:val="nil"/>
              <w:bottom w:val="single" w:sz="4" w:space="0" w:color="auto"/>
              <w:right w:val="single" w:sz="4" w:space="0" w:color="auto"/>
            </w:tcBorders>
            <w:shd w:val="clear" w:color="auto" w:fill="auto"/>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2017 m. patvirtintas GPM planas</w:t>
            </w:r>
          </w:p>
        </w:tc>
        <w:tc>
          <w:tcPr>
            <w:tcW w:w="1134" w:type="dxa"/>
            <w:tcBorders>
              <w:top w:val="nil"/>
              <w:left w:val="nil"/>
              <w:bottom w:val="single" w:sz="4" w:space="0" w:color="auto"/>
              <w:right w:val="single" w:sz="4" w:space="0" w:color="auto"/>
            </w:tcBorders>
            <w:shd w:val="clear" w:color="000000" w:fill="9FD3E1"/>
            <w:vAlign w:val="center"/>
            <w:hideMark/>
          </w:tcPr>
          <w:p w:rsidR="00B95DC9" w:rsidRPr="00B95DC9" w:rsidRDefault="00F52E62" w:rsidP="00B95DC9">
            <w:pPr>
              <w:suppressAutoHyphens w:val="0"/>
              <w:jc w:val="center"/>
              <w:rPr>
                <w:b/>
                <w:bCs/>
                <w:sz w:val="18"/>
                <w:szCs w:val="18"/>
                <w:lang w:eastAsia="lt-LT"/>
              </w:rPr>
            </w:pPr>
            <w:r>
              <w:rPr>
                <w:b/>
                <w:bCs/>
                <w:sz w:val="18"/>
                <w:szCs w:val="18"/>
                <w:lang w:eastAsia="lt-LT"/>
              </w:rPr>
              <w:t>2018 m. GPM planas</w:t>
            </w:r>
          </w:p>
        </w:tc>
        <w:tc>
          <w:tcPr>
            <w:tcW w:w="1275" w:type="dxa"/>
            <w:tcBorders>
              <w:top w:val="nil"/>
              <w:left w:val="nil"/>
              <w:bottom w:val="single" w:sz="4" w:space="0" w:color="auto"/>
              <w:right w:val="single" w:sz="4" w:space="0" w:color="auto"/>
            </w:tcBorders>
            <w:shd w:val="clear" w:color="auto" w:fill="auto"/>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xml:space="preserve">2018 m. palyginimas su 2017 m. </w:t>
            </w:r>
          </w:p>
        </w:tc>
        <w:tc>
          <w:tcPr>
            <w:tcW w:w="673" w:type="dxa"/>
            <w:tcBorders>
              <w:top w:val="nil"/>
              <w:left w:val="nil"/>
              <w:bottom w:val="single" w:sz="4" w:space="0" w:color="auto"/>
              <w:right w:val="single" w:sz="4" w:space="0" w:color="auto"/>
            </w:tcBorders>
            <w:shd w:val="clear" w:color="auto" w:fill="auto"/>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w:t>
            </w:r>
          </w:p>
        </w:tc>
      </w:tr>
      <w:tr w:rsidR="006A0C08" w:rsidRPr="00B95DC9" w:rsidTr="00583105">
        <w:trPr>
          <w:trHeight w:val="285"/>
        </w:trPr>
        <w:tc>
          <w:tcPr>
            <w:tcW w:w="486" w:type="dxa"/>
            <w:tcBorders>
              <w:top w:val="nil"/>
              <w:left w:val="single" w:sz="4" w:space="0" w:color="auto"/>
              <w:bottom w:val="nil"/>
              <w:right w:val="single" w:sz="4" w:space="0" w:color="auto"/>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nil"/>
              <w:bottom w:val="nil"/>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GPM surenkamas Vilniaus miesto savivaldybės teritorijoje</w:t>
            </w:r>
          </w:p>
        </w:tc>
        <w:tc>
          <w:tcPr>
            <w:tcW w:w="1276" w:type="dxa"/>
            <w:tcBorders>
              <w:top w:val="nil"/>
              <w:left w:val="nil"/>
              <w:bottom w:val="nil"/>
              <w:right w:val="single" w:sz="4" w:space="0" w:color="auto"/>
            </w:tcBorders>
            <w:shd w:val="clear" w:color="auto" w:fill="auto"/>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611 573,0</w:t>
            </w:r>
          </w:p>
        </w:tc>
        <w:tc>
          <w:tcPr>
            <w:tcW w:w="1134" w:type="dxa"/>
            <w:tcBorders>
              <w:top w:val="nil"/>
              <w:left w:val="nil"/>
              <w:bottom w:val="nil"/>
              <w:right w:val="single" w:sz="4" w:space="0" w:color="auto"/>
            </w:tcBorders>
            <w:shd w:val="clear" w:color="000000" w:fill="9FD3E1"/>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748 118,0</w:t>
            </w:r>
          </w:p>
        </w:tc>
        <w:tc>
          <w:tcPr>
            <w:tcW w:w="1275" w:type="dxa"/>
            <w:tcBorders>
              <w:top w:val="nil"/>
              <w:left w:val="nil"/>
              <w:bottom w:val="nil"/>
              <w:right w:val="nil"/>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136 545,0</w:t>
            </w:r>
          </w:p>
        </w:tc>
        <w:tc>
          <w:tcPr>
            <w:tcW w:w="673" w:type="dxa"/>
            <w:tcBorders>
              <w:top w:val="nil"/>
              <w:left w:val="single" w:sz="4" w:space="0" w:color="auto"/>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22,3</w:t>
            </w:r>
          </w:p>
        </w:tc>
      </w:tr>
      <w:tr w:rsidR="006A0C08" w:rsidRPr="00B95DC9" w:rsidTr="00583105">
        <w:trPr>
          <w:trHeight w:val="255"/>
        </w:trPr>
        <w:tc>
          <w:tcPr>
            <w:tcW w:w="486" w:type="dxa"/>
            <w:tcBorders>
              <w:top w:val="nil"/>
              <w:left w:val="single" w:sz="4" w:space="0" w:color="auto"/>
              <w:bottom w:val="nil"/>
              <w:right w:val="single" w:sz="4" w:space="0" w:color="auto"/>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nil"/>
              <w:bottom w:val="single" w:sz="4" w:space="0" w:color="auto"/>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 xml:space="preserve">  (procentais)</w:t>
            </w:r>
          </w:p>
        </w:tc>
        <w:tc>
          <w:tcPr>
            <w:tcW w:w="1276" w:type="dxa"/>
            <w:tcBorders>
              <w:top w:val="nil"/>
              <w:left w:val="nil"/>
              <w:bottom w:val="nil"/>
              <w:right w:val="single" w:sz="4" w:space="0" w:color="auto"/>
            </w:tcBorders>
            <w:shd w:val="clear" w:color="auto" w:fill="auto"/>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100,0</w:t>
            </w:r>
          </w:p>
        </w:tc>
        <w:tc>
          <w:tcPr>
            <w:tcW w:w="1134" w:type="dxa"/>
            <w:tcBorders>
              <w:top w:val="nil"/>
              <w:left w:val="nil"/>
              <w:bottom w:val="nil"/>
              <w:right w:val="single" w:sz="4" w:space="0" w:color="auto"/>
            </w:tcBorders>
            <w:shd w:val="clear" w:color="000000" w:fill="9FD3E1"/>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100,0</w:t>
            </w:r>
          </w:p>
        </w:tc>
        <w:tc>
          <w:tcPr>
            <w:tcW w:w="1275" w:type="dxa"/>
            <w:tcBorders>
              <w:top w:val="nil"/>
              <w:left w:val="nil"/>
              <w:bottom w:val="nil"/>
              <w:right w:val="nil"/>
            </w:tcBorders>
            <w:shd w:val="clear" w:color="000000" w:fill="FFFFFF"/>
            <w:noWrap/>
            <w:vAlign w:val="center"/>
            <w:hideMark/>
          </w:tcPr>
          <w:p w:rsidR="00B95DC9" w:rsidRPr="00B95DC9" w:rsidRDefault="00B95DC9" w:rsidP="00583105">
            <w:pPr>
              <w:suppressAutoHyphens w:val="0"/>
              <w:jc w:val="center"/>
              <w:rPr>
                <w:sz w:val="18"/>
                <w:szCs w:val="18"/>
                <w:lang w:eastAsia="lt-LT"/>
              </w:rPr>
            </w:pPr>
          </w:p>
        </w:tc>
        <w:tc>
          <w:tcPr>
            <w:tcW w:w="673" w:type="dxa"/>
            <w:tcBorders>
              <w:top w:val="nil"/>
              <w:left w:val="single" w:sz="4" w:space="0" w:color="auto"/>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p>
        </w:tc>
      </w:tr>
      <w:tr w:rsidR="006A0C08" w:rsidRPr="00B95DC9" w:rsidTr="00583105">
        <w:trPr>
          <w:trHeight w:val="423"/>
        </w:trPr>
        <w:tc>
          <w:tcPr>
            <w:tcW w:w="486" w:type="dxa"/>
            <w:tcBorders>
              <w:top w:val="single" w:sz="4" w:space="0" w:color="auto"/>
              <w:left w:val="single" w:sz="4" w:space="0" w:color="auto"/>
              <w:bottom w:val="nil"/>
              <w:right w:val="nil"/>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single" w:sz="4" w:space="0" w:color="auto"/>
              <w:bottom w:val="nil"/>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GPM dalis, tenkanti savivaldybių biudžetams, pagal Finansinių rodiklių įstatymus</w:t>
            </w:r>
          </w:p>
        </w:tc>
        <w:tc>
          <w:tcPr>
            <w:tcW w:w="1276" w:type="dxa"/>
            <w:tcBorders>
              <w:top w:val="single" w:sz="4" w:space="0" w:color="auto"/>
              <w:left w:val="nil"/>
              <w:bottom w:val="nil"/>
              <w:right w:val="single" w:sz="4" w:space="0" w:color="auto"/>
            </w:tcBorders>
            <w:shd w:val="clear" w:color="auto" w:fill="auto"/>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478 067,0</w:t>
            </w:r>
          </w:p>
        </w:tc>
        <w:tc>
          <w:tcPr>
            <w:tcW w:w="1134" w:type="dxa"/>
            <w:tcBorders>
              <w:top w:val="single" w:sz="4" w:space="0" w:color="auto"/>
              <w:left w:val="nil"/>
              <w:bottom w:val="nil"/>
              <w:right w:val="single" w:sz="4" w:space="0" w:color="auto"/>
            </w:tcBorders>
            <w:shd w:val="clear" w:color="000000" w:fill="9FD3E1"/>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619 591,0</w:t>
            </w:r>
          </w:p>
        </w:tc>
        <w:tc>
          <w:tcPr>
            <w:tcW w:w="1275" w:type="dxa"/>
            <w:tcBorders>
              <w:top w:val="single" w:sz="4" w:space="0" w:color="auto"/>
              <w:left w:val="nil"/>
              <w:bottom w:val="nil"/>
              <w:right w:val="nil"/>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141 524,0</w:t>
            </w:r>
          </w:p>
        </w:tc>
        <w:tc>
          <w:tcPr>
            <w:tcW w:w="673" w:type="dxa"/>
            <w:tcBorders>
              <w:top w:val="single" w:sz="4" w:space="0" w:color="auto"/>
              <w:left w:val="single" w:sz="4" w:space="0" w:color="auto"/>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29,6</w:t>
            </w:r>
          </w:p>
        </w:tc>
      </w:tr>
      <w:tr w:rsidR="006A0C08" w:rsidRPr="00B95DC9" w:rsidTr="00583105">
        <w:trPr>
          <w:trHeight w:val="255"/>
        </w:trPr>
        <w:tc>
          <w:tcPr>
            <w:tcW w:w="486" w:type="dxa"/>
            <w:tcBorders>
              <w:top w:val="nil"/>
              <w:left w:val="single" w:sz="4" w:space="0" w:color="auto"/>
              <w:bottom w:val="nil"/>
              <w:right w:val="nil"/>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single" w:sz="4" w:space="0" w:color="auto"/>
              <w:bottom w:val="nil"/>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 xml:space="preserve">  (procentais)</w:t>
            </w:r>
          </w:p>
        </w:tc>
        <w:tc>
          <w:tcPr>
            <w:tcW w:w="1276" w:type="dxa"/>
            <w:tcBorders>
              <w:top w:val="nil"/>
              <w:left w:val="nil"/>
              <w:bottom w:val="nil"/>
              <w:right w:val="single" w:sz="4" w:space="0" w:color="auto"/>
            </w:tcBorders>
            <w:shd w:val="clear" w:color="auto" w:fill="auto"/>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78,17</w:t>
            </w:r>
          </w:p>
        </w:tc>
        <w:tc>
          <w:tcPr>
            <w:tcW w:w="1134" w:type="dxa"/>
            <w:tcBorders>
              <w:top w:val="nil"/>
              <w:left w:val="nil"/>
              <w:bottom w:val="nil"/>
              <w:right w:val="single" w:sz="4" w:space="0" w:color="auto"/>
            </w:tcBorders>
            <w:shd w:val="clear" w:color="000000" w:fill="9FD3E1"/>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82,82</w:t>
            </w:r>
          </w:p>
        </w:tc>
        <w:tc>
          <w:tcPr>
            <w:tcW w:w="1275" w:type="dxa"/>
            <w:tcBorders>
              <w:top w:val="nil"/>
              <w:left w:val="nil"/>
              <w:bottom w:val="nil"/>
              <w:right w:val="nil"/>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4,65</w:t>
            </w:r>
          </w:p>
        </w:tc>
        <w:tc>
          <w:tcPr>
            <w:tcW w:w="673" w:type="dxa"/>
            <w:tcBorders>
              <w:top w:val="nil"/>
              <w:left w:val="single" w:sz="4" w:space="0" w:color="auto"/>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p>
        </w:tc>
      </w:tr>
      <w:tr w:rsidR="006A0C08" w:rsidRPr="00B95DC9" w:rsidTr="00583105">
        <w:trPr>
          <w:trHeight w:val="255"/>
        </w:trPr>
        <w:tc>
          <w:tcPr>
            <w:tcW w:w="486" w:type="dxa"/>
            <w:tcBorders>
              <w:top w:val="single" w:sz="4" w:space="0" w:color="auto"/>
              <w:left w:val="single" w:sz="4" w:space="0" w:color="auto"/>
              <w:bottom w:val="nil"/>
              <w:right w:val="nil"/>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single" w:sz="4" w:space="0" w:color="auto"/>
              <w:left w:val="single" w:sz="4" w:space="0" w:color="auto"/>
              <w:bottom w:val="nil"/>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 xml:space="preserve"> </w:t>
            </w:r>
            <w:r w:rsidR="00583105">
              <w:rPr>
                <w:sz w:val="18"/>
                <w:szCs w:val="18"/>
                <w:lang w:eastAsia="lt-LT"/>
              </w:rPr>
              <w:t xml:space="preserve">  </w:t>
            </w:r>
            <w:r w:rsidRPr="00B95DC9">
              <w:rPr>
                <w:sz w:val="18"/>
                <w:szCs w:val="18"/>
                <w:lang w:eastAsia="lt-LT"/>
              </w:rPr>
              <w:t xml:space="preserve"> - GPM pastovioji dalis</w:t>
            </w:r>
          </w:p>
        </w:tc>
        <w:tc>
          <w:tcPr>
            <w:tcW w:w="1276" w:type="dxa"/>
            <w:tcBorders>
              <w:top w:val="single" w:sz="4" w:space="0" w:color="auto"/>
              <w:left w:val="nil"/>
              <w:bottom w:val="nil"/>
              <w:right w:val="single" w:sz="4" w:space="0" w:color="auto"/>
            </w:tcBorders>
            <w:shd w:val="clear" w:color="auto" w:fill="auto"/>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478 067,0</w:t>
            </w:r>
          </w:p>
        </w:tc>
        <w:tc>
          <w:tcPr>
            <w:tcW w:w="1134" w:type="dxa"/>
            <w:tcBorders>
              <w:top w:val="single" w:sz="4" w:space="0" w:color="auto"/>
              <w:left w:val="nil"/>
              <w:bottom w:val="nil"/>
              <w:right w:val="single" w:sz="4" w:space="0" w:color="auto"/>
            </w:tcBorders>
            <w:shd w:val="clear" w:color="000000" w:fill="9FD3E1"/>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486 069,0</w:t>
            </w:r>
          </w:p>
        </w:tc>
        <w:tc>
          <w:tcPr>
            <w:tcW w:w="1275" w:type="dxa"/>
            <w:tcBorders>
              <w:top w:val="single" w:sz="4" w:space="0" w:color="auto"/>
              <w:left w:val="nil"/>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8 002,0</w:t>
            </w:r>
          </w:p>
        </w:tc>
        <w:tc>
          <w:tcPr>
            <w:tcW w:w="673" w:type="dxa"/>
            <w:tcBorders>
              <w:top w:val="single" w:sz="4" w:space="0" w:color="auto"/>
              <w:left w:val="nil"/>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1,7</w:t>
            </w:r>
          </w:p>
        </w:tc>
      </w:tr>
      <w:tr w:rsidR="006A0C08" w:rsidRPr="00B95DC9" w:rsidTr="00583105">
        <w:trPr>
          <w:trHeight w:val="66"/>
        </w:trPr>
        <w:tc>
          <w:tcPr>
            <w:tcW w:w="486" w:type="dxa"/>
            <w:tcBorders>
              <w:top w:val="nil"/>
              <w:left w:val="single" w:sz="4" w:space="0" w:color="auto"/>
              <w:bottom w:val="nil"/>
              <w:right w:val="nil"/>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single" w:sz="4" w:space="0" w:color="auto"/>
              <w:bottom w:val="single" w:sz="4" w:space="0" w:color="auto"/>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 xml:space="preserve">  (procentais)</w:t>
            </w:r>
          </w:p>
        </w:tc>
        <w:tc>
          <w:tcPr>
            <w:tcW w:w="1276" w:type="dxa"/>
            <w:tcBorders>
              <w:top w:val="nil"/>
              <w:left w:val="nil"/>
              <w:bottom w:val="nil"/>
              <w:right w:val="single" w:sz="4" w:space="0" w:color="auto"/>
            </w:tcBorders>
            <w:shd w:val="clear" w:color="auto" w:fill="auto"/>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78,17</w:t>
            </w:r>
          </w:p>
        </w:tc>
        <w:tc>
          <w:tcPr>
            <w:tcW w:w="1134" w:type="dxa"/>
            <w:tcBorders>
              <w:top w:val="nil"/>
              <w:left w:val="nil"/>
              <w:bottom w:val="single" w:sz="4" w:space="0" w:color="auto"/>
              <w:right w:val="single" w:sz="4" w:space="0" w:color="auto"/>
            </w:tcBorders>
            <w:shd w:val="clear" w:color="000000" w:fill="9FD3E1"/>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78,45</w:t>
            </w:r>
          </w:p>
        </w:tc>
        <w:tc>
          <w:tcPr>
            <w:tcW w:w="1275" w:type="dxa"/>
            <w:tcBorders>
              <w:top w:val="nil"/>
              <w:left w:val="nil"/>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0,28</w:t>
            </w:r>
          </w:p>
        </w:tc>
        <w:tc>
          <w:tcPr>
            <w:tcW w:w="673" w:type="dxa"/>
            <w:tcBorders>
              <w:top w:val="nil"/>
              <w:left w:val="nil"/>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p>
        </w:tc>
      </w:tr>
      <w:tr w:rsidR="006A0C08" w:rsidRPr="00B95DC9" w:rsidTr="00583105">
        <w:trPr>
          <w:trHeight w:val="255"/>
        </w:trPr>
        <w:tc>
          <w:tcPr>
            <w:tcW w:w="486" w:type="dxa"/>
            <w:tcBorders>
              <w:top w:val="single" w:sz="4" w:space="0" w:color="auto"/>
              <w:left w:val="single" w:sz="4" w:space="0" w:color="auto"/>
              <w:bottom w:val="nil"/>
              <w:right w:val="nil"/>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single" w:sz="4" w:space="0" w:color="auto"/>
              <w:bottom w:val="nil"/>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 xml:space="preserve"> </w:t>
            </w:r>
            <w:r w:rsidR="00583105">
              <w:rPr>
                <w:sz w:val="18"/>
                <w:szCs w:val="18"/>
                <w:lang w:eastAsia="lt-LT"/>
              </w:rPr>
              <w:t xml:space="preserve">  </w:t>
            </w:r>
            <w:r w:rsidRPr="00B95DC9">
              <w:rPr>
                <w:sz w:val="18"/>
                <w:szCs w:val="18"/>
                <w:lang w:eastAsia="lt-LT"/>
              </w:rPr>
              <w:t xml:space="preserve"> - GPM kintamoji dalis </w:t>
            </w:r>
          </w:p>
        </w:tc>
        <w:tc>
          <w:tcPr>
            <w:tcW w:w="1276" w:type="dxa"/>
            <w:tcBorders>
              <w:top w:val="single" w:sz="4" w:space="0" w:color="auto"/>
              <w:left w:val="single" w:sz="4" w:space="0" w:color="auto"/>
              <w:bottom w:val="nil"/>
              <w:right w:val="single" w:sz="4" w:space="0" w:color="auto"/>
            </w:tcBorders>
            <w:shd w:val="clear" w:color="auto" w:fill="auto"/>
            <w:noWrap/>
            <w:vAlign w:val="center"/>
            <w:hideMark/>
          </w:tcPr>
          <w:p w:rsidR="00B95DC9" w:rsidRPr="00B95DC9" w:rsidRDefault="00B95DC9" w:rsidP="00583105">
            <w:pPr>
              <w:suppressAutoHyphens w:val="0"/>
              <w:jc w:val="center"/>
              <w:rPr>
                <w:sz w:val="18"/>
                <w:szCs w:val="18"/>
                <w:lang w:eastAsia="lt-LT"/>
              </w:rPr>
            </w:pPr>
          </w:p>
        </w:tc>
        <w:tc>
          <w:tcPr>
            <w:tcW w:w="1134" w:type="dxa"/>
            <w:tcBorders>
              <w:top w:val="nil"/>
              <w:left w:val="nil"/>
              <w:bottom w:val="nil"/>
              <w:right w:val="single" w:sz="4" w:space="0" w:color="auto"/>
            </w:tcBorders>
            <w:shd w:val="clear" w:color="000000" w:fill="9FD3E1"/>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27 076,0</w:t>
            </w:r>
          </w:p>
        </w:tc>
        <w:tc>
          <w:tcPr>
            <w:tcW w:w="1275" w:type="dxa"/>
            <w:tcBorders>
              <w:top w:val="single" w:sz="4" w:space="0" w:color="auto"/>
              <w:left w:val="nil"/>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27 076,0</w:t>
            </w:r>
          </w:p>
        </w:tc>
        <w:tc>
          <w:tcPr>
            <w:tcW w:w="673" w:type="dxa"/>
            <w:tcBorders>
              <w:top w:val="single" w:sz="4" w:space="0" w:color="auto"/>
              <w:left w:val="nil"/>
              <w:bottom w:val="nil"/>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p>
        </w:tc>
      </w:tr>
      <w:tr w:rsidR="006A0C08" w:rsidRPr="00B95DC9" w:rsidTr="00583105">
        <w:trPr>
          <w:trHeight w:val="255"/>
        </w:trPr>
        <w:tc>
          <w:tcPr>
            <w:tcW w:w="486" w:type="dxa"/>
            <w:tcBorders>
              <w:top w:val="nil"/>
              <w:left w:val="single" w:sz="4" w:space="0" w:color="auto"/>
              <w:bottom w:val="single" w:sz="4" w:space="0" w:color="auto"/>
              <w:right w:val="nil"/>
            </w:tcBorders>
            <w:shd w:val="clear" w:color="auto" w:fill="auto"/>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single" w:sz="4" w:space="0" w:color="auto"/>
              <w:bottom w:val="single" w:sz="4" w:space="0" w:color="auto"/>
              <w:right w:val="single" w:sz="4" w:space="0" w:color="auto"/>
            </w:tcBorders>
            <w:shd w:val="clear" w:color="auto" w:fill="auto"/>
            <w:vAlign w:val="center"/>
            <w:hideMark/>
          </w:tcPr>
          <w:p w:rsidR="00B95DC9" w:rsidRPr="00B95DC9" w:rsidRDefault="00B95DC9" w:rsidP="00B95DC9">
            <w:pPr>
              <w:suppressAutoHyphens w:val="0"/>
              <w:rPr>
                <w:sz w:val="18"/>
                <w:szCs w:val="18"/>
                <w:lang w:eastAsia="lt-LT"/>
              </w:rPr>
            </w:pPr>
            <w:r w:rsidRPr="00B95DC9">
              <w:rPr>
                <w:sz w:val="18"/>
                <w:szCs w:val="18"/>
                <w:lang w:eastAsia="lt-LT"/>
              </w:rPr>
              <w:t xml:space="preserve">  (procentais)</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B95DC9" w:rsidRPr="00B95DC9" w:rsidRDefault="00B95DC9" w:rsidP="00583105">
            <w:pPr>
              <w:suppressAutoHyphens w:val="0"/>
              <w:jc w:val="center"/>
              <w:rPr>
                <w:sz w:val="18"/>
                <w:szCs w:val="18"/>
                <w:lang w:eastAsia="lt-LT"/>
              </w:rPr>
            </w:pPr>
          </w:p>
        </w:tc>
        <w:tc>
          <w:tcPr>
            <w:tcW w:w="1134" w:type="dxa"/>
            <w:tcBorders>
              <w:top w:val="nil"/>
              <w:left w:val="nil"/>
              <w:bottom w:val="single" w:sz="4" w:space="0" w:color="auto"/>
              <w:right w:val="single" w:sz="4" w:space="0" w:color="auto"/>
            </w:tcBorders>
            <w:shd w:val="clear" w:color="000000" w:fill="9FD3E1"/>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4,37</w:t>
            </w:r>
          </w:p>
        </w:tc>
        <w:tc>
          <w:tcPr>
            <w:tcW w:w="1275" w:type="dxa"/>
            <w:tcBorders>
              <w:top w:val="nil"/>
              <w:left w:val="nil"/>
              <w:bottom w:val="single" w:sz="4" w:space="0" w:color="auto"/>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r w:rsidRPr="00B95DC9">
              <w:rPr>
                <w:sz w:val="18"/>
                <w:szCs w:val="18"/>
                <w:lang w:eastAsia="lt-LT"/>
              </w:rPr>
              <w:t>4,37</w:t>
            </w:r>
          </w:p>
        </w:tc>
        <w:tc>
          <w:tcPr>
            <w:tcW w:w="673" w:type="dxa"/>
            <w:tcBorders>
              <w:top w:val="nil"/>
              <w:left w:val="nil"/>
              <w:bottom w:val="single" w:sz="4" w:space="0" w:color="auto"/>
              <w:right w:val="single" w:sz="4" w:space="0" w:color="auto"/>
            </w:tcBorders>
            <w:shd w:val="clear" w:color="000000" w:fill="FFFFFF"/>
            <w:noWrap/>
            <w:vAlign w:val="center"/>
            <w:hideMark/>
          </w:tcPr>
          <w:p w:rsidR="00B95DC9" w:rsidRPr="00B95DC9" w:rsidRDefault="00B95DC9" w:rsidP="00583105">
            <w:pPr>
              <w:suppressAutoHyphens w:val="0"/>
              <w:jc w:val="center"/>
              <w:rPr>
                <w:sz w:val="18"/>
                <w:szCs w:val="18"/>
                <w:lang w:eastAsia="lt-LT"/>
              </w:rPr>
            </w:pPr>
          </w:p>
        </w:tc>
      </w:tr>
      <w:tr w:rsidR="006A0C08" w:rsidRPr="00B95DC9" w:rsidTr="00583105">
        <w:trPr>
          <w:trHeight w:val="350"/>
        </w:trPr>
        <w:tc>
          <w:tcPr>
            <w:tcW w:w="486" w:type="dxa"/>
            <w:tcBorders>
              <w:top w:val="nil"/>
              <w:left w:val="single" w:sz="4" w:space="0" w:color="auto"/>
              <w:bottom w:val="single" w:sz="4" w:space="0" w:color="auto"/>
              <w:right w:val="nil"/>
            </w:tcBorders>
            <w:shd w:val="clear" w:color="000000" w:fill="DAEEF3"/>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1.</w:t>
            </w:r>
          </w:p>
        </w:tc>
        <w:tc>
          <w:tcPr>
            <w:tcW w:w="4901" w:type="dxa"/>
            <w:tcBorders>
              <w:top w:val="nil"/>
              <w:left w:val="single" w:sz="4" w:space="0" w:color="auto"/>
              <w:bottom w:val="single" w:sz="4" w:space="0" w:color="auto"/>
              <w:right w:val="single" w:sz="4" w:space="0" w:color="auto"/>
            </w:tcBorders>
            <w:shd w:val="clear" w:color="000000" w:fill="DAEEF3"/>
            <w:vAlign w:val="center"/>
            <w:hideMark/>
          </w:tcPr>
          <w:p w:rsidR="00B95DC9" w:rsidRPr="00B95DC9" w:rsidRDefault="00B95DC9" w:rsidP="00B95DC9">
            <w:pPr>
              <w:suppressAutoHyphens w:val="0"/>
              <w:rPr>
                <w:b/>
                <w:bCs/>
                <w:sz w:val="18"/>
                <w:szCs w:val="18"/>
                <w:lang w:eastAsia="lt-LT"/>
              </w:rPr>
            </w:pPr>
            <w:r w:rsidRPr="00B95DC9">
              <w:rPr>
                <w:b/>
                <w:bCs/>
                <w:sz w:val="18"/>
                <w:szCs w:val="18"/>
                <w:lang w:eastAsia="lt-LT"/>
              </w:rPr>
              <w:t>GPM pastovioji dalis</w:t>
            </w:r>
            <w:r w:rsidR="00D75F02">
              <w:rPr>
                <w:b/>
                <w:bCs/>
                <w:sz w:val="18"/>
                <w:szCs w:val="18"/>
                <w:lang w:eastAsia="lt-LT"/>
              </w:rPr>
              <w:t xml:space="preserve"> </w:t>
            </w:r>
            <w:r w:rsidR="00D75F02" w:rsidRPr="00D75F02">
              <w:rPr>
                <w:bCs/>
                <w:sz w:val="18"/>
                <w:szCs w:val="18"/>
                <w:lang w:eastAsia="lt-LT"/>
              </w:rPr>
              <w:t xml:space="preserve">(pajamų </w:t>
            </w:r>
            <w:r w:rsidR="0054235C">
              <w:rPr>
                <w:bCs/>
                <w:sz w:val="18"/>
                <w:szCs w:val="18"/>
                <w:lang w:eastAsia="lt-LT"/>
              </w:rPr>
              <w:t>mažėjimui</w:t>
            </w:r>
            <w:r w:rsidR="00D75F02">
              <w:rPr>
                <w:b/>
                <w:bCs/>
                <w:sz w:val="18"/>
                <w:szCs w:val="18"/>
                <w:lang w:eastAsia="lt-LT"/>
              </w:rPr>
              <w:t xml:space="preserve"> </w:t>
            </w:r>
            <w:r w:rsidR="00D75F02" w:rsidRPr="00B95DC9">
              <w:rPr>
                <w:sz w:val="18"/>
                <w:szCs w:val="18"/>
                <w:lang w:eastAsia="lt-LT"/>
              </w:rPr>
              <w:t>kompensuoti dėl Seimo ir Vyriausybės priimtų sprendimų</w:t>
            </w:r>
            <w:r w:rsidR="00D75F02" w:rsidRPr="007F25B2">
              <w:rPr>
                <w:sz w:val="18"/>
                <w:szCs w:val="18"/>
                <w:lang w:eastAsia="lt-LT"/>
              </w:rPr>
              <w:t>)</w:t>
            </w:r>
            <w:r w:rsidRPr="007F25B2">
              <w:rPr>
                <w:bCs/>
                <w:sz w:val="18"/>
                <w:szCs w:val="18"/>
                <w:lang w:eastAsia="lt-LT"/>
              </w:rPr>
              <w:t>, iš jos:</w:t>
            </w:r>
          </w:p>
        </w:tc>
        <w:tc>
          <w:tcPr>
            <w:tcW w:w="1276" w:type="dxa"/>
            <w:tcBorders>
              <w:top w:val="nil"/>
              <w:left w:val="nil"/>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244 148,0</w:t>
            </w:r>
          </w:p>
        </w:tc>
        <w:tc>
          <w:tcPr>
            <w:tcW w:w="1134" w:type="dxa"/>
            <w:tcBorders>
              <w:top w:val="nil"/>
              <w:left w:val="nil"/>
              <w:bottom w:val="single" w:sz="4" w:space="0" w:color="auto"/>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282 189,0</w:t>
            </w:r>
          </w:p>
        </w:tc>
        <w:tc>
          <w:tcPr>
            <w:tcW w:w="1275" w:type="dxa"/>
            <w:tcBorders>
              <w:top w:val="nil"/>
              <w:left w:val="nil"/>
              <w:bottom w:val="single" w:sz="4" w:space="0" w:color="auto"/>
              <w:right w:val="nil"/>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38 041,0</w:t>
            </w:r>
          </w:p>
        </w:tc>
        <w:tc>
          <w:tcPr>
            <w:tcW w:w="673" w:type="dxa"/>
            <w:tcBorders>
              <w:top w:val="nil"/>
              <w:left w:val="single" w:sz="4" w:space="0" w:color="auto"/>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15,6</w:t>
            </w:r>
          </w:p>
        </w:tc>
      </w:tr>
      <w:tr w:rsidR="006A0C08" w:rsidRPr="00B95DC9" w:rsidTr="00583105">
        <w:trPr>
          <w:trHeight w:val="431"/>
        </w:trPr>
        <w:tc>
          <w:tcPr>
            <w:tcW w:w="486" w:type="dxa"/>
            <w:tcBorders>
              <w:top w:val="nil"/>
              <w:left w:val="single" w:sz="4" w:space="0" w:color="auto"/>
              <w:bottom w:val="nil"/>
              <w:right w:val="single" w:sz="4" w:space="0" w:color="auto"/>
            </w:tcBorders>
            <w:shd w:val="clear" w:color="000000" w:fill="DAEEF3"/>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1.1.</w:t>
            </w:r>
          </w:p>
        </w:tc>
        <w:tc>
          <w:tcPr>
            <w:tcW w:w="4901" w:type="dxa"/>
            <w:tcBorders>
              <w:top w:val="nil"/>
              <w:left w:val="nil"/>
              <w:bottom w:val="nil"/>
              <w:right w:val="single" w:sz="4" w:space="0" w:color="auto"/>
            </w:tcBorders>
            <w:shd w:val="clear" w:color="000000" w:fill="DAEEF3"/>
            <w:vAlign w:val="center"/>
            <w:hideMark/>
          </w:tcPr>
          <w:p w:rsidR="00B95DC9" w:rsidRPr="00B95DC9" w:rsidRDefault="00B95DC9" w:rsidP="00B95DC9">
            <w:pPr>
              <w:suppressAutoHyphens w:val="0"/>
              <w:rPr>
                <w:b/>
                <w:bCs/>
                <w:sz w:val="18"/>
                <w:szCs w:val="18"/>
                <w:lang w:eastAsia="lt-LT"/>
              </w:rPr>
            </w:pPr>
            <w:r w:rsidRPr="00B95DC9">
              <w:rPr>
                <w:b/>
                <w:bCs/>
                <w:sz w:val="18"/>
                <w:szCs w:val="18"/>
                <w:lang w:eastAsia="lt-LT"/>
              </w:rPr>
              <w:t xml:space="preserve">GPM, tenkantis Vilniaus m. savivaldybei </w:t>
            </w:r>
            <w:r w:rsidRPr="00D75F02">
              <w:rPr>
                <w:bCs/>
                <w:sz w:val="18"/>
                <w:szCs w:val="18"/>
                <w:lang w:eastAsia="lt-LT"/>
              </w:rPr>
              <w:t>pagal Finansinių rodiklių įstatymais numatytą procentinę dalį</w:t>
            </w:r>
          </w:p>
        </w:tc>
        <w:tc>
          <w:tcPr>
            <w:tcW w:w="1276" w:type="dxa"/>
            <w:tcBorders>
              <w:top w:val="nil"/>
              <w:left w:val="nil"/>
              <w:bottom w:val="nil"/>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219 624,0</w:t>
            </w:r>
          </w:p>
        </w:tc>
        <w:tc>
          <w:tcPr>
            <w:tcW w:w="1134" w:type="dxa"/>
            <w:tcBorders>
              <w:top w:val="nil"/>
              <w:left w:val="nil"/>
              <w:bottom w:val="nil"/>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261 408,0</w:t>
            </w:r>
          </w:p>
        </w:tc>
        <w:tc>
          <w:tcPr>
            <w:tcW w:w="1275" w:type="dxa"/>
            <w:tcBorders>
              <w:top w:val="nil"/>
              <w:left w:val="nil"/>
              <w:bottom w:val="nil"/>
              <w:right w:val="nil"/>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41 784,0</w:t>
            </w:r>
          </w:p>
        </w:tc>
        <w:tc>
          <w:tcPr>
            <w:tcW w:w="673" w:type="dxa"/>
            <w:tcBorders>
              <w:top w:val="nil"/>
              <w:left w:val="single" w:sz="4" w:space="0" w:color="auto"/>
              <w:bottom w:val="nil"/>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19,0</w:t>
            </w:r>
          </w:p>
        </w:tc>
      </w:tr>
      <w:tr w:rsidR="006A0C08" w:rsidRPr="00B95DC9" w:rsidTr="00583105">
        <w:trPr>
          <w:trHeight w:val="255"/>
        </w:trPr>
        <w:tc>
          <w:tcPr>
            <w:tcW w:w="486" w:type="dxa"/>
            <w:tcBorders>
              <w:top w:val="nil"/>
              <w:left w:val="single" w:sz="4" w:space="0" w:color="auto"/>
              <w:bottom w:val="single" w:sz="4" w:space="0" w:color="auto"/>
              <w:right w:val="single" w:sz="4" w:space="0" w:color="auto"/>
            </w:tcBorders>
            <w:shd w:val="clear" w:color="000000" w:fill="DAEEF3"/>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nil"/>
              <w:bottom w:val="single" w:sz="4" w:space="0" w:color="auto"/>
              <w:right w:val="single" w:sz="4" w:space="0" w:color="auto"/>
            </w:tcBorders>
            <w:shd w:val="clear" w:color="000000" w:fill="DAEEF3"/>
            <w:vAlign w:val="center"/>
            <w:hideMark/>
          </w:tcPr>
          <w:p w:rsidR="00B95DC9" w:rsidRPr="00B95DC9" w:rsidRDefault="00B95DC9" w:rsidP="00B95DC9">
            <w:pPr>
              <w:suppressAutoHyphens w:val="0"/>
              <w:rPr>
                <w:sz w:val="18"/>
                <w:szCs w:val="18"/>
                <w:lang w:eastAsia="lt-LT"/>
              </w:rPr>
            </w:pPr>
            <w:r w:rsidRPr="00B95DC9">
              <w:rPr>
                <w:sz w:val="18"/>
                <w:szCs w:val="18"/>
                <w:lang w:eastAsia="lt-LT"/>
              </w:rPr>
              <w:t xml:space="preserve">  (procentais)</w:t>
            </w:r>
          </w:p>
        </w:tc>
        <w:tc>
          <w:tcPr>
            <w:tcW w:w="1276" w:type="dxa"/>
            <w:tcBorders>
              <w:top w:val="nil"/>
              <w:left w:val="nil"/>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45,94</w:t>
            </w:r>
          </w:p>
        </w:tc>
        <w:tc>
          <w:tcPr>
            <w:tcW w:w="1134" w:type="dxa"/>
            <w:tcBorders>
              <w:top w:val="nil"/>
              <w:left w:val="nil"/>
              <w:bottom w:val="single" w:sz="4" w:space="0" w:color="auto"/>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53,78</w:t>
            </w:r>
          </w:p>
        </w:tc>
        <w:tc>
          <w:tcPr>
            <w:tcW w:w="1275" w:type="dxa"/>
            <w:tcBorders>
              <w:top w:val="nil"/>
              <w:left w:val="nil"/>
              <w:bottom w:val="single" w:sz="4" w:space="0" w:color="auto"/>
              <w:right w:val="nil"/>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7,84</w:t>
            </w:r>
          </w:p>
        </w:tc>
        <w:tc>
          <w:tcPr>
            <w:tcW w:w="673" w:type="dxa"/>
            <w:tcBorders>
              <w:top w:val="nil"/>
              <w:left w:val="single" w:sz="4" w:space="0" w:color="auto"/>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p>
        </w:tc>
      </w:tr>
      <w:tr w:rsidR="006A0C08" w:rsidRPr="00B95DC9" w:rsidTr="00583105">
        <w:trPr>
          <w:trHeight w:val="421"/>
        </w:trPr>
        <w:tc>
          <w:tcPr>
            <w:tcW w:w="486" w:type="dxa"/>
            <w:tcBorders>
              <w:top w:val="nil"/>
              <w:left w:val="single" w:sz="4" w:space="0" w:color="auto"/>
              <w:bottom w:val="single" w:sz="4" w:space="0" w:color="auto"/>
              <w:right w:val="single" w:sz="4" w:space="0" w:color="auto"/>
            </w:tcBorders>
            <w:shd w:val="clear" w:color="000000" w:fill="DAEEF3"/>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1.2.</w:t>
            </w:r>
          </w:p>
        </w:tc>
        <w:tc>
          <w:tcPr>
            <w:tcW w:w="4901" w:type="dxa"/>
            <w:tcBorders>
              <w:top w:val="nil"/>
              <w:left w:val="nil"/>
              <w:bottom w:val="single" w:sz="4" w:space="0" w:color="auto"/>
              <w:right w:val="single" w:sz="4" w:space="0" w:color="auto"/>
            </w:tcBorders>
            <w:shd w:val="clear" w:color="000000" w:fill="DAEEF3"/>
            <w:vAlign w:val="center"/>
            <w:hideMark/>
          </w:tcPr>
          <w:p w:rsidR="00B95DC9" w:rsidRPr="00B95DC9" w:rsidRDefault="00B95DC9" w:rsidP="00B95DC9">
            <w:pPr>
              <w:suppressAutoHyphens w:val="0"/>
              <w:rPr>
                <w:b/>
                <w:bCs/>
                <w:sz w:val="18"/>
                <w:szCs w:val="18"/>
                <w:lang w:eastAsia="lt-LT"/>
              </w:rPr>
            </w:pPr>
            <w:r w:rsidRPr="00B95DC9">
              <w:rPr>
                <w:b/>
                <w:bCs/>
                <w:sz w:val="18"/>
                <w:szCs w:val="18"/>
                <w:lang w:eastAsia="lt-LT"/>
              </w:rPr>
              <w:t xml:space="preserve">GPM dalis išlaidų struktūrų skirtumams išlyginti </w:t>
            </w:r>
            <w:r w:rsidRPr="00B95DC9">
              <w:rPr>
                <w:sz w:val="18"/>
                <w:szCs w:val="18"/>
                <w:lang w:eastAsia="lt-LT"/>
              </w:rPr>
              <w:t>(pagal demografinius, socialinius ir kitus rodiklius)</w:t>
            </w:r>
          </w:p>
        </w:tc>
        <w:tc>
          <w:tcPr>
            <w:tcW w:w="1276" w:type="dxa"/>
            <w:tcBorders>
              <w:top w:val="nil"/>
              <w:left w:val="nil"/>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24 524,0</w:t>
            </w:r>
          </w:p>
        </w:tc>
        <w:tc>
          <w:tcPr>
            <w:tcW w:w="1134" w:type="dxa"/>
            <w:tcBorders>
              <w:top w:val="nil"/>
              <w:left w:val="nil"/>
              <w:bottom w:val="single" w:sz="4" w:space="0" w:color="auto"/>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20 781,0</w:t>
            </w:r>
          </w:p>
        </w:tc>
        <w:tc>
          <w:tcPr>
            <w:tcW w:w="1275" w:type="dxa"/>
            <w:tcBorders>
              <w:top w:val="nil"/>
              <w:left w:val="nil"/>
              <w:bottom w:val="single" w:sz="4" w:space="0" w:color="auto"/>
              <w:right w:val="nil"/>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-3 743,0</w:t>
            </w:r>
          </w:p>
        </w:tc>
        <w:tc>
          <w:tcPr>
            <w:tcW w:w="673" w:type="dxa"/>
            <w:tcBorders>
              <w:top w:val="nil"/>
              <w:left w:val="single" w:sz="4" w:space="0" w:color="auto"/>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-15,3</w:t>
            </w:r>
          </w:p>
        </w:tc>
      </w:tr>
      <w:tr w:rsidR="006A0C08" w:rsidRPr="00B95DC9" w:rsidTr="00583105">
        <w:trPr>
          <w:trHeight w:val="416"/>
        </w:trPr>
        <w:tc>
          <w:tcPr>
            <w:tcW w:w="486" w:type="dxa"/>
            <w:tcBorders>
              <w:top w:val="nil"/>
              <w:left w:val="single" w:sz="4" w:space="0" w:color="auto"/>
              <w:bottom w:val="single" w:sz="4" w:space="0" w:color="auto"/>
              <w:right w:val="nil"/>
            </w:tcBorders>
            <w:shd w:val="clear" w:color="000000" w:fill="DAEEF3"/>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2.</w:t>
            </w:r>
          </w:p>
        </w:tc>
        <w:tc>
          <w:tcPr>
            <w:tcW w:w="4901" w:type="dxa"/>
            <w:tcBorders>
              <w:top w:val="nil"/>
              <w:left w:val="single" w:sz="4" w:space="0" w:color="auto"/>
              <w:bottom w:val="single" w:sz="4" w:space="0" w:color="auto"/>
              <w:right w:val="single" w:sz="4" w:space="0" w:color="auto"/>
            </w:tcBorders>
            <w:shd w:val="clear" w:color="000000" w:fill="DAEEF3"/>
            <w:vAlign w:val="center"/>
            <w:hideMark/>
          </w:tcPr>
          <w:p w:rsidR="00B95DC9" w:rsidRPr="00B95DC9" w:rsidRDefault="00B95DC9" w:rsidP="00B95DC9">
            <w:pPr>
              <w:suppressAutoHyphens w:val="0"/>
              <w:rPr>
                <w:b/>
                <w:bCs/>
                <w:sz w:val="18"/>
                <w:szCs w:val="18"/>
                <w:lang w:eastAsia="lt-LT"/>
              </w:rPr>
            </w:pPr>
            <w:r w:rsidRPr="00B95DC9">
              <w:rPr>
                <w:b/>
                <w:bCs/>
                <w:sz w:val="18"/>
                <w:szCs w:val="18"/>
                <w:lang w:eastAsia="lt-LT"/>
              </w:rPr>
              <w:t>GPM kintamoji dalis</w:t>
            </w:r>
            <w:r w:rsidRPr="00B95DC9">
              <w:rPr>
                <w:sz w:val="18"/>
                <w:szCs w:val="18"/>
                <w:lang w:eastAsia="lt-LT"/>
              </w:rPr>
              <w:t xml:space="preserve"> (išlaidų pokyčiams kompensuoti dėl Seimo ir Vyriausybės priimtų sprendimų)</w:t>
            </w:r>
          </w:p>
        </w:tc>
        <w:tc>
          <w:tcPr>
            <w:tcW w:w="1276" w:type="dxa"/>
            <w:tcBorders>
              <w:top w:val="nil"/>
              <w:left w:val="nil"/>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p>
        </w:tc>
        <w:tc>
          <w:tcPr>
            <w:tcW w:w="1134" w:type="dxa"/>
            <w:tcBorders>
              <w:top w:val="nil"/>
              <w:left w:val="nil"/>
              <w:bottom w:val="single" w:sz="4" w:space="0" w:color="auto"/>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7 029,0</w:t>
            </w:r>
          </w:p>
        </w:tc>
        <w:tc>
          <w:tcPr>
            <w:tcW w:w="1275" w:type="dxa"/>
            <w:tcBorders>
              <w:top w:val="nil"/>
              <w:left w:val="nil"/>
              <w:bottom w:val="single" w:sz="4" w:space="0" w:color="auto"/>
              <w:right w:val="nil"/>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7 029,0</w:t>
            </w:r>
          </w:p>
        </w:tc>
        <w:tc>
          <w:tcPr>
            <w:tcW w:w="673" w:type="dxa"/>
            <w:tcBorders>
              <w:top w:val="nil"/>
              <w:left w:val="single" w:sz="4" w:space="0" w:color="auto"/>
              <w:bottom w:val="single" w:sz="4" w:space="0" w:color="auto"/>
              <w:right w:val="single" w:sz="4" w:space="0" w:color="auto"/>
            </w:tcBorders>
            <w:shd w:val="clear" w:color="000000" w:fill="DAEEF3"/>
            <w:noWrap/>
            <w:vAlign w:val="center"/>
            <w:hideMark/>
          </w:tcPr>
          <w:p w:rsidR="00B95DC9" w:rsidRPr="00B95DC9" w:rsidRDefault="00B95DC9" w:rsidP="00583105">
            <w:pPr>
              <w:suppressAutoHyphens w:val="0"/>
              <w:jc w:val="center"/>
              <w:rPr>
                <w:b/>
                <w:bCs/>
                <w:sz w:val="18"/>
                <w:szCs w:val="18"/>
                <w:lang w:eastAsia="lt-LT"/>
              </w:rPr>
            </w:pPr>
          </w:p>
        </w:tc>
      </w:tr>
      <w:tr w:rsidR="006A0C08" w:rsidRPr="00B95DC9" w:rsidTr="00583105">
        <w:trPr>
          <w:trHeight w:val="483"/>
        </w:trPr>
        <w:tc>
          <w:tcPr>
            <w:tcW w:w="486" w:type="dxa"/>
            <w:tcBorders>
              <w:top w:val="nil"/>
              <w:left w:val="single" w:sz="4" w:space="0" w:color="auto"/>
              <w:bottom w:val="single" w:sz="4" w:space="0" w:color="auto"/>
              <w:right w:val="nil"/>
            </w:tcBorders>
            <w:shd w:val="clear" w:color="000000" w:fill="9FD3E1"/>
            <w:noWrap/>
            <w:vAlign w:val="center"/>
            <w:hideMark/>
          </w:tcPr>
          <w:p w:rsidR="00B95DC9" w:rsidRPr="00B95DC9" w:rsidRDefault="00B95DC9" w:rsidP="00B95DC9">
            <w:pPr>
              <w:suppressAutoHyphens w:val="0"/>
              <w:jc w:val="center"/>
              <w:rPr>
                <w:b/>
                <w:bCs/>
                <w:sz w:val="18"/>
                <w:szCs w:val="18"/>
                <w:lang w:eastAsia="lt-LT"/>
              </w:rPr>
            </w:pPr>
            <w:r w:rsidRPr="00B95DC9">
              <w:rPr>
                <w:b/>
                <w:bCs/>
                <w:sz w:val="18"/>
                <w:szCs w:val="18"/>
                <w:lang w:eastAsia="lt-LT"/>
              </w:rPr>
              <w:t> </w:t>
            </w:r>
          </w:p>
        </w:tc>
        <w:tc>
          <w:tcPr>
            <w:tcW w:w="4901" w:type="dxa"/>
            <w:tcBorders>
              <w:top w:val="nil"/>
              <w:left w:val="single" w:sz="4" w:space="0" w:color="auto"/>
              <w:bottom w:val="single" w:sz="4" w:space="0" w:color="auto"/>
              <w:right w:val="single" w:sz="4" w:space="0" w:color="auto"/>
            </w:tcBorders>
            <w:shd w:val="clear" w:color="000000" w:fill="9FD3E1"/>
            <w:vAlign w:val="center"/>
            <w:hideMark/>
          </w:tcPr>
          <w:p w:rsidR="00B95DC9" w:rsidRPr="00B95DC9" w:rsidRDefault="00583105" w:rsidP="00B95DC9">
            <w:pPr>
              <w:suppressAutoHyphens w:val="0"/>
              <w:rPr>
                <w:b/>
                <w:bCs/>
                <w:sz w:val="18"/>
                <w:szCs w:val="18"/>
                <w:lang w:eastAsia="lt-LT"/>
              </w:rPr>
            </w:pPr>
            <w:r>
              <w:rPr>
                <w:b/>
                <w:bCs/>
                <w:sz w:val="18"/>
                <w:szCs w:val="18"/>
                <w:lang w:eastAsia="lt-LT"/>
              </w:rPr>
              <w:t>IŠ VISO</w:t>
            </w:r>
            <w:r w:rsidR="00B95DC9" w:rsidRPr="00B95DC9">
              <w:rPr>
                <w:b/>
                <w:bCs/>
                <w:sz w:val="18"/>
                <w:szCs w:val="18"/>
                <w:lang w:eastAsia="lt-LT"/>
              </w:rPr>
              <w:t xml:space="preserve"> </w:t>
            </w:r>
            <w:r>
              <w:rPr>
                <w:b/>
                <w:bCs/>
                <w:sz w:val="18"/>
                <w:szCs w:val="18"/>
                <w:lang w:eastAsia="lt-LT"/>
              </w:rPr>
              <w:t>GPM</w:t>
            </w:r>
            <w:r w:rsidR="00B95DC9" w:rsidRPr="00B95DC9">
              <w:rPr>
                <w:b/>
                <w:bCs/>
                <w:sz w:val="18"/>
                <w:szCs w:val="18"/>
                <w:lang w:eastAsia="lt-LT"/>
              </w:rPr>
              <w:t xml:space="preserve"> pagal Finansinių rodiklių įstatymus (1+2)</w:t>
            </w:r>
          </w:p>
        </w:tc>
        <w:tc>
          <w:tcPr>
            <w:tcW w:w="1276" w:type="dxa"/>
            <w:tcBorders>
              <w:top w:val="nil"/>
              <w:left w:val="nil"/>
              <w:bottom w:val="single" w:sz="4" w:space="0" w:color="auto"/>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244 148,0</w:t>
            </w:r>
          </w:p>
        </w:tc>
        <w:tc>
          <w:tcPr>
            <w:tcW w:w="1134" w:type="dxa"/>
            <w:tcBorders>
              <w:top w:val="nil"/>
              <w:left w:val="nil"/>
              <w:bottom w:val="single" w:sz="4" w:space="0" w:color="auto"/>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289 218,0</w:t>
            </w:r>
          </w:p>
        </w:tc>
        <w:tc>
          <w:tcPr>
            <w:tcW w:w="1275" w:type="dxa"/>
            <w:tcBorders>
              <w:top w:val="nil"/>
              <w:left w:val="nil"/>
              <w:bottom w:val="single" w:sz="4" w:space="0" w:color="auto"/>
              <w:right w:val="nil"/>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45 070,0</w:t>
            </w:r>
          </w:p>
        </w:tc>
        <w:tc>
          <w:tcPr>
            <w:tcW w:w="673" w:type="dxa"/>
            <w:tcBorders>
              <w:top w:val="nil"/>
              <w:left w:val="single" w:sz="4" w:space="0" w:color="auto"/>
              <w:bottom w:val="single" w:sz="4" w:space="0" w:color="auto"/>
              <w:right w:val="single" w:sz="4" w:space="0" w:color="auto"/>
            </w:tcBorders>
            <w:shd w:val="clear" w:color="000000" w:fill="9FD3E1"/>
            <w:noWrap/>
            <w:vAlign w:val="center"/>
            <w:hideMark/>
          </w:tcPr>
          <w:p w:rsidR="00B95DC9" w:rsidRPr="00B95DC9" w:rsidRDefault="00B95DC9" w:rsidP="00583105">
            <w:pPr>
              <w:suppressAutoHyphens w:val="0"/>
              <w:jc w:val="center"/>
              <w:rPr>
                <w:b/>
                <w:bCs/>
                <w:sz w:val="18"/>
                <w:szCs w:val="18"/>
                <w:lang w:eastAsia="lt-LT"/>
              </w:rPr>
            </w:pPr>
            <w:r w:rsidRPr="00B95DC9">
              <w:rPr>
                <w:b/>
                <w:bCs/>
                <w:sz w:val="18"/>
                <w:szCs w:val="18"/>
                <w:lang w:eastAsia="lt-LT"/>
              </w:rPr>
              <w:t>18,5</w:t>
            </w:r>
          </w:p>
        </w:tc>
      </w:tr>
    </w:tbl>
    <w:p w:rsidR="004B0586" w:rsidRDefault="004B0586" w:rsidP="006A0C08">
      <w:pPr>
        <w:spacing w:line="360" w:lineRule="auto"/>
        <w:ind w:firstLine="720"/>
        <w:jc w:val="both"/>
        <w:rPr>
          <w:spacing w:val="1"/>
        </w:rPr>
      </w:pPr>
    </w:p>
    <w:p w:rsidR="00D0321C" w:rsidRDefault="00D0321C" w:rsidP="006A0C08">
      <w:pPr>
        <w:spacing w:line="360" w:lineRule="auto"/>
        <w:ind w:firstLine="720"/>
        <w:jc w:val="both"/>
        <w:rPr>
          <w:spacing w:val="1"/>
        </w:rPr>
      </w:pPr>
      <w:r w:rsidRPr="009F3BC3">
        <w:rPr>
          <w:spacing w:val="1"/>
        </w:rPr>
        <w:t>GPM dalis, tenkanti Vilniaus miesto savivaldybei su valstybės iždo pajamomis</w:t>
      </w:r>
      <w:r>
        <w:rPr>
          <w:spacing w:val="1"/>
        </w:rPr>
        <w:t>,</w:t>
      </w:r>
      <w:r w:rsidRPr="009F3BC3">
        <w:rPr>
          <w:spacing w:val="1"/>
        </w:rPr>
        <w:t xml:space="preserve"> sudarys </w:t>
      </w:r>
      <w:r w:rsidR="006A0C08" w:rsidRPr="00775B90">
        <w:rPr>
          <w:spacing w:val="1"/>
        </w:rPr>
        <w:t>486069</w:t>
      </w:r>
      <w:r w:rsidRPr="00775B90">
        <w:rPr>
          <w:spacing w:val="1"/>
        </w:rPr>
        <w:t>,0 tūkst. Eur (t. y. 78,45 proc.) nuo</w:t>
      </w:r>
      <w:r w:rsidRPr="009F3BC3">
        <w:rPr>
          <w:spacing w:val="1"/>
        </w:rPr>
        <w:t xml:space="preserve"> visų šio mokesčio pajamų, surenkamų Vilniaus miesto savivaldybės teritorijoje ir palyginti su 201</w:t>
      </w:r>
      <w:r>
        <w:rPr>
          <w:spacing w:val="1"/>
        </w:rPr>
        <w:t>7</w:t>
      </w:r>
      <w:r w:rsidRPr="009F3BC3">
        <w:rPr>
          <w:spacing w:val="1"/>
        </w:rPr>
        <w:t xml:space="preserve"> metais didėja </w:t>
      </w:r>
      <w:r w:rsidR="006A0C08">
        <w:rPr>
          <w:spacing w:val="1"/>
        </w:rPr>
        <w:t>8002</w:t>
      </w:r>
      <w:r>
        <w:rPr>
          <w:spacing w:val="1"/>
        </w:rPr>
        <w:t>,0</w:t>
      </w:r>
      <w:r w:rsidRPr="009F3BC3">
        <w:rPr>
          <w:spacing w:val="1"/>
        </w:rPr>
        <w:t xml:space="preserve"> tūkst. Eur</w:t>
      </w:r>
      <w:r>
        <w:rPr>
          <w:spacing w:val="1"/>
        </w:rPr>
        <w:t xml:space="preserve"> arba</w:t>
      </w:r>
      <w:r w:rsidRPr="009F3BC3">
        <w:rPr>
          <w:spacing w:val="1"/>
        </w:rPr>
        <w:t xml:space="preserve"> </w:t>
      </w:r>
      <w:r>
        <w:rPr>
          <w:spacing w:val="1"/>
        </w:rPr>
        <w:t>1,7</w:t>
      </w:r>
      <w:r w:rsidRPr="009F3BC3">
        <w:rPr>
          <w:spacing w:val="1"/>
        </w:rPr>
        <w:t xml:space="preserve"> proc.</w:t>
      </w:r>
    </w:p>
    <w:p w:rsidR="00A96835" w:rsidRPr="00DA7381" w:rsidRDefault="009D1227" w:rsidP="00A96835">
      <w:pPr>
        <w:spacing w:line="360" w:lineRule="auto"/>
        <w:ind w:firstLine="851"/>
        <w:jc w:val="both"/>
        <w:rPr>
          <w:b/>
          <w:bCs/>
        </w:rPr>
      </w:pPr>
      <w:r w:rsidRPr="00DA7381">
        <w:rPr>
          <w:b/>
        </w:rPr>
        <w:t>P</w:t>
      </w:r>
      <w:r w:rsidR="00D0321C" w:rsidRPr="00DA7381">
        <w:rPr>
          <w:b/>
          <w:bCs/>
        </w:rPr>
        <w:t xml:space="preserve">rognozuojamos GPM pajamos Savivaldybės biudžetui sudarys </w:t>
      </w:r>
      <w:r w:rsidR="006A0C08" w:rsidRPr="00DA7381">
        <w:rPr>
          <w:b/>
        </w:rPr>
        <w:t>289218</w:t>
      </w:r>
      <w:r w:rsidR="00D0321C" w:rsidRPr="00DA7381">
        <w:rPr>
          <w:b/>
        </w:rPr>
        <w:t>,0 tūkst. Eur</w:t>
      </w:r>
      <w:r w:rsidR="00D0321C" w:rsidRPr="00DA7381">
        <w:rPr>
          <w:b/>
          <w:bCs/>
        </w:rPr>
        <w:t xml:space="preserve">, tai </w:t>
      </w:r>
      <w:r w:rsidR="006A0C08" w:rsidRPr="00DA7381">
        <w:rPr>
          <w:b/>
          <w:bCs/>
        </w:rPr>
        <w:t>45070,0</w:t>
      </w:r>
      <w:r w:rsidR="00D0321C" w:rsidRPr="00DA7381">
        <w:rPr>
          <w:b/>
          <w:bCs/>
        </w:rPr>
        <w:t xml:space="preserve"> tūkst. Eur arba 18,</w:t>
      </w:r>
      <w:r w:rsidR="006A0C08" w:rsidRPr="00DA7381">
        <w:rPr>
          <w:b/>
          <w:bCs/>
        </w:rPr>
        <w:t>5</w:t>
      </w:r>
      <w:r w:rsidR="00D0321C" w:rsidRPr="00DA7381">
        <w:rPr>
          <w:b/>
          <w:bCs/>
        </w:rPr>
        <w:t xml:space="preserve"> proc. daugiau negu 2017 m.</w:t>
      </w:r>
      <w:r w:rsidR="007F5F44">
        <w:rPr>
          <w:b/>
          <w:bCs/>
        </w:rPr>
        <w:t>,</w:t>
      </w:r>
      <w:r w:rsidR="00A96835" w:rsidRPr="00DA7381">
        <w:rPr>
          <w:b/>
          <w:bCs/>
        </w:rPr>
        <w:t xml:space="preserve"> iš jų: </w:t>
      </w:r>
    </w:p>
    <w:p w:rsidR="00D0321C" w:rsidRPr="00A96835" w:rsidRDefault="00D0321C" w:rsidP="00A96835">
      <w:pPr>
        <w:spacing w:line="360" w:lineRule="auto"/>
        <w:ind w:firstLine="851"/>
        <w:jc w:val="both"/>
        <w:rPr>
          <w:bCs/>
        </w:rPr>
      </w:pPr>
      <w:r>
        <w:rPr>
          <w:b/>
          <w:spacing w:val="1"/>
        </w:rPr>
        <w:t xml:space="preserve">a) </w:t>
      </w:r>
      <w:r w:rsidRPr="009F2EDC">
        <w:rPr>
          <w:b/>
          <w:spacing w:val="1"/>
        </w:rPr>
        <w:t>pastovioji GPM dalis</w:t>
      </w:r>
      <w:r>
        <w:rPr>
          <w:spacing w:val="1"/>
        </w:rPr>
        <w:t xml:space="preserve"> sudarys 282196,0 tūkst. Eur</w:t>
      </w:r>
      <w:r w:rsidR="00DA7381">
        <w:rPr>
          <w:spacing w:val="1"/>
        </w:rPr>
        <w:t xml:space="preserve">, ši GPM dalis koreguojama </w:t>
      </w:r>
      <w:r w:rsidR="0054235C" w:rsidRPr="00D75F02">
        <w:rPr>
          <w:szCs w:val="24"/>
          <w:lang w:eastAsia="lt-LT"/>
        </w:rPr>
        <w:t>dėl Seimo ir Vyriausybės priimtų sprendimų</w:t>
      </w:r>
      <w:r w:rsidR="0054235C" w:rsidRPr="00DA7381">
        <w:rPr>
          <w:b/>
          <w:bCs/>
          <w:szCs w:val="24"/>
          <w:lang w:eastAsia="lt-LT"/>
        </w:rPr>
        <w:t xml:space="preserve"> </w:t>
      </w:r>
      <w:r w:rsidR="00D75F02" w:rsidRPr="00DA7381">
        <w:rPr>
          <w:b/>
          <w:bCs/>
          <w:szCs w:val="24"/>
          <w:lang w:eastAsia="lt-LT"/>
        </w:rPr>
        <w:t xml:space="preserve">pajamų </w:t>
      </w:r>
      <w:r w:rsidR="00DA7381" w:rsidRPr="00DA7381">
        <w:rPr>
          <w:b/>
          <w:bCs/>
          <w:szCs w:val="24"/>
          <w:lang w:eastAsia="lt-LT"/>
        </w:rPr>
        <w:t>mažėjimui</w:t>
      </w:r>
      <w:r w:rsidR="00D75F02" w:rsidRPr="00D75F02">
        <w:rPr>
          <w:b/>
          <w:bCs/>
          <w:szCs w:val="24"/>
          <w:lang w:eastAsia="lt-LT"/>
        </w:rPr>
        <w:t xml:space="preserve"> </w:t>
      </w:r>
      <w:r w:rsidR="00D75F02" w:rsidRPr="00D75F02">
        <w:rPr>
          <w:szCs w:val="24"/>
          <w:lang w:eastAsia="lt-LT"/>
        </w:rPr>
        <w:t>kompensuoti,</w:t>
      </w:r>
      <w:r w:rsidR="00D75F02">
        <w:rPr>
          <w:sz w:val="18"/>
          <w:szCs w:val="18"/>
          <w:lang w:eastAsia="lt-LT"/>
        </w:rPr>
        <w:t xml:space="preserve"> </w:t>
      </w:r>
      <w:r>
        <w:rPr>
          <w:spacing w:val="1"/>
        </w:rPr>
        <w:t>iš jos:</w:t>
      </w:r>
    </w:p>
    <w:p w:rsidR="00D0321C" w:rsidRDefault="00D0321C" w:rsidP="00D0321C">
      <w:pPr>
        <w:spacing w:line="360" w:lineRule="auto"/>
        <w:ind w:firstLine="851"/>
        <w:jc w:val="both"/>
        <w:rPr>
          <w:bCs/>
        </w:rPr>
      </w:pPr>
      <w:r>
        <w:rPr>
          <w:spacing w:val="1"/>
        </w:rPr>
        <w:t xml:space="preserve">- </w:t>
      </w:r>
      <w:r>
        <w:rPr>
          <w:bCs/>
        </w:rPr>
        <w:t>2614</w:t>
      </w:r>
      <w:r w:rsidR="006A0C08">
        <w:rPr>
          <w:bCs/>
        </w:rPr>
        <w:t>08</w:t>
      </w:r>
      <w:r>
        <w:rPr>
          <w:bCs/>
        </w:rPr>
        <w:t>,0</w:t>
      </w:r>
      <w:r w:rsidRPr="009001BD">
        <w:rPr>
          <w:bCs/>
        </w:rPr>
        <w:t xml:space="preserve"> tūkst. Eur – GPM dalis, tenkantis Vilniaus miesto savivaldybei pagal </w:t>
      </w:r>
      <w:r>
        <w:rPr>
          <w:bCs/>
        </w:rPr>
        <w:t xml:space="preserve">Finansinių rodiklių </w:t>
      </w:r>
      <w:r w:rsidRPr="009001BD">
        <w:rPr>
          <w:bCs/>
        </w:rPr>
        <w:t>įstatym</w:t>
      </w:r>
      <w:r w:rsidR="009D1227">
        <w:rPr>
          <w:bCs/>
        </w:rPr>
        <w:t xml:space="preserve">e </w:t>
      </w:r>
      <w:r w:rsidRPr="009001BD">
        <w:rPr>
          <w:bCs/>
        </w:rPr>
        <w:t xml:space="preserve">numatytą procentą – </w:t>
      </w:r>
      <w:r w:rsidRPr="00FD62FC">
        <w:rPr>
          <w:b/>
          <w:bCs/>
        </w:rPr>
        <w:t>53,78 proc.</w:t>
      </w:r>
      <w:r w:rsidR="009D1227">
        <w:rPr>
          <w:b/>
          <w:bCs/>
        </w:rPr>
        <w:t xml:space="preserve"> </w:t>
      </w:r>
      <w:r w:rsidR="009D1227" w:rsidRPr="009D1227">
        <w:rPr>
          <w:bCs/>
        </w:rPr>
        <w:t>(</w:t>
      </w:r>
      <w:r w:rsidR="009D1227">
        <w:rPr>
          <w:bCs/>
        </w:rPr>
        <w:t xml:space="preserve">lyginant su 2017 m. </w:t>
      </w:r>
      <w:r w:rsidR="009D1227" w:rsidRPr="009D1227">
        <w:rPr>
          <w:bCs/>
        </w:rPr>
        <w:t>didėja 7,84  procentinio punkto)</w:t>
      </w:r>
      <w:r w:rsidRPr="009D1227">
        <w:rPr>
          <w:bCs/>
        </w:rPr>
        <w:t>,</w:t>
      </w:r>
      <w:r w:rsidRPr="009001BD">
        <w:rPr>
          <w:bCs/>
        </w:rPr>
        <w:t xml:space="preserve"> tai </w:t>
      </w:r>
      <w:r w:rsidR="006A0C08">
        <w:rPr>
          <w:bCs/>
        </w:rPr>
        <w:t>41784</w:t>
      </w:r>
      <w:r>
        <w:rPr>
          <w:bCs/>
        </w:rPr>
        <w:t>,0</w:t>
      </w:r>
      <w:r w:rsidRPr="009001BD">
        <w:rPr>
          <w:bCs/>
        </w:rPr>
        <w:t xml:space="preserve"> tūkst. Eur </w:t>
      </w:r>
      <w:r w:rsidR="009D1227">
        <w:rPr>
          <w:bCs/>
        </w:rPr>
        <w:t xml:space="preserve">arba 19,0 proc. </w:t>
      </w:r>
      <w:r w:rsidRPr="009001BD">
        <w:rPr>
          <w:bCs/>
        </w:rPr>
        <w:t>daugiau negu 201</w:t>
      </w:r>
      <w:r>
        <w:rPr>
          <w:bCs/>
        </w:rPr>
        <w:t>7</w:t>
      </w:r>
      <w:r w:rsidRPr="009001BD">
        <w:rPr>
          <w:bCs/>
        </w:rPr>
        <w:t xml:space="preserve"> m.</w:t>
      </w:r>
      <w:r>
        <w:rPr>
          <w:bCs/>
        </w:rPr>
        <w:t xml:space="preserve"> </w:t>
      </w:r>
    </w:p>
    <w:p w:rsidR="00D0321C" w:rsidRPr="009001BD" w:rsidRDefault="00D0321C" w:rsidP="00D0321C">
      <w:pPr>
        <w:spacing w:line="360" w:lineRule="auto"/>
        <w:ind w:firstLine="851"/>
        <w:jc w:val="both"/>
      </w:pPr>
      <w:r>
        <w:rPr>
          <w:bCs/>
        </w:rPr>
        <w:t xml:space="preserve">- </w:t>
      </w:r>
      <w:r>
        <w:t>20781,0</w:t>
      </w:r>
      <w:r w:rsidRPr="009001BD">
        <w:t xml:space="preserve"> tūkst. Eur – GPM išlaidų struktūrų skirtumams išlyginti (pagal savivaldybės demografinius, socialinius ir kitus rodiklius), tai </w:t>
      </w:r>
      <w:r>
        <w:t>3743,0</w:t>
      </w:r>
      <w:r w:rsidRPr="009001BD">
        <w:t xml:space="preserve"> tūkst. Eur arba </w:t>
      </w:r>
      <w:r>
        <w:t>15,3</w:t>
      </w:r>
      <w:r w:rsidRPr="009001BD">
        <w:t xml:space="preserve"> proc</w:t>
      </w:r>
      <w:r>
        <w:t>. mažiau</w:t>
      </w:r>
      <w:r w:rsidRPr="009001BD">
        <w:t xml:space="preserve"> negu 201</w:t>
      </w:r>
      <w:r>
        <w:t>7</w:t>
      </w:r>
      <w:r w:rsidRPr="009001BD">
        <w:t xml:space="preserve"> m.</w:t>
      </w:r>
    </w:p>
    <w:p w:rsidR="00D0321C" w:rsidRPr="00F22020" w:rsidRDefault="00D0321C" w:rsidP="00D0321C">
      <w:pPr>
        <w:spacing w:line="360" w:lineRule="auto"/>
        <w:ind w:firstLine="851"/>
        <w:jc w:val="both"/>
      </w:pPr>
      <w:r>
        <w:rPr>
          <w:b/>
          <w:spacing w:val="1"/>
        </w:rPr>
        <w:t xml:space="preserve">b)  </w:t>
      </w:r>
      <w:r w:rsidRPr="009F2EDC">
        <w:rPr>
          <w:b/>
          <w:spacing w:val="1"/>
        </w:rPr>
        <w:t xml:space="preserve"> </w:t>
      </w:r>
      <w:r>
        <w:rPr>
          <w:b/>
          <w:spacing w:val="1"/>
        </w:rPr>
        <w:t xml:space="preserve">kintamoji </w:t>
      </w:r>
      <w:r w:rsidRPr="009F2EDC">
        <w:rPr>
          <w:b/>
          <w:spacing w:val="1"/>
        </w:rPr>
        <w:t>GPM dalis</w:t>
      </w:r>
      <w:r>
        <w:rPr>
          <w:spacing w:val="1"/>
        </w:rPr>
        <w:t xml:space="preserve"> sudarys </w:t>
      </w:r>
      <w:r w:rsidR="009D1227">
        <w:rPr>
          <w:spacing w:val="1"/>
        </w:rPr>
        <w:t>7029</w:t>
      </w:r>
      <w:r w:rsidRPr="00FD62FC">
        <w:rPr>
          <w:spacing w:val="1"/>
        </w:rPr>
        <w:t>,0 tūkst. Eur,</w:t>
      </w:r>
      <w:r>
        <w:rPr>
          <w:spacing w:val="1"/>
        </w:rPr>
        <w:t xml:space="preserve"> ši GPM dalis skirta</w:t>
      </w:r>
      <w:r>
        <w:rPr>
          <w:bCs/>
        </w:rPr>
        <w:t xml:space="preserve"> </w:t>
      </w:r>
      <w:r w:rsidRPr="0060768C">
        <w:t xml:space="preserve">Savivaldybės </w:t>
      </w:r>
      <w:r w:rsidRPr="00DA7381">
        <w:rPr>
          <w:b/>
        </w:rPr>
        <w:t>išlaidų pokyčių</w:t>
      </w:r>
      <w:r w:rsidRPr="0060768C">
        <w:t xml:space="preserve"> finansiniams ištekliams papildyti pagal Seimo ir Vyriausybės priimtus sprendimus</w:t>
      </w:r>
      <w:r w:rsidR="00DA26DA">
        <w:t xml:space="preserve">, </w:t>
      </w:r>
      <w:r>
        <w:t xml:space="preserve">iš jų: </w:t>
      </w:r>
      <w:r w:rsidR="009D1227" w:rsidRPr="00D760D1">
        <w:t xml:space="preserve">2635,0 tūkst. Eur – valstybės ir savivaldybių įstaigų darbuotojų darbo apmokėjimo įstatymui </w:t>
      </w:r>
      <w:r w:rsidR="009D1227">
        <w:t xml:space="preserve">laipsniškai </w:t>
      </w:r>
      <w:r w:rsidR="009D1227" w:rsidRPr="00D760D1">
        <w:t>įgyvendinti,</w:t>
      </w:r>
      <w:r w:rsidR="009D1227">
        <w:t xml:space="preserve"> </w:t>
      </w:r>
      <w:r w:rsidR="009D1227" w:rsidRPr="00D760D1">
        <w:t>1350,0 tūkst. Eur – minimalios mėnesinės algos padidinim</w:t>
      </w:r>
      <w:r w:rsidR="009D1227">
        <w:t>ui</w:t>
      </w:r>
      <w:r w:rsidR="00DA26DA" w:rsidRPr="00A96835">
        <w:t>,</w:t>
      </w:r>
      <w:r w:rsidR="00DA26DA">
        <w:t xml:space="preserve"> </w:t>
      </w:r>
      <w:r w:rsidR="00DA26DA" w:rsidRPr="00D760D1">
        <w:t xml:space="preserve">1543,0 tūkst. Eur – pagal teisės aktus perduotoms savivaldybėms </w:t>
      </w:r>
      <w:r w:rsidR="00DA26DA">
        <w:t xml:space="preserve">perduotoms </w:t>
      </w:r>
      <w:r w:rsidR="00DA26DA" w:rsidRPr="00D760D1">
        <w:t>įstaigoms finansuoti,</w:t>
      </w:r>
      <w:r w:rsidR="00DA26DA">
        <w:t xml:space="preserve"> </w:t>
      </w:r>
      <w:r w:rsidRPr="00D760D1">
        <w:t>427,0 tūkst. Eur – valstybės tarnautojams grąžintino neišmokėto darbo užmokesčio 20 proc. daliai išmokėti,</w:t>
      </w:r>
      <w:r w:rsidR="00DA26DA">
        <w:t xml:space="preserve"> 1074,0 tūkst. Eur – pareiginės algos baziniam dydžiui padidinti</w:t>
      </w:r>
      <w:r w:rsidRPr="00D760D1">
        <w:t>.</w:t>
      </w:r>
    </w:p>
    <w:p w:rsidR="00D0321C" w:rsidRPr="00C13E2E" w:rsidRDefault="00D0321C" w:rsidP="00D0321C">
      <w:pPr>
        <w:spacing w:line="360" w:lineRule="auto"/>
        <w:ind w:firstLine="851"/>
        <w:jc w:val="both"/>
        <w:rPr>
          <w:b/>
          <w:color w:val="000000"/>
        </w:rPr>
      </w:pPr>
      <w:r w:rsidRPr="00775B90">
        <w:t>Iš turto mokesčių</w:t>
      </w:r>
      <w:r>
        <w:t xml:space="preserve"> į </w:t>
      </w:r>
      <w:r w:rsidRPr="00D42219">
        <w:t xml:space="preserve">Savivaldybės biudžetą </w:t>
      </w:r>
      <w:r>
        <w:t xml:space="preserve">2018 metais </w:t>
      </w:r>
      <w:r w:rsidRPr="00D42219">
        <w:t xml:space="preserve">prognozuojama gauti </w:t>
      </w:r>
      <w:r>
        <w:t>43000,0</w:t>
      </w:r>
      <w:r w:rsidRPr="00D42219">
        <w:t xml:space="preserve"> tūkst.  Eur, tai </w:t>
      </w:r>
      <w:r>
        <w:t>9600,0</w:t>
      </w:r>
      <w:r w:rsidRPr="00D42219">
        <w:t xml:space="preserve"> tūkst. Eur, arba </w:t>
      </w:r>
      <w:r>
        <w:t>28,7</w:t>
      </w:r>
      <w:r w:rsidRPr="00D42219">
        <w:t xml:space="preserve"> proc. daugiau negu patvirtinta 201</w:t>
      </w:r>
      <w:r>
        <w:t>7</w:t>
      </w:r>
      <w:r w:rsidRPr="00D42219">
        <w:t xml:space="preserve"> m. Turto mokesčiai </w:t>
      </w:r>
      <w:r>
        <w:t xml:space="preserve">prognozuojami pagal </w:t>
      </w:r>
      <w:r w:rsidRPr="00D42219">
        <w:t xml:space="preserve">Finansų ministerijos </w:t>
      </w:r>
      <w:r>
        <w:t>pateiktus</w:t>
      </w:r>
      <w:r w:rsidRPr="00D42219">
        <w:t xml:space="preserve"> 201</w:t>
      </w:r>
      <w:r>
        <w:t>8</w:t>
      </w:r>
      <w:r w:rsidRPr="00D42219">
        <w:t xml:space="preserve"> metų prognozuojamus finansinius rodiklius. </w:t>
      </w:r>
    </w:p>
    <w:p w:rsidR="00D0321C" w:rsidRPr="002864EE" w:rsidRDefault="00D0321C" w:rsidP="00D0321C">
      <w:pPr>
        <w:tabs>
          <w:tab w:val="left" w:pos="851"/>
        </w:tabs>
        <w:spacing w:line="360" w:lineRule="auto"/>
        <w:ind w:firstLine="851"/>
        <w:jc w:val="both"/>
      </w:pPr>
      <w:r>
        <w:t>Prognozuojama</w:t>
      </w:r>
      <w:r w:rsidRPr="0043769F">
        <w:t xml:space="preserve"> surinkti šiuos turto mokesčius: žemės mokesčio – </w:t>
      </w:r>
      <w:r>
        <w:t>3508,0</w:t>
      </w:r>
      <w:r w:rsidRPr="0043769F">
        <w:t xml:space="preserve"> tūkst. Eur </w:t>
      </w:r>
      <w:r>
        <w:t>t. y. 2008,0 tūkst. Eur daugiau</w:t>
      </w:r>
      <w:r w:rsidRPr="0043769F">
        <w:t xml:space="preserve"> negu 201</w:t>
      </w:r>
      <w:r>
        <w:t>7</w:t>
      </w:r>
      <w:r w:rsidRPr="0043769F">
        <w:t xml:space="preserve"> metais (</w:t>
      </w:r>
      <w:r>
        <w:t>padidėjimas</w:t>
      </w:r>
      <w:r w:rsidRPr="0043769F">
        <w:t xml:space="preserve"> </w:t>
      </w:r>
      <w:r>
        <w:t xml:space="preserve">planuojamas </w:t>
      </w:r>
      <w:r w:rsidRPr="0043769F">
        <w:t xml:space="preserve">dėl </w:t>
      </w:r>
      <w:r>
        <w:t>didėjančių apmokestinamų žemės sklypų plotų ir augančių žemės verčių</w:t>
      </w:r>
      <w:r w:rsidRPr="0043769F">
        <w:t>); paveldimo turto mokesčio – 4</w:t>
      </w:r>
      <w:r>
        <w:t>71</w:t>
      </w:r>
      <w:r w:rsidRPr="0043769F">
        <w:t>,0 tūkst. Eur</w:t>
      </w:r>
      <w:r>
        <w:t>, t. y. 71,0 tūkst. Eur daugiau (didėja atsižvelgiant į kasmet didėjančias šio mokesčio faktines įplaukas)</w:t>
      </w:r>
      <w:r w:rsidRPr="0043769F">
        <w:t>;</w:t>
      </w:r>
      <w:r w:rsidRPr="0043769F">
        <w:rPr>
          <w:bCs/>
          <w:color w:val="FF0000"/>
        </w:rPr>
        <w:t xml:space="preserve"> </w:t>
      </w:r>
      <w:r w:rsidRPr="0043769F">
        <w:t xml:space="preserve">nekilnojamojo turto mokesčio – </w:t>
      </w:r>
      <w:r>
        <w:t>39021,0 tūkst. Eur, t. y. 7521,0</w:t>
      </w:r>
      <w:r w:rsidRPr="0043769F">
        <w:t xml:space="preserve"> tūkst. Eur daugiau negu patvirtinta 201</w:t>
      </w:r>
      <w:r>
        <w:t>7</w:t>
      </w:r>
      <w:r w:rsidRPr="0043769F">
        <w:t xml:space="preserve"> metais (</w:t>
      </w:r>
      <w:r>
        <w:t>didėja</w:t>
      </w:r>
      <w:r w:rsidRPr="0043769F">
        <w:t xml:space="preserve"> atsižvelgiant į </w:t>
      </w:r>
      <w:r>
        <w:t>nekilnojamojo turto pastatų plėtrą)</w:t>
      </w:r>
      <w:r w:rsidRPr="0043769F">
        <w:t>.</w:t>
      </w:r>
      <w:r w:rsidRPr="002864EE">
        <w:t xml:space="preserve"> </w:t>
      </w:r>
    </w:p>
    <w:p w:rsidR="00D0321C" w:rsidRDefault="00D0321C" w:rsidP="00D0321C">
      <w:pPr>
        <w:tabs>
          <w:tab w:val="left" w:pos="851"/>
        </w:tabs>
        <w:spacing w:line="360" w:lineRule="auto"/>
        <w:jc w:val="both"/>
      </w:pPr>
      <w:r>
        <w:rPr>
          <w:b/>
          <w:bCs/>
        </w:rPr>
        <w:tab/>
      </w:r>
      <w:r w:rsidRPr="00775B90">
        <w:rPr>
          <w:bCs/>
        </w:rPr>
        <w:t>Iš</w:t>
      </w:r>
      <w:r w:rsidRPr="00775B90">
        <w:t xml:space="preserve"> mokesčių už aplinkos teršimą</w:t>
      </w:r>
      <w:r w:rsidRPr="00BC566B">
        <w:t xml:space="preserve"> </w:t>
      </w:r>
      <w:r>
        <w:t>planuojama surinkti</w:t>
      </w:r>
      <w:r w:rsidRPr="00BC566B">
        <w:t xml:space="preserve"> </w:t>
      </w:r>
      <w:r>
        <w:t>1200,0 tūkst. Eur</w:t>
      </w:r>
      <w:r w:rsidR="009D1688">
        <w:t>.</w:t>
      </w:r>
    </w:p>
    <w:p w:rsidR="00D0321C" w:rsidRPr="00534443" w:rsidRDefault="00D0321C" w:rsidP="00D0321C">
      <w:pPr>
        <w:tabs>
          <w:tab w:val="left" w:pos="851"/>
        </w:tabs>
        <w:spacing w:line="360" w:lineRule="auto"/>
        <w:jc w:val="both"/>
        <w:rPr>
          <w:b/>
          <w:u w:val="single"/>
        </w:rPr>
      </w:pPr>
      <w:r>
        <w:tab/>
      </w:r>
      <w:r w:rsidRPr="006C2E25">
        <w:rPr>
          <w:b/>
          <w:u w:val="single"/>
        </w:rPr>
        <w:t>Kitos pajamos.</w:t>
      </w:r>
    </w:p>
    <w:p w:rsidR="00D0321C" w:rsidRDefault="00D0321C" w:rsidP="00D0321C">
      <w:pPr>
        <w:tabs>
          <w:tab w:val="left" w:pos="851"/>
        </w:tabs>
        <w:spacing w:line="360" w:lineRule="auto"/>
        <w:jc w:val="both"/>
      </w:pPr>
      <w:r>
        <w:tab/>
      </w:r>
      <w:r w:rsidRPr="00775B90">
        <w:rPr>
          <w:bCs/>
        </w:rPr>
        <w:t>Kitos pajamos</w:t>
      </w:r>
      <w:r w:rsidRPr="00775B90">
        <w:t xml:space="preserve"> </w:t>
      </w:r>
      <w:r w:rsidRPr="009C207B">
        <w:t>Savivaldybės 201</w:t>
      </w:r>
      <w:r>
        <w:t>8</w:t>
      </w:r>
      <w:r w:rsidRPr="009C207B">
        <w:t xml:space="preserve"> m. biudžete </w:t>
      </w:r>
      <w:r w:rsidRPr="0090552E">
        <w:t xml:space="preserve">sudarys </w:t>
      </w:r>
      <w:r>
        <w:t>47102,0</w:t>
      </w:r>
      <w:r w:rsidRPr="009C207B">
        <w:t xml:space="preserve"> tūkst. Eur, </w:t>
      </w:r>
      <w:r w:rsidRPr="00184B9A">
        <w:t xml:space="preserve">tai </w:t>
      </w:r>
      <w:r>
        <w:t>17118,3 tūkst. Eur daugiau negu patvirtinta 2017 m. Pajamos ženkliai did</w:t>
      </w:r>
      <w:r w:rsidR="00271E0A">
        <w:t>esnės</w:t>
      </w:r>
      <w:r>
        <w:t xml:space="preserve">, kadangi </w:t>
      </w:r>
      <w:r w:rsidRPr="000A5AF0">
        <w:t>nuo 2018 m. pasikeitus Lietuvos Respublikos valstybės ir savivaldybių biudžetų pajamų ir išlaidų klasifikacijai valstybės ir vietinės rinkliavos iš mokesčių perkeliamos į kitas pajamas.</w:t>
      </w:r>
    </w:p>
    <w:p w:rsidR="00D0321C" w:rsidRDefault="00D0321C" w:rsidP="00B51F70">
      <w:pPr>
        <w:tabs>
          <w:tab w:val="left" w:pos="851"/>
        </w:tabs>
        <w:spacing w:line="360" w:lineRule="auto"/>
        <w:jc w:val="both"/>
      </w:pPr>
      <w:r>
        <w:tab/>
      </w:r>
      <w:r w:rsidRPr="00775B90">
        <w:t>Kitose pajamose planuojama:</w:t>
      </w:r>
      <w:r>
        <w:t xml:space="preserve"> 943,0 tūkst. Eur – dividendų už Savivaldybei priklausančias akcijas; 4600,0 tūkst. Eur – nuomos mokesčio už valstybinę žemę; 360</w:t>
      </w:r>
      <w:r w:rsidR="00271E0A">
        <w:t>,0</w:t>
      </w:r>
      <w:r>
        <w:t xml:space="preserve"> tūkst. Eur – mokesčių už valstybinius gamtos išteklius; 2300,0</w:t>
      </w:r>
      <w:r w:rsidRPr="00184B9A">
        <w:t xml:space="preserve"> tūkst. Eur </w:t>
      </w:r>
      <w:r>
        <w:t xml:space="preserve">– </w:t>
      </w:r>
      <w:r w:rsidRPr="00184B9A">
        <w:t xml:space="preserve">pajamų už </w:t>
      </w:r>
      <w:r>
        <w:t xml:space="preserve">Savivaldybės </w:t>
      </w:r>
      <w:r w:rsidRPr="00184B9A">
        <w:t>patalpų nuomą</w:t>
      </w:r>
      <w:r>
        <w:t xml:space="preserve">, t. y. 300,0  tūkst. Eur daugiau, kadangi pritraukiama naujų patalpų nuomininkų, pasirašomos naujos sutartys aukštesnėmis kainomis; 16846,0 </w:t>
      </w:r>
      <w:r w:rsidRPr="004F5F64">
        <w:t>tūkst. Eur</w:t>
      </w:r>
      <w:r>
        <w:t xml:space="preserve"> </w:t>
      </w:r>
      <w:r w:rsidRPr="004F5F64">
        <w:t xml:space="preserve">– </w:t>
      </w:r>
      <w:r>
        <w:t xml:space="preserve">biudžetinių įstaigų pajamų iš patalpų nuomos ir įmokų už teikiamas paslaugas; </w:t>
      </w:r>
      <w:r w:rsidR="00B51F70">
        <w:t xml:space="preserve">490,0 tūkst. Eur – valstybinės rinkliavos; 18332,0 tūkst. Eur – vietinės rinkliavos, t. y. 5409,0 tūkst. Eur daugiau (didėja, kadangi 2018 m. planuojama surinkti 9000,0 tūkst. Eur rinkliavos už komunalines atliekas iš atliekų turėtojų); </w:t>
      </w:r>
      <w:r>
        <w:t>1688,0 tūkst. Eur – pajamų iš baudų, konfiskacijos, 1543,0 tūkst. Eur – kitų neišvardytų pajamų, t. y. 669,0 tūkst. Eur mažiau negu patvirtinta 2017 m. (mažėja, kadangi baigėsi sutartis su UAB „Vilniaus vandenys“, pagal kurią Savivaldybė kasmet gaudavo po 724,1 tūkst. Eur už šilumos tinklų nuomą)</w:t>
      </w:r>
      <w:r w:rsidR="00B51F70">
        <w:t>.</w:t>
      </w:r>
    </w:p>
    <w:p w:rsidR="00D0321C" w:rsidRPr="00534443" w:rsidRDefault="00D0321C" w:rsidP="00D0321C">
      <w:pPr>
        <w:tabs>
          <w:tab w:val="left" w:pos="851"/>
        </w:tabs>
        <w:spacing w:line="360" w:lineRule="auto"/>
        <w:ind w:right="-99" w:firstLine="851"/>
        <w:jc w:val="both"/>
        <w:rPr>
          <w:u w:val="single"/>
        </w:rPr>
      </w:pPr>
      <w:r w:rsidRPr="00534443">
        <w:rPr>
          <w:b/>
          <w:bCs/>
          <w:u w:val="single"/>
        </w:rPr>
        <w:t xml:space="preserve">Materialiojo ir nematerialiojo turto realizavimo </w:t>
      </w:r>
      <w:r>
        <w:rPr>
          <w:b/>
          <w:bCs/>
          <w:u w:val="single"/>
        </w:rPr>
        <w:t>pajamos</w:t>
      </w:r>
      <w:r w:rsidRPr="00534443">
        <w:rPr>
          <w:bCs/>
          <w:u w:val="single"/>
        </w:rPr>
        <w:t>.</w:t>
      </w:r>
    </w:p>
    <w:p w:rsidR="00D0321C" w:rsidRDefault="00D0321C" w:rsidP="00D0321C">
      <w:pPr>
        <w:tabs>
          <w:tab w:val="left" w:pos="851"/>
        </w:tabs>
        <w:spacing w:line="360" w:lineRule="auto"/>
        <w:ind w:firstLine="851"/>
        <w:jc w:val="both"/>
      </w:pPr>
      <w:r w:rsidRPr="00775B90">
        <w:rPr>
          <w:bCs/>
        </w:rPr>
        <w:t>Materialiojo ir nematerialiojo turto realizavimo pajamos</w:t>
      </w:r>
      <w:r w:rsidRPr="00775B90">
        <w:t xml:space="preserve"> </w:t>
      </w:r>
      <w:r w:rsidRPr="000453A4">
        <w:t>201</w:t>
      </w:r>
      <w:r w:rsidR="00B51F70">
        <w:t>8</w:t>
      </w:r>
      <w:r w:rsidRPr="000453A4">
        <w:t xml:space="preserve"> m. Savivaldybės biudžete sudarys </w:t>
      </w:r>
      <w:r>
        <w:t>10322,0</w:t>
      </w:r>
      <w:r w:rsidRPr="000453A4">
        <w:t xml:space="preserve"> tūkst. Eur</w:t>
      </w:r>
      <w:r w:rsidR="00271E0A">
        <w:t>:</w:t>
      </w:r>
      <w:r w:rsidRPr="000453A4">
        <w:t xml:space="preserve"> </w:t>
      </w:r>
    </w:p>
    <w:p w:rsidR="000E6835" w:rsidRDefault="00D0321C" w:rsidP="00B51F70">
      <w:pPr>
        <w:tabs>
          <w:tab w:val="left" w:pos="851"/>
        </w:tabs>
        <w:spacing w:line="360" w:lineRule="auto"/>
        <w:ind w:firstLine="851"/>
        <w:jc w:val="both"/>
      </w:pPr>
      <w:r>
        <w:t>1750,0</w:t>
      </w:r>
      <w:r w:rsidRPr="00A51661">
        <w:t xml:space="preserve"> tūkst. Eur</w:t>
      </w:r>
      <w:r>
        <w:t xml:space="preserve"> – </w:t>
      </w:r>
      <w:r w:rsidRPr="00A51661">
        <w:t xml:space="preserve">pajamų už parduotus </w:t>
      </w:r>
      <w:r>
        <w:t>valstybinės žemės sklypus</w:t>
      </w:r>
      <w:r w:rsidRPr="00A51661">
        <w:t xml:space="preserve">, iš jų: </w:t>
      </w:r>
      <w:r>
        <w:t>1450,0</w:t>
      </w:r>
      <w:r w:rsidRPr="00A51661">
        <w:t xml:space="preserve"> tūkst. Eur – už valstybin</w:t>
      </w:r>
      <w:r>
        <w:t>ė</w:t>
      </w:r>
      <w:r w:rsidRPr="00A51661">
        <w:t>s žemės sklypus (pagal Nacionalinės žemės tarnybos prie Žemės ūkio ministerijos Vilniaus miesto skyriaus pateiktą prognozę) ir 300</w:t>
      </w:r>
      <w:r>
        <w:t>,0</w:t>
      </w:r>
      <w:r w:rsidRPr="00A51661">
        <w:t xml:space="preserve"> tūkst. Eur – už žemės sklypus, priskirtus pardavimo objektams (pagal </w:t>
      </w:r>
      <w:r>
        <w:t xml:space="preserve">Savivaldybės </w:t>
      </w:r>
      <w:r w:rsidRPr="00A51661">
        <w:t xml:space="preserve">Turto </w:t>
      </w:r>
      <w:r>
        <w:t>departamento</w:t>
      </w:r>
      <w:r w:rsidRPr="00A51661">
        <w:t xml:space="preserve"> prognozę)</w:t>
      </w:r>
      <w:r w:rsidR="00B51F70">
        <w:t xml:space="preserve">; </w:t>
      </w:r>
      <w:r>
        <w:t>2572,0</w:t>
      </w:r>
      <w:r w:rsidRPr="00A51661">
        <w:t xml:space="preserve"> tūkst. Eur</w:t>
      </w:r>
      <w:r>
        <w:t xml:space="preserve"> </w:t>
      </w:r>
      <w:r w:rsidRPr="00A51661">
        <w:t>–</w:t>
      </w:r>
      <w:r>
        <w:t xml:space="preserve"> pastatų ir statinių realizavimo pajamų</w:t>
      </w:r>
      <w:r w:rsidRPr="00A51661">
        <w:t xml:space="preserve">, tai pajamos už </w:t>
      </w:r>
      <w:r>
        <w:t>gyventojų išsiperkamus</w:t>
      </w:r>
      <w:r w:rsidRPr="00A51661">
        <w:t xml:space="preserve"> Savivaldybės </w:t>
      </w:r>
      <w:r>
        <w:t>būstus ir pagalbinio ūkio paskirties pastatus, šių pajamų planuojama 1572,0 tūkst. Eur daugiau negu 2017 m., kadangi išaugo gyventojų nuomojančių Savivaldybės būstus p</w:t>
      </w:r>
      <w:r w:rsidR="009A5BC8">
        <w:t>rašymų dėl būstų privatizavimo,</w:t>
      </w:r>
      <w:r>
        <w:t xml:space="preserve"> šios pajamos naudojamos Savivaldybės socialinio būsto fondo plėtrai; 6000,0 tūkst. Eur – pajamų už privatizuojamą Savivaldybės turtą</w:t>
      </w:r>
      <w:r w:rsidR="00271E0A">
        <w:t xml:space="preserve"> (</w:t>
      </w:r>
      <w:r>
        <w:t>2000,0 tūkst. Eur mažiau negu 2017 m., atsižvelgiant į numatomus parduoti Savivaldybės objektus</w:t>
      </w:r>
      <w:r w:rsidR="00271E0A">
        <w:t>)</w:t>
      </w:r>
      <w:r w:rsidR="00B51F70">
        <w:t>.</w:t>
      </w:r>
    </w:p>
    <w:p w:rsidR="006A2629" w:rsidRDefault="006A2629" w:rsidP="00B51F70">
      <w:pPr>
        <w:tabs>
          <w:tab w:val="left" w:pos="851"/>
        </w:tabs>
        <w:spacing w:line="360" w:lineRule="auto"/>
        <w:ind w:firstLine="851"/>
        <w:jc w:val="both"/>
      </w:pPr>
    </w:p>
    <w:p w:rsidR="00492FEE" w:rsidRPr="00476CA7" w:rsidRDefault="00492FEE" w:rsidP="00492FEE">
      <w:pPr>
        <w:spacing w:line="360" w:lineRule="auto"/>
        <w:ind w:right="-1" w:firstLine="567"/>
        <w:jc w:val="both"/>
        <w:rPr>
          <w:bCs/>
          <w:szCs w:val="24"/>
        </w:rPr>
      </w:pPr>
      <w:r w:rsidRPr="00271E0A">
        <w:rPr>
          <w:b/>
          <w:bCs/>
          <w:szCs w:val="24"/>
        </w:rPr>
        <w:t>2.</w:t>
      </w:r>
      <w:r w:rsidR="00A96835" w:rsidRPr="00271E0A">
        <w:rPr>
          <w:b/>
          <w:bCs/>
          <w:szCs w:val="24"/>
        </w:rPr>
        <w:t>2.</w:t>
      </w:r>
      <w:r w:rsidR="006A75C0" w:rsidRPr="00271E0A">
        <w:rPr>
          <w:b/>
          <w:bCs/>
          <w:szCs w:val="24"/>
          <w:u w:val="single"/>
        </w:rPr>
        <w:t xml:space="preserve"> Sprendimo projekte 2018</w:t>
      </w:r>
      <w:r w:rsidRPr="00271E0A">
        <w:rPr>
          <w:b/>
          <w:bCs/>
          <w:szCs w:val="24"/>
          <w:u w:val="single"/>
        </w:rPr>
        <w:t xml:space="preserve"> me</w:t>
      </w:r>
      <w:r w:rsidR="006A75C0" w:rsidRPr="00271E0A">
        <w:rPr>
          <w:b/>
          <w:bCs/>
          <w:szCs w:val="24"/>
          <w:u w:val="single"/>
        </w:rPr>
        <w:t>tams iš viso planuojama 583162,6</w:t>
      </w:r>
      <w:r w:rsidRPr="00271E0A">
        <w:rPr>
          <w:b/>
          <w:bCs/>
          <w:szCs w:val="24"/>
          <w:u w:val="single"/>
        </w:rPr>
        <w:t xml:space="preserve"> tūkst. Eur asignavimų</w:t>
      </w:r>
      <w:r w:rsidRPr="00271E0A">
        <w:rPr>
          <w:bCs/>
          <w:szCs w:val="24"/>
        </w:rPr>
        <w:t>, iš jų:</w:t>
      </w:r>
      <w:r w:rsidRPr="00476CA7">
        <w:rPr>
          <w:bCs/>
          <w:szCs w:val="24"/>
        </w:rPr>
        <w:t xml:space="preserve"> </w:t>
      </w:r>
    </w:p>
    <w:p w:rsidR="00492FEE" w:rsidRPr="00263821" w:rsidRDefault="00492FEE" w:rsidP="00492FEE">
      <w:pPr>
        <w:spacing w:line="360" w:lineRule="auto"/>
        <w:ind w:right="-1" w:firstLine="567"/>
        <w:jc w:val="both"/>
      </w:pPr>
      <w:r w:rsidRPr="00263821">
        <w:rPr>
          <w:szCs w:val="24"/>
        </w:rPr>
        <w:t xml:space="preserve">- </w:t>
      </w:r>
      <w:r w:rsidRPr="00263821">
        <w:rPr>
          <w:bCs/>
          <w:szCs w:val="24"/>
        </w:rPr>
        <w:t xml:space="preserve">iš biudžeto pajamų </w:t>
      </w:r>
      <w:r w:rsidRPr="00263821">
        <w:t xml:space="preserve">asignavimų </w:t>
      </w:r>
      <w:r w:rsidRPr="00263821">
        <w:rPr>
          <w:bCs/>
          <w:szCs w:val="24"/>
        </w:rPr>
        <w:t xml:space="preserve">– </w:t>
      </w:r>
      <w:r w:rsidR="006A75C0" w:rsidRPr="00263821">
        <w:t>390842,0</w:t>
      </w:r>
      <w:r w:rsidRPr="00263821">
        <w:t xml:space="preserve"> tūkst. </w:t>
      </w:r>
      <w:r w:rsidR="006A75C0" w:rsidRPr="00263821">
        <w:rPr>
          <w:bCs/>
          <w:szCs w:val="24"/>
        </w:rPr>
        <w:t>Eur, t. y. 55384,3 tūkst. Eur daugiau negu 2017</w:t>
      </w:r>
      <w:r w:rsidRPr="00263821">
        <w:rPr>
          <w:bCs/>
          <w:szCs w:val="24"/>
        </w:rPr>
        <w:t xml:space="preserve"> m., iš jų:</w:t>
      </w:r>
      <w:r w:rsidRPr="00263821">
        <w:t xml:space="preserve"> biudžeto pajamų asignavimų be spec. p</w:t>
      </w:r>
      <w:r w:rsidR="006A75C0" w:rsidRPr="00263821">
        <w:t>rogramų lėšų planuojama 358014,0</w:t>
      </w:r>
      <w:r w:rsidRPr="00263821">
        <w:t xml:space="preserve"> tūkst. Eur, </w:t>
      </w:r>
      <w:r w:rsidR="006A75C0" w:rsidRPr="00263821">
        <w:t>t. y. 52125,0</w:t>
      </w:r>
      <w:r w:rsidRPr="00263821">
        <w:t xml:space="preserve"> tūkst. Eur daugiau </w:t>
      </w:r>
      <w:r w:rsidR="006A75C0" w:rsidRPr="00263821">
        <w:t>negu 2017</w:t>
      </w:r>
      <w:r w:rsidRPr="00263821">
        <w:t xml:space="preserve"> metais; Aplinkos apsaugos rėmimo</w:t>
      </w:r>
      <w:r w:rsidR="006A75C0" w:rsidRPr="00263821">
        <w:t xml:space="preserve"> specialiajai programai – 1760,0</w:t>
      </w:r>
      <w:r w:rsidRPr="00263821">
        <w:t xml:space="preserve"> tūkst. </w:t>
      </w:r>
      <w:r w:rsidR="006A75C0" w:rsidRPr="00263821">
        <w:t>Eur (240,0</w:t>
      </w:r>
      <w:r w:rsidRPr="00263821">
        <w:t xml:space="preserve"> tūkst. Eur daugiau); iš pajamų už biudžetinių įstaigų paslaugas ir išlaikymą švietimo socialinės apsaugos ir kitose įsta</w:t>
      </w:r>
      <w:r w:rsidR="006A75C0" w:rsidRPr="00263821">
        <w:t>igose ir patalpų nuomą – 16846,0</w:t>
      </w:r>
      <w:r w:rsidRPr="00263821">
        <w:t xml:space="preserve"> tūkst. </w:t>
      </w:r>
      <w:r w:rsidR="006A75C0" w:rsidRPr="00263821">
        <w:t>Eur, (547,3</w:t>
      </w:r>
      <w:r w:rsidRPr="00263821">
        <w:t xml:space="preserve"> tūkst. Eur daugiau); iš paramos lėšų socialinės infrastruktūros plėtrai </w:t>
      </w:r>
      <w:r w:rsidRPr="00263821">
        <w:rPr>
          <w:bCs/>
          <w:szCs w:val="24"/>
        </w:rPr>
        <w:t xml:space="preserve">– </w:t>
      </w:r>
      <w:r w:rsidR="006A75C0" w:rsidRPr="00263821">
        <w:t>9</w:t>
      </w:r>
      <w:r w:rsidR="00A2485E" w:rsidRPr="00263821">
        <w:t>00,0 tūkst. Eur (100,0</w:t>
      </w:r>
      <w:r w:rsidRPr="00263821">
        <w:t xml:space="preserve"> tūkst. Eur daugiau) iš pajamų už parduotus valstybinės žemės sklypus </w:t>
      </w:r>
      <w:r w:rsidRPr="00263821">
        <w:rPr>
          <w:bCs/>
          <w:szCs w:val="24"/>
        </w:rPr>
        <w:t xml:space="preserve">– </w:t>
      </w:r>
      <w:r w:rsidR="00F02889" w:rsidRPr="00263821">
        <w:t>1750,0 tūkst. Eur (700,0 tūkst. Eur mažiau</w:t>
      </w:r>
      <w:r w:rsidRPr="00263821">
        <w:t xml:space="preserve">); iš komunalinių atliekų programos lėšų </w:t>
      </w:r>
      <w:r w:rsidRPr="00263821">
        <w:rPr>
          <w:bCs/>
          <w:szCs w:val="24"/>
        </w:rPr>
        <w:t>–</w:t>
      </w:r>
      <w:r w:rsidR="00B34FD6" w:rsidRPr="00263821">
        <w:rPr>
          <w:bCs/>
          <w:szCs w:val="24"/>
        </w:rPr>
        <w:t xml:space="preserve"> 90</w:t>
      </w:r>
      <w:r w:rsidRPr="00263821">
        <w:rPr>
          <w:bCs/>
          <w:szCs w:val="24"/>
        </w:rPr>
        <w:t xml:space="preserve">00,0 tūkst. Eur </w:t>
      </w:r>
      <w:r w:rsidR="00B34FD6" w:rsidRPr="00263821">
        <w:t xml:space="preserve">(4500,0 tūkst. Eur daugiau) </w:t>
      </w:r>
      <w:r w:rsidRPr="00263821">
        <w:rPr>
          <w:bCs/>
          <w:szCs w:val="24"/>
        </w:rPr>
        <w:t>ir iš socialinio būsto fondo plėtros lėšų –</w:t>
      </w:r>
      <w:r w:rsidR="00B34FD6" w:rsidRPr="00263821">
        <w:rPr>
          <w:bCs/>
          <w:szCs w:val="24"/>
        </w:rPr>
        <w:t xml:space="preserve"> 2572,0 </w:t>
      </w:r>
      <w:r w:rsidR="00B34FD6" w:rsidRPr="00263821">
        <w:t>(1428,0 tūkst. Eur mažiau)</w:t>
      </w:r>
      <w:r w:rsidRPr="00263821">
        <w:rPr>
          <w:bCs/>
          <w:szCs w:val="24"/>
        </w:rPr>
        <w:t xml:space="preserve"> tūkst. Eur;</w:t>
      </w:r>
    </w:p>
    <w:p w:rsidR="00492FEE" w:rsidRPr="00263821" w:rsidRDefault="00492FEE" w:rsidP="00492FEE">
      <w:pPr>
        <w:spacing w:line="360" w:lineRule="auto"/>
        <w:ind w:right="-1" w:firstLine="567"/>
        <w:jc w:val="both"/>
      </w:pPr>
      <w:r w:rsidRPr="00263821">
        <w:rPr>
          <w:szCs w:val="24"/>
        </w:rPr>
        <w:t xml:space="preserve">- </w:t>
      </w:r>
      <w:r w:rsidRPr="00263821">
        <w:rPr>
          <w:bCs/>
          <w:szCs w:val="24"/>
        </w:rPr>
        <w:t>iš va</w:t>
      </w:r>
      <w:r w:rsidR="006A75C0" w:rsidRPr="00263821">
        <w:rPr>
          <w:bCs/>
          <w:szCs w:val="24"/>
        </w:rPr>
        <w:t xml:space="preserve">lstybės biudžeto dotacijos ir </w:t>
      </w:r>
      <w:r w:rsidR="006A75C0" w:rsidRPr="00263821">
        <w:t>Europos Sąjungos ir kitos tarptautinės finansinės paramos lėšų</w:t>
      </w:r>
      <w:r w:rsidR="006A75C0" w:rsidRPr="00263821">
        <w:rPr>
          <w:bCs/>
          <w:szCs w:val="24"/>
        </w:rPr>
        <w:t xml:space="preserve"> – 161106,2</w:t>
      </w:r>
      <w:r w:rsidRPr="00263821">
        <w:rPr>
          <w:bCs/>
          <w:szCs w:val="24"/>
        </w:rPr>
        <w:t xml:space="preserve"> tūkst. Eur;</w:t>
      </w:r>
    </w:p>
    <w:p w:rsidR="00492FEE" w:rsidRPr="00263821" w:rsidRDefault="00492FEE" w:rsidP="00492FEE">
      <w:pPr>
        <w:spacing w:line="360" w:lineRule="auto"/>
        <w:ind w:right="-1" w:firstLine="567"/>
        <w:jc w:val="both"/>
      </w:pPr>
      <w:r w:rsidRPr="00263821">
        <w:rPr>
          <w:szCs w:val="24"/>
        </w:rPr>
        <w:t xml:space="preserve">- </w:t>
      </w:r>
      <w:r w:rsidR="006A75C0" w:rsidRPr="00263821">
        <w:rPr>
          <w:bCs/>
          <w:szCs w:val="24"/>
        </w:rPr>
        <w:t>iš apyvartos</w:t>
      </w:r>
      <w:r w:rsidRPr="00263821">
        <w:rPr>
          <w:bCs/>
          <w:szCs w:val="24"/>
        </w:rPr>
        <w:t xml:space="preserve"> lėšų lik</w:t>
      </w:r>
      <w:r w:rsidR="00F5302A" w:rsidRPr="00263821">
        <w:rPr>
          <w:bCs/>
          <w:szCs w:val="24"/>
        </w:rPr>
        <w:t>učių</w:t>
      </w:r>
      <w:r w:rsidRPr="00263821">
        <w:rPr>
          <w:bCs/>
          <w:szCs w:val="24"/>
        </w:rPr>
        <w:t xml:space="preserve"> </w:t>
      </w:r>
      <w:r w:rsidR="006A75C0" w:rsidRPr="00263821">
        <w:rPr>
          <w:bCs/>
          <w:szCs w:val="24"/>
        </w:rPr>
        <w:t>2018-01-01 planuojama 31214,4</w:t>
      </w:r>
      <w:r w:rsidRPr="00263821">
        <w:rPr>
          <w:bCs/>
          <w:szCs w:val="24"/>
        </w:rPr>
        <w:t xml:space="preserve"> tūkst. Eur.</w:t>
      </w:r>
    </w:p>
    <w:p w:rsidR="00492FEE" w:rsidRPr="00263821" w:rsidRDefault="00492FEE" w:rsidP="00492FEE">
      <w:pPr>
        <w:spacing w:line="360" w:lineRule="auto"/>
        <w:ind w:right="-1" w:firstLine="567"/>
        <w:jc w:val="both"/>
        <w:rPr>
          <w:b/>
          <w:szCs w:val="24"/>
        </w:rPr>
      </w:pPr>
      <w:r w:rsidRPr="00263821">
        <w:rPr>
          <w:b/>
          <w:szCs w:val="24"/>
        </w:rPr>
        <w:t>Planuojant Savivaldybės 201</w:t>
      </w:r>
      <w:r w:rsidR="00B34FD6" w:rsidRPr="00263821">
        <w:rPr>
          <w:b/>
          <w:szCs w:val="24"/>
        </w:rPr>
        <w:t>8</w:t>
      </w:r>
      <w:r w:rsidRPr="00263821">
        <w:rPr>
          <w:b/>
          <w:szCs w:val="24"/>
        </w:rPr>
        <w:t xml:space="preserve"> metų asignavimus vadovautasi šiais kriterijais:</w:t>
      </w:r>
    </w:p>
    <w:p w:rsidR="00492FEE" w:rsidRPr="00263821" w:rsidRDefault="00271E0A" w:rsidP="00492FEE">
      <w:pPr>
        <w:pStyle w:val="Pagrindiniotekstotrauka31"/>
        <w:ind w:right="-1" w:firstLine="567"/>
        <w:rPr>
          <w:b w:val="0"/>
        </w:rPr>
      </w:pPr>
      <w:r>
        <w:rPr>
          <w:b w:val="0"/>
        </w:rPr>
        <w:t>- Valstybės biudžeto dotacijos</w:t>
      </w:r>
      <w:r w:rsidR="00492FEE" w:rsidRPr="00263821">
        <w:rPr>
          <w:b w:val="0"/>
        </w:rPr>
        <w:t xml:space="preserve"> numatytos </w:t>
      </w:r>
      <w:r w:rsidR="00681310" w:rsidRPr="00263821">
        <w:rPr>
          <w:b w:val="0"/>
        </w:rPr>
        <w:t>vadovaujantis valstybės institucijų ir įstaigų priimtais teisės aktais;</w:t>
      </w:r>
    </w:p>
    <w:p w:rsidR="00D3586A" w:rsidRPr="00263821" w:rsidRDefault="00D3586A" w:rsidP="00492FEE">
      <w:pPr>
        <w:pStyle w:val="Pagrindiniotekstotrauka31"/>
        <w:ind w:right="-1" w:firstLine="567"/>
        <w:rPr>
          <w:b w:val="0"/>
          <w:szCs w:val="24"/>
        </w:rPr>
      </w:pPr>
      <w:r w:rsidRPr="00263821">
        <w:t xml:space="preserve">- </w:t>
      </w:r>
      <w:r w:rsidRPr="00263821">
        <w:rPr>
          <w:b w:val="0"/>
        </w:rPr>
        <w:t>Europos Sąjungos ir kitos tarpta</w:t>
      </w:r>
      <w:r w:rsidR="00271E0A">
        <w:rPr>
          <w:b w:val="0"/>
        </w:rPr>
        <w:t>utinės finansinės paramos lėšos</w:t>
      </w:r>
      <w:r w:rsidRPr="00263821">
        <w:rPr>
          <w:b w:val="0"/>
        </w:rPr>
        <w:t xml:space="preserve"> numatytos</w:t>
      </w:r>
      <w:r w:rsidRPr="00263821">
        <w:rPr>
          <w:b w:val="0"/>
          <w:lang w:eastAsia="en-US"/>
        </w:rPr>
        <w:t xml:space="preserve"> atsižvelgiant į </w:t>
      </w:r>
      <w:r w:rsidR="00271E0A">
        <w:rPr>
          <w:b w:val="0"/>
          <w:lang w:eastAsia="en-US"/>
        </w:rPr>
        <w:t>2018</w:t>
      </w:r>
      <w:r w:rsidRPr="00263821">
        <w:rPr>
          <w:b w:val="0"/>
          <w:lang w:eastAsia="en-US"/>
        </w:rPr>
        <w:t xml:space="preserve"> metais planuojamas</w:t>
      </w:r>
      <w:r w:rsidR="00271E0A">
        <w:rPr>
          <w:b w:val="0"/>
          <w:lang w:eastAsia="en-US"/>
        </w:rPr>
        <w:t xml:space="preserve"> gauti</w:t>
      </w:r>
      <w:r w:rsidR="00775871">
        <w:rPr>
          <w:b w:val="0"/>
          <w:lang w:eastAsia="en-US"/>
        </w:rPr>
        <w:t xml:space="preserve"> ir</w:t>
      </w:r>
      <w:r w:rsidRPr="00263821">
        <w:rPr>
          <w:b w:val="0"/>
          <w:lang w:eastAsia="en-US"/>
        </w:rPr>
        <w:t xml:space="preserve"> panaudoti lėšas;</w:t>
      </w:r>
    </w:p>
    <w:p w:rsidR="00492FEE" w:rsidRPr="00263821" w:rsidRDefault="00492FEE" w:rsidP="00492FEE">
      <w:pPr>
        <w:pStyle w:val="Pagrindiniotekstotrauka31"/>
        <w:ind w:right="-1" w:firstLine="567"/>
        <w:rPr>
          <w:b w:val="0"/>
          <w:szCs w:val="24"/>
        </w:rPr>
      </w:pPr>
      <w:r w:rsidRPr="00263821">
        <w:rPr>
          <w:b w:val="0"/>
        </w:rPr>
        <w:t xml:space="preserve">- </w:t>
      </w:r>
      <w:r w:rsidRPr="00263821">
        <w:rPr>
          <w:b w:val="0"/>
          <w:szCs w:val="24"/>
        </w:rPr>
        <w:t>paskolų grąžinimas, įsiskolinimų mokėjimas pagal pasirašytas skolų atidėjimo sutartis</w:t>
      </w:r>
      <w:r w:rsidR="00775871">
        <w:rPr>
          <w:b w:val="0"/>
          <w:szCs w:val="24"/>
        </w:rPr>
        <w:t>, teisės aktais numatytų fiskalinių taisyklių laikymasis</w:t>
      </w:r>
      <w:r w:rsidRPr="00263821">
        <w:rPr>
          <w:b w:val="0"/>
          <w:szCs w:val="24"/>
        </w:rPr>
        <w:t>;</w:t>
      </w:r>
    </w:p>
    <w:p w:rsidR="00492FEE" w:rsidRPr="00263821" w:rsidRDefault="00492FEE" w:rsidP="00492FEE">
      <w:pPr>
        <w:pStyle w:val="Pagrindiniotekstotrauka31"/>
        <w:ind w:right="-1" w:firstLine="567"/>
        <w:rPr>
          <w:b w:val="0"/>
        </w:rPr>
      </w:pPr>
      <w:r w:rsidRPr="00263821">
        <w:rPr>
          <w:b w:val="0"/>
          <w:szCs w:val="24"/>
        </w:rPr>
        <w:t xml:space="preserve">- </w:t>
      </w:r>
      <w:r w:rsidRPr="00263821">
        <w:rPr>
          <w:b w:val="0"/>
        </w:rPr>
        <w:t>bendrojo finansavimo užtikrinimas projektams, gaunantiems ES ir kitų tarptautinių fondų paramą;</w:t>
      </w:r>
    </w:p>
    <w:p w:rsidR="00492FEE" w:rsidRPr="00263821" w:rsidRDefault="00492FEE" w:rsidP="00492FEE">
      <w:pPr>
        <w:spacing w:line="360" w:lineRule="auto"/>
        <w:ind w:right="-1" w:firstLine="567"/>
        <w:jc w:val="both"/>
        <w:rPr>
          <w:szCs w:val="24"/>
        </w:rPr>
      </w:pPr>
      <w:r w:rsidRPr="00263821">
        <w:t>- a</w:t>
      </w:r>
      <w:r w:rsidRPr="00263821">
        <w:rPr>
          <w:szCs w:val="24"/>
        </w:rPr>
        <w:t xml:space="preserve">tsižvelgiant į finansines galimybes. </w:t>
      </w:r>
    </w:p>
    <w:p w:rsidR="00492FEE" w:rsidRPr="009633F6" w:rsidRDefault="00492FEE" w:rsidP="00492FEE">
      <w:pPr>
        <w:pStyle w:val="Pagrindinistekstas"/>
        <w:spacing w:line="360" w:lineRule="auto"/>
        <w:ind w:right="-1" w:firstLine="567"/>
        <w:jc w:val="both"/>
      </w:pPr>
      <w:r w:rsidRPr="009633F6">
        <w:t xml:space="preserve">Sprendimo projekto atskiruose priedėliuose asignavimai tvirtinami: </w:t>
      </w:r>
    </w:p>
    <w:p w:rsidR="00492FEE" w:rsidRPr="00230A3A" w:rsidRDefault="00492FEE" w:rsidP="00492FEE">
      <w:pPr>
        <w:pStyle w:val="Pagrindinistekstas"/>
        <w:spacing w:line="360" w:lineRule="auto"/>
        <w:ind w:right="-1" w:firstLine="567"/>
        <w:jc w:val="both"/>
        <w:rPr>
          <w:b w:val="0"/>
          <w:highlight w:val="cyan"/>
        </w:rPr>
      </w:pPr>
      <w:r w:rsidRPr="009633F6">
        <w:rPr>
          <w:b w:val="0"/>
        </w:rPr>
        <w:t xml:space="preserve">1 priedėlyje pagal asignavimų valdytojus tvirtinami asignavimai programoms vykdyti iš visų savivaldybės biudžeto finansavimo šaltinių (biudžeto pajamų, valstybės biudžeto dotacijų, </w:t>
      </w:r>
      <w:r w:rsidR="00D3586A" w:rsidRPr="009633F6">
        <w:rPr>
          <w:b w:val="0"/>
        </w:rPr>
        <w:t>Europos Sąjungos ir kitos tarptautinės finansinės paramos lėšų, apyvartos</w:t>
      </w:r>
      <w:r w:rsidR="00F5302A" w:rsidRPr="009633F6">
        <w:rPr>
          <w:b w:val="0"/>
        </w:rPr>
        <w:t xml:space="preserve"> lėšų likučių</w:t>
      </w:r>
      <w:r w:rsidR="00D3586A" w:rsidRPr="009633F6">
        <w:rPr>
          <w:b w:val="0"/>
        </w:rPr>
        <w:t xml:space="preserve"> 2018-01-01</w:t>
      </w:r>
      <w:r w:rsidRPr="009633F6">
        <w:rPr>
          <w:b w:val="0"/>
        </w:rPr>
        <w:t>), iš jų:</w:t>
      </w:r>
    </w:p>
    <w:p w:rsidR="00492FEE" w:rsidRPr="0018202D" w:rsidRDefault="00492FEE" w:rsidP="00492FEE">
      <w:pPr>
        <w:pStyle w:val="Pagrindinistekstas"/>
        <w:spacing w:line="360" w:lineRule="auto"/>
        <w:ind w:right="-1" w:firstLine="567"/>
        <w:jc w:val="both"/>
        <w:rPr>
          <w:b w:val="0"/>
          <w:szCs w:val="24"/>
        </w:rPr>
      </w:pPr>
      <w:r w:rsidRPr="0018202D">
        <w:rPr>
          <w:b w:val="0"/>
          <w:szCs w:val="24"/>
        </w:rPr>
        <w:t xml:space="preserve">2 priedėlyje asignavimai iš savivaldybės biudžeto pajamų (be specialiųjų programų), </w:t>
      </w:r>
    </w:p>
    <w:p w:rsidR="00492FEE" w:rsidRPr="0018202D" w:rsidRDefault="00492FEE" w:rsidP="00492FEE">
      <w:pPr>
        <w:pStyle w:val="Pagrindinistekstas"/>
        <w:spacing w:line="360" w:lineRule="auto"/>
        <w:ind w:right="-1" w:firstLine="567"/>
        <w:jc w:val="both"/>
        <w:rPr>
          <w:b w:val="0"/>
          <w:szCs w:val="24"/>
        </w:rPr>
      </w:pPr>
      <w:r w:rsidRPr="0018202D">
        <w:rPr>
          <w:b w:val="0"/>
          <w:szCs w:val="24"/>
        </w:rPr>
        <w:t>3 priedėlyje asignavimai iš valstybės biudžeto dotacijų</w:t>
      </w:r>
      <w:r w:rsidR="00BD3DCF" w:rsidRPr="0018202D">
        <w:rPr>
          <w:b w:val="0"/>
          <w:szCs w:val="24"/>
        </w:rPr>
        <w:t xml:space="preserve"> ir</w:t>
      </w:r>
      <w:r w:rsidR="00BD3DCF" w:rsidRPr="0018202D">
        <w:rPr>
          <w:b w:val="0"/>
        </w:rPr>
        <w:t xml:space="preserve"> Europos Sąjungos ir kitos tarptautinės finansinės paramos lėšų;</w:t>
      </w:r>
    </w:p>
    <w:p w:rsidR="00492FEE" w:rsidRPr="0018202D" w:rsidRDefault="00492FEE" w:rsidP="00492FEE">
      <w:pPr>
        <w:pStyle w:val="Pagrindinistekstas"/>
        <w:spacing w:line="360" w:lineRule="auto"/>
        <w:ind w:right="-1" w:firstLine="567"/>
        <w:jc w:val="both"/>
        <w:rPr>
          <w:b w:val="0"/>
          <w:szCs w:val="24"/>
        </w:rPr>
      </w:pPr>
      <w:r w:rsidRPr="0018202D">
        <w:rPr>
          <w:b w:val="0"/>
          <w:szCs w:val="24"/>
        </w:rPr>
        <w:t xml:space="preserve">5 priedėlyje asignavimai iš specialiųjų programų ir biudžetinių įstaigų pajamų už paslaugas, patalpų nuomą, iš pajamų už parduotus valstybinės žemės sklypus, </w:t>
      </w:r>
      <w:r w:rsidRPr="0018202D">
        <w:rPr>
          <w:b w:val="0"/>
        </w:rPr>
        <w:t xml:space="preserve">iš komunalinių atliekų programos lėšų ir </w:t>
      </w:r>
      <w:r w:rsidRPr="0018202D">
        <w:rPr>
          <w:b w:val="0"/>
          <w:szCs w:val="24"/>
        </w:rPr>
        <w:t>socialinio būsto fondo plėtros lėšų,</w:t>
      </w:r>
    </w:p>
    <w:p w:rsidR="00492FEE" w:rsidRPr="0018202D" w:rsidRDefault="00492FEE" w:rsidP="00492FEE">
      <w:pPr>
        <w:pStyle w:val="Pagrindinistekstas"/>
        <w:spacing w:line="360" w:lineRule="auto"/>
        <w:ind w:right="-1" w:firstLine="567"/>
        <w:jc w:val="both"/>
        <w:rPr>
          <w:b w:val="0"/>
          <w:szCs w:val="24"/>
        </w:rPr>
      </w:pPr>
      <w:r w:rsidRPr="0018202D">
        <w:rPr>
          <w:b w:val="0"/>
          <w:szCs w:val="24"/>
        </w:rPr>
        <w:t>6 priedėlyje asig</w:t>
      </w:r>
      <w:r w:rsidR="00F5302A" w:rsidRPr="0018202D">
        <w:rPr>
          <w:b w:val="0"/>
          <w:szCs w:val="24"/>
        </w:rPr>
        <w:t>navimai iš apyvartos</w:t>
      </w:r>
      <w:r w:rsidRPr="0018202D">
        <w:rPr>
          <w:b w:val="0"/>
          <w:szCs w:val="24"/>
        </w:rPr>
        <w:t xml:space="preserve"> lėšų likuč</w:t>
      </w:r>
      <w:r w:rsidR="00F5302A" w:rsidRPr="0018202D">
        <w:rPr>
          <w:b w:val="0"/>
          <w:szCs w:val="24"/>
        </w:rPr>
        <w:t>ių 2018</w:t>
      </w:r>
      <w:r w:rsidRPr="0018202D">
        <w:rPr>
          <w:b w:val="0"/>
          <w:szCs w:val="24"/>
        </w:rPr>
        <w:t>-01-01,</w:t>
      </w:r>
    </w:p>
    <w:p w:rsidR="00492FEE" w:rsidRPr="0018202D" w:rsidRDefault="00F5302A" w:rsidP="00492FEE">
      <w:pPr>
        <w:pStyle w:val="Pagrindinistekstas"/>
        <w:spacing w:line="360" w:lineRule="auto"/>
        <w:ind w:right="-1" w:firstLine="567"/>
        <w:jc w:val="both"/>
        <w:rPr>
          <w:b w:val="0"/>
        </w:rPr>
      </w:pPr>
      <w:r w:rsidRPr="0018202D">
        <w:rPr>
          <w:b w:val="0"/>
        </w:rPr>
        <w:t>7</w:t>
      </w:r>
      <w:r w:rsidR="00492FEE" w:rsidRPr="0018202D">
        <w:rPr>
          <w:b w:val="0"/>
        </w:rPr>
        <w:t xml:space="preserve"> priedėlyje asignavimai iš </w:t>
      </w:r>
      <w:r w:rsidR="00492FEE" w:rsidRPr="0018202D">
        <w:rPr>
          <w:b w:val="0"/>
          <w:szCs w:val="24"/>
        </w:rPr>
        <w:t xml:space="preserve">paramos lėšų </w:t>
      </w:r>
      <w:proofErr w:type="spellStart"/>
      <w:r w:rsidR="00492FEE" w:rsidRPr="0018202D">
        <w:rPr>
          <w:b w:val="0"/>
          <w:szCs w:val="24"/>
        </w:rPr>
        <w:t>soc</w:t>
      </w:r>
      <w:proofErr w:type="spellEnd"/>
      <w:r w:rsidR="00492FEE" w:rsidRPr="0018202D">
        <w:rPr>
          <w:b w:val="0"/>
          <w:szCs w:val="24"/>
        </w:rPr>
        <w:t>. infrastruktūros plėtrai,</w:t>
      </w:r>
      <w:r w:rsidR="00492FEE" w:rsidRPr="0018202D">
        <w:rPr>
          <w:b w:val="0"/>
        </w:rPr>
        <w:t xml:space="preserve"> </w:t>
      </w:r>
    </w:p>
    <w:p w:rsidR="00492FEE" w:rsidRPr="0018202D" w:rsidRDefault="00F5302A" w:rsidP="00492FEE">
      <w:pPr>
        <w:pStyle w:val="Pagrindinistekstas"/>
        <w:spacing w:line="360" w:lineRule="auto"/>
        <w:ind w:right="-1" w:firstLine="567"/>
        <w:jc w:val="both"/>
        <w:rPr>
          <w:b w:val="0"/>
        </w:rPr>
      </w:pPr>
      <w:r w:rsidRPr="0018202D">
        <w:rPr>
          <w:b w:val="0"/>
        </w:rPr>
        <w:t>8</w:t>
      </w:r>
      <w:r w:rsidR="00492FEE" w:rsidRPr="0018202D">
        <w:rPr>
          <w:b w:val="0"/>
        </w:rPr>
        <w:t xml:space="preserve"> priedėlyje Savivaldybės 201</w:t>
      </w:r>
      <w:r w:rsidRPr="0018202D">
        <w:rPr>
          <w:b w:val="0"/>
        </w:rPr>
        <w:t>8</w:t>
      </w:r>
      <w:r w:rsidR="00492FEE" w:rsidRPr="0018202D">
        <w:rPr>
          <w:b w:val="0"/>
        </w:rPr>
        <w:t xml:space="preserve"> metų investicijų programa,</w:t>
      </w:r>
    </w:p>
    <w:p w:rsidR="00492FEE" w:rsidRPr="0018202D" w:rsidRDefault="00F5302A" w:rsidP="00492FEE">
      <w:pPr>
        <w:pStyle w:val="Pagrindinistekstas"/>
        <w:spacing w:line="360" w:lineRule="auto"/>
        <w:ind w:right="-1" w:firstLine="567"/>
        <w:jc w:val="both"/>
        <w:rPr>
          <w:b w:val="0"/>
        </w:rPr>
      </w:pPr>
      <w:r w:rsidRPr="0018202D">
        <w:rPr>
          <w:b w:val="0"/>
        </w:rPr>
        <w:t>9</w:t>
      </w:r>
      <w:r w:rsidR="00492FEE" w:rsidRPr="0018202D">
        <w:rPr>
          <w:b w:val="0"/>
        </w:rPr>
        <w:t xml:space="preserve"> priedėlyje Savivaldybės asignavimai skoloms mokėti.   </w:t>
      </w:r>
    </w:p>
    <w:p w:rsidR="00492FEE" w:rsidRPr="0018202D" w:rsidRDefault="00492FEE" w:rsidP="00492FEE">
      <w:pPr>
        <w:spacing w:line="360" w:lineRule="auto"/>
        <w:ind w:firstLine="567"/>
        <w:jc w:val="both"/>
        <w:rPr>
          <w:bCs/>
          <w:i/>
          <w:iCs/>
          <w:szCs w:val="24"/>
          <w:lang w:eastAsia="lt-LT"/>
        </w:rPr>
      </w:pPr>
      <w:r w:rsidRPr="0018202D">
        <w:rPr>
          <w:b/>
          <w:szCs w:val="24"/>
        </w:rPr>
        <w:t>Sprendimo projekto 1 priedėlyje tvirtinami asignavimai iš visų</w:t>
      </w:r>
      <w:r w:rsidR="00F5302A" w:rsidRPr="0018202D">
        <w:rPr>
          <w:b/>
          <w:szCs w:val="24"/>
        </w:rPr>
        <w:t xml:space="preserve"> finansavimo šaltinių – 583162,6</w:t>
      </w:r>
      <w:r w:rsidRPr="0018202D">
        <w:rPr>
          <w:b/>
          <w:szCs w:val="24"/>
        </w:rPr>
        <w:t xml:space="preserve"> tūkst. Eur</w:t>
      </w:r>
      <w:r w:rsidRPr="0018202D">
        <w:rPr>
          <w:szCs w:val="24"/>
        </w:rPr>
        <w:t xml:space="preserve"> </w:t>
      </w:r>
      <w:r w:rsidRPr="0018202D">
        <w:rPr>
          <w:b/>
          <w:szCs w:val="24"/>
        </w:rPr>
        <w:t>(6 priedas)</w:t>
      </w:r>
      <w:r w:rsidRPr="0018202D">
        <w:rPr>
          <w:szCs w:val="24"/>
        </w:rPr>
        <w:t>, iš jų: Savivaldybės ad</w:t>
      </w:r>
      <w:r w:rsidR="00F5302A" w:rsidRPr="0018202D">
        <w:rPr>
          <w:szCs w:val="24"/>
        </w:rPr>
        <w:t>ministracijai planuojama 82195,4</w:t>
      </w:r>
      <w:r w:rsidRPr="0018202D">
        <w:rPr>
          <w:szCs w:val="24"/>
        </w:rPr>
        <w:t xml:space="preserve"> tūkst. Eur a</w:t>
      </w:r>
      <w:r w:rsidR="00F5302A" w:rsidRPr="0018202D">
        <w:rPr>
          <w:szCs w:val="24"/>
        </w:rPr>
        <w:t>signavimų 7-ioms programoms vykdyti</w:t>
      </w:r>
      <w:r w:rsidRPr="0018202D">
        <w:rPr>
          <w:szCs w:val="24"/>
        </w:rPr>
        <w:t xml:space="preserve">, </w:t>
      </w:r>
      <w:r w:rsidR="00F5302A" w:rsidRPr="0018202D">
        <w:rPr>
          <w:szCs w:val="24"/>
        </w:rPr>
        <w:t>E. miesto departamentui – 2523,0</w:t>
      </w:r>
      <w:r w:rsidRPr="0018202D">
        <w:rPr>
          <w:szCs w:val="24"/>
        </w:rPr>
        <w:t xml:space="preserve"> tūkst. Eur programai vykdyti, Miest</w:t>
      </w:r>
      <w:r w:rsidR="00495117" w:rsidRPr="0018202D">
        <w:rPr>
          <w:szCs w:val="24"/>
        </w:rPr>
        <w:t>o plėtros departamentui – 2895,0</w:t>
      </w:r>
      <w:r w:rsidRPr="0018202D">
        <w:rPr>
          <w:szCs w:val="24"/>
        </w:rPr>
        <w:t xml:space="preserve"> tūkst. Eur 3-ims programoms vykdyti, Miesto ūkio ir transporto depar</w:t>
      </w:r>
      <w:r w:rsidR="00495117" w:rsidRPr="0018202D">
        <w:rPr>
          <w:szCs w:val="24"/>
        </w:rPr>
        <w:t>tamentui – 132702,1</w:t>
      </w:r>
      <w:r w:rsidRPr="0018202D">
        <w:rPr>
          <w:szCs w:val="24"/>
        </w:rPr>
        <w:t xml:space="preserve"> tūkst. Eur asignavimų 8-ioms programoms vykdyti, Sauga</w:t>
      </w:r>
      <w:r w:rsidR="00495117" w:rsidRPr="0018202D">
        <w:rPr>
          <w:szCs w:val="24"/>
        </w:rPr>
        <w:t>us miesto departamentui – 1122,0</w:t>
      </w:r>
      <w:r w:rsidRPr="0018202D">
        <w:rPr>
          <w:szCs w:val="24"/>
        </w:rPr>
        <w:t xml:space="preserve"> tūkst. Eur 2-iems programoms vykdyti, Socialinių reikalų ir s</w:t>
      </w:r>
      <w:r w:rsidR="00495117" w:rsidRPr="0018202D">
        <w:rPr>
          <w:szCs w:val="24"/>
        </w:rPr>
        <w:t>veikatos departamentui – 56800,9</w:t>
      </w:r>
      <w:r w:rsidRPr="0018202D">
        <w:rPr>
          <w:szCs w:val="24"/>
        </w:rPr>
        <w:t xml:space="preserve"> tūkst. Eur asignavimų 3-ims programoms vykdyti, Švietimo, kultūros ir </w:t>
      </w:r>
      <w:r w:rsidR="00495117" w:rsidRPr="0018202D">
        <w:rPr>
          <w:szCs w:val="24"/>
        </w:rPr>
        <w:t xml:space="preserve"> sporto departamentui – 299720,6</w:t>
      </w:r>
      <w:r w:rsidRPr="0018202D">
        <w:rPr>
          <w:szCs w:val="24"/>
        </w:rPr>
        <w:t xml:space="preserve"> tūkst. Eur asignavimų 5-ioms programoms vykdy</w:t>
      </w:r>
      <w:r w:rsidR="00495117" w:rsidRPr="0018202D">
        <w:rPr>
          <w:szCs w:val="24"/>
        </w:rPr>
        <w:t>ti, Turto departamentui – 4319,9 tūkst. Eur 3-i</w:t>
      </w:r>
      <w:r w:rsidRPr="0018202D">
        <w:rPr>
          <w:szCs w:val="24"/>
        </w:rPr>
        <w:t>ms programoms vykdyti, Vilniaus miesto savivaldybės kontrolės ir audito tarn</w:t>
      </w:r>
      <w:r w:rsidR="00495117" w:rsidRPr="0018202D">
        <w:rPr>
          <w:szCs w:val="24"/>
        </w:rPr>
        <w:t>ybai – 421,6</w:t>
      </w:r>
      <w:r w:rsidRPr="0018202D">
        <w:rPr>
          <w:szCs w:val="24"/>
        </w:rPr>
        <w:t xml:space="preserve"> tūkst. Eur asignavimų programai vykdyti, Administracij</w:t>
      </w:r>
      <w:r w:rsidR="00495117" w:rsidRPr="0018202D">
        <w:rPr>
          <w:szCs w:val="24"/>
        </w:rPr>
        <w:t>os direktoriaus rezervui – 300,0</w:t>
      </w:r>
      <w:r w:rsidRPr="0018202D">
        <w:rPr>
          <w:szCs w:val="24"/>
        </w:rPr>
        <w:t xml:space="preserve"> tūkst. Eur ir </w:t>
      </w:r>
      <w:r w:rsidRPr="0018202D">
        <w:rPr>
          <w:bCs/>
          <w:iCs/>
          <w:szCs w:val="24"/>
          <w:lang w:eastAsia="lt-LT"/>
        </w:rPr>
        <w:t xml:space="preserve">nepaskirstytos paramos lėšos socialinės infrastruktūros plėtrai </w:t>
      </w:r>
      <w:r w:rsidR="00495117" w:rsidRPr="0018202D">
        <w:rPr>
          <w:szCs w:val="24"/>
        </w:rPr>
        <w:t>– 162,1</w:t>
      </w:r>
      <w:r w:rsidRPr="0018202D">
        <w:rPr>
          <w:szCs w:val="24"/>
        </w:rPr>
        <w:t xml:space="preserve"> tūkst. Eur.</w:t>
      </w:r>
      <w:r w:rsidRPr="0018202D">
        <w:rPr>
          <w:bCs/>
          <w:iCs/>
          <w:szCs w:val="24"/>
          <w:lang w:eastAsia="lt-LT"/>
        </w:rPr>
        <w:t xml:space="preserve"> </w:t>
      </w:r>
    </w:p>
    <w:p w:rsidR="00492FEE" w:rsidRPr="0018202D" w:rsidRDefault="00492FEE" w:rsidP="00492FEE">
      <w:pPr>
        <w:spacing w:line="360" w:lineRule="auto"/>
        <w:ind w:right="-1" w:firstLine="567"/>
        <w:jc w:val="both"/>
        <w:rPr>
          <w:szCs w:val="24"/>
        </w:rPr>
      </w:pPr>
      <w:r w:rsidRPr="0018202D">
        <w:rPr>
          <w:b/>
          <w:szCs w:val="24"/>
        </w:rPr>
        <w:t>Sprendimo projekto 2 priedėlyje tvirtinami asignavimai tik iš savivaldybės pajamų be valstybės biudžeto dotacijų, specialiųjų programų ir biudžetinių įstaigų pajamų į</w:t>
      </w:r>
      <w:r w:rsidR="0018202D" w:rsidRPr="0018202D">
        <w:rPr>
          <w:b/>
          <w:szCs w:val="24"/>
        </w:rPr>
        <w:t>mokų</w:t>
      </w:r>
      <w:r w:rsidR="00495117" w:rsidRPr="0018202D">
        <w:rPr>
          <w:b/>
          <w:szCs w:val="24"/>
        </w:rPr>
        <w:t xml:space="preserve"> – 358014,0</w:t>
      </w:r>
      <w:r w:rsidRPr="0018202D">
        <w:rPr>
          <w:b/>
          <w:szCs w:val="24"/>
        </w:rPr>
        <w:t xml:space="preserve"> tūkst. </w:t>
      </w:r>
      <w:r w:rsidR="00495117" w:rsidRPr="0018202D">
        <w:rPr>
          <w:b/>
          <w:szCs w:val="24"/>
        </w:rPr>
        <w:t>Eur</w:t>
      </w:r>
      <w:r w:rsidRPr="0018202D">
        <w:rPr>
          <w:b/>
          <w:szCs w:val="24"/>
        </w:rPr>
        <w:t>.</w:t>
      </w:r>
      <w:r w:rsidRPr="0018202D">
        <w:rPr>
          <w:szCs w:val="24"/>
        </w:rPr>
        <w:t xml:space="preserve"> </w:t>
      </w:r>
    </w:p>
    <w:p w:rsidR="00492FEE" w:rsidRPr="0018202D" w:rsidRDefault="00492FEE" w:rsidP="00492FEE">
      <w:pPr>
        <w:spacing w:line="360" w:lineRule="auto"/>
        <w:ind w:right="-1" w:firstLine="567"/>
        <w:jc w:val="both"/>
        <w:rPr>
          <w:szCs w:val="24"/>
        </w:rPr>
      </w:pPr>
      <w:r w:rsidRPr="0018202D">
        <w:rPr>
          <w:bCs/>
          <w:szCs w:val="24"/>
        </w:rPr>
        <w:t>Pagal LR biudžeto sandaros įstatymo 25 straipsnį Savivaldybė gali sudaryti Savivaldybės administracijos direktoriaus rezervą, kuris turi būti ne didesnis kaip 1 proc. patvirtintų Savivaldybės</w:t>
      </w:r>
      <w:r w:rsidR="00495117" w:rsidRPr="0018202D">
        <w:rPr>
          <w:bCs/>
          <w:szCs w:val="24"/>
        </w:rPr>
        <w:t xml:space="preserve"> biudžeto asignavimų sumos. 2018</w:t>
      </w:r>
      <w:r w:rsidRPr="0018202D">
        <w:rPr>
          <w:bCs/>
          <w:szCs w:val="24"/>
        </w:rPr>
        <w:t xml:space="preserve"> metų biudžeto projekte Savivaldybės</w:t>
      </w:r>
      <w:r w:rsidRPr="0018202D">
        <w:rPr>
          <w:bCs/>
        </w:rPr>
        <w:t xml:space="preserve"> </w:t>
      </w:r>
      <w:r w:rsidRPr="0018202D">
        <w:rPr>
          <w:bCs/>
          <w:szCs w:val="24"/>
        </w:rPr>
        <w:t>administracijos dire</w:t>
      </w:r>
      <w:r w:rsidR="00495117" w:rsidRPr="0018202D">
        <w:rPr>
          <w:bCs/>
          <w:szCs w:val="24"/>
        </w:rPr>
        <w:t>ktoriaus rezervui numatoma 300,0</w:t>
      </w:r>
      <w:r w:rsidRPr="0018202D">
        <w:t xml:space="preserve"> tūkst. </w:t>
      </w:r>
      <w:r w:rsidRPr="0018202D">
        <w:rPr>
          <w:bCs/>
          <w:szCs w:val="24"/>
        </w:rPr>
        <w:t xml:space="preserve">Eur </w:t>
      </w:r>
      <w:r w:rsidR="00991E5E" w:rsidRPr="0018202D">
        <w:rPr>
          <w:bCs/>
          <w:szCs w:val="24"/>
        </w:rPr>
        <w:t>(</w:t>
      </w:r>
      <w:r w:rsidR="00991E5E" w:rsidRPr="0018202D">
        <w:t>10,4 tūkst. Eur daugiau negu 2017 metais)</w:t>
      </w:r>
      <w:r w:rsidRPr="0018202D">
        <w:rPr>
          <w:bCs/>
          <w:szCs w:val="24"/>
        </w:rPr>
        <w:t>. Administracijos rezervo lėšos gali būti naudojamos</w:t>
      </w:r>
      <w:r w:rsidRPr="0018202D">
        <w:rPr>
          <w:b/>
          <w:bCs/>
          <w:szCs w:val="24"/>
        </w:rPr>
        <w:t xml:space="preserve"> </w:t>
      </w:r>
      <w:r w:rsidRPr="0018202D">
        <w:rPr>
          <w:szCs w:val="24"/>
          <w:lang w:eastAsia="lt-LT"/>
        </w:rPr>
        <w:t>ekstremaliosioms situacijoms ir (arba) ekstremaliesiems įvykiams likviduoti, jų padariniams šalinti ir padarytiems nuostoliams iš dalies apmokėti,</w:t>
      </w:r>
      <w:bookmarkStart w:id="0" w:name="part_2ee2103fd26e45bb9f5305258bf5ac75"/>
      <w:bookmarkEnd w:id="0"/>
      <w:r w:rsidRPr="0018202D">
        <w:rPr>
          <w:szCs w:val="24"/>
          <w:lang w:eastAsia="lt-LT"/>
        </w:rPr>
        <w:t xml:space="preserve"> gaisrų ir stichinių nelaimių padariniams likviduoti ir jų padarytiems nuostoliams iš dalies apmokėti.</w:t>
      </w:r>
    </w:p>
    <w:p w:rsidR="00492FEE" w:rsidRPr="00230A3A" w:rsidRDefault="00492FEE" w:rsidP="00492FEE">
      <w:pPr>
        <w:pStyle w:val="Pagrindiniotekstotrauka31"/>
        <w:ind w:right="-1" w:firstLine="567"/>
        <w:rPr>
          <w:b w:val="0"/>
          <w:szCs w:val="24"/>
          <w:highlight w:val="cyan"/>
        </w:rPr>
      </w:pPr>
      <w:r w:rsidRPr="0064156D">
        <w:rPr>
          <w:szCs w:val="24"/>
        </w:rPr>
        <w:t>Sprendimo projekto 3 priedėlyje tvirtinami asignavimai paga</w:t>
      </w:r>
      <w:r w:rsidR="0064156D" w:rsidRPr="0064156D">
        <w:rPr>
          <w:szCs w:val="24"/>
        </w:rPr>
        <w:t>l asignavimų valdytojus tik iš v</w:t>
      </w:r>
      <w:r w:rsidRPr="0064156D">
        <w:rPr>
          <w:szCs w:val="24"/>
        </w:rPr>
        <w:t>alstybės biudžeto dotacijų</w:t>
      </w:r>
      <w:r w:rsidR="00991E5E" w:rsidRPr="0064156D">
        <w:rPr>
          <w:szCs w:val="24"/>
        </w:rPr>
        <w:t xml:space="preserve"> ir </w:t>
      </w:r>
      <w:r w:rsidR="00991E5E" w:rsidRPr="0064156D">
        <w:t>Europos Sąjungos ir kitos tarptautinės finansinės paramos lėšų</w:t>
      </w:r>
      <w:r w:rsidRPr="0064156D">
        <w:rPr>
          <w:szCs w:val="24"/>
        </w:rPr>
        <w:t>.</w:t>
      </w:r>
      <w:r w:rsidRPr="0064156D">
        <w:rPr>
          <w:b w:val="0"/>
          <w:szCs w:val="24"/>
        </w:rPr>
        <w:t xml:space="preserve"> </w:t>
      </w:r>
    </w:p>
    <w:p w:rsidR="00492FEE" w:rsidRPr="0064156D" w:rsidRDefault="00492FEE" w:rsidP="00492FEE">
      <w:pPr>
        <w:spacing w:line="360" w:lineRule="auto"/>
        <w:ind w:right="-1" w:firstLine="567"/>
        <w:jc w:val="both"/>
        <w:rPr>
          <w:szCs w:val="24"/>
        </w:rPr>
      </w:pPr>
      <w:r w:rsidRPr="0064156D">
        <w:rPr>
          <w:b/>
        </w:rPr>
        <w:t xml:space="preserve">Sprendimo projekto 5 priedėlyje tvirtinami asignavimai iš Aplinkos apsaugos rėmimo specialiosios programos, </w:t>
      </w:r>
      <w:r w:rsidRPr="0064156D">
        <w:rPr>
          <w:b/>
          <w:szCs w:val="24"/>
        </w:rPr>
        <w:t>biudžetinių įstaigų pajamų įmokų už paslaugas ir patalpų nuomą,</w:t>
      </w:r>
      <w:r w:rsidRPr="0064156D">
        <w:rPr>
          <w:b/>
        </w:rPr>
        <w:t xml:space="preserve"> </w:t>
      </w:r>
      <w:r w:rsidRPr="0064156D">
        <w:rPr>
          <w:b/>
          <w:szCs w:val="24"/>
        </w:rPr>
        <w:t>iš pajamų už parduotus valstybinės žemės sklypus,</w:t>
      </w:r>
      <w:r w:rsidRPr="0064156D">
        <w:rPr>
          <w:b/>
        </w:rPr>
        <w:t xml:space="preserve"> iš komunalinių atliekų programos lėšų ir </w:t>
      </w:r>
      <w:r w:rsidRPr="0064156D">
        <w:rPr>
          <w:b/>
          <w:bCs/>
          <w:szCs w:val="24"/>
        </w:rPr>
        <w:t>socialinio būsto fondo plėtros lėšų:</w:t>
      </w:r>
    </w:p>
    <w:p w:rsidR="00492FEE" w:rsidRPr="0064156D" w:rsidRDefault="00492FEE" w:rsidP="00492FEE">
      <w:pPr>
        <w:pStyle w:val="Pavadinimas"/>
        <w:spacing w:line="360" w:lineRule="auto"/>
        <w:ind w:right="-1" w:firstLine="567"/>
        <w:jc w:val="both"/>
        <w:rPr>
          <w:b w:val="0"/>
          <w:sz w:val="24"/>
          <w:szCs w:val="24"/>
        </w:rPr>
      </w:pPr>
      <w:r w:rsidRPr="0064156D">
        <w:rPr>
          <w:sz w:val="24"/>
          <w:szCs w:val="24"/>
        </w:rPr>
        <w:t>- Asignavimai iš Aplinkos apsaugos rėmimo specialiosios programos</w:t>
      </w:r>
      <w:r w:rsidRPr="0064156D">
        <w:rPr>
          <w:i/>
          <w:sz w:val="24"/>
          <w:szCs w:val="24"/>
        </w:rPr>
        <w:t>.</w:t>
      </w:r>
      <w:r w:rsidRPr="0064156D">
        <w:rPr>
          <w:b w:val="0"/>
          <w:sz w:val="24"/>
          <w:szCs w:val="24"/>
        </w:rPr>
        <w:t xml:space="preserve"> Vadovaujantis LR savivaldybių aplinkos apsaugos rėmimo specialios programos įstatymu, šios programos pajamos ir išlaidos planuojamos Savivaldybės biudžete ir naudojamos Savivaldybės aplinkos apsaugos rėmimo specialiojoje programoje numatytoms priemonėms finansuoti, iš kurių iki 20 proc. skiriama visuomenės sveikatos apsaugos rėmimo specialiajai programai.</w:t>
      </w:r>
    </w:p>
    <w:p w:rsidR="00492FEE" w:rsidRPr="0064156D" w:rsidRDefault="00991E5E" w:rsidP="00492FEE">
      <w:pPr>
        <w:pStyle w:val="Pagrindiniotekstotrauka"/>
        <w:ind w:right="-1" w:firstLine="567"/>
        <w:rPr>
          <w:color w:val="FF0000"/>
          <w:szCs w:val="24"/>
        </w:rPr>
      </w:pPr>
      <w:r w:rsidRPr="0064156D">
        <w:rPr>
          <w:szCs w:val="24"/>
        </w:rPr>
        <w:t>2018</w:t>
      </w:r>
      <w:r w:rsidR="00492FEE" w:rsidRPr="0064156D">
        <w:rPr>
          <w:szCs w:val="24"/>
        </w:rPr>
        <w:t xml:space="preserve"> metų biudžeto projekte iš Aplinkos apsaugos rėmimo specialiosios </w:t>
      </w:r>
      <w:r w:rsidRPr="0064156D">
        <w:rPr>
          <w:szCs w:val="24"/>
        </w:rPr>
        <w:t>programos lėšų planuojama 1760,0</w:t>
      </w:r>
      <w:r w:rsidR="00492FEE" w:rsidRPr="0064156D">
        <w:rPr>
          <w:szCs w:val="24"/>
        </w:rPr>
        <w:t xml:space="preserve"> tūkst. </w:t>
      </w:r>
      <w:r w:rsidRPr="0064156D">
        <w:rPr>
          <w:szCs w:val="24"/>
        </w:rPr>
        <w:t>Eur (240,0</w:t>
      </w:r>
      <w:r w:rsidR="00492FEE" w:rsidRPr="0064156D">
        <w:rPr>
          <w:szCs w:val="24"/>
        </w:rPr>
        <w:t xml:space="preserve"> tūkst. Eur daugiau n</w:t>
      </w:r>
      <w:r w:rsidRPr="0064156D">
        <w:rPr>
          <w:szCs w:val="24"/>
        </w:rPr>
        <w:t>egu 2017</w:t>
      </w:r>
      <w:r w:rsidR="00492FEE" w:rsidRPr="0064156D">
        <w:rPr>
          <w:szCs w:val="24"/>
        </w:rPr>
        <w:t xml:space="preserve"> m.)</w:t>
      </w:r>
      <w:r w:rsidRPr="0064156D">
        <w:rPr>
          <w:szCs w:val="24"/>
        </w:rPr>
        <w:t>.</w:t>
      </w:r>
    </w:p>
    <w:p w:rsidR="00492FEE" w:rsidRPr="00292E9D" w:rsidRDefault="00492FEE" w:rsidP="00492FEE">
      <w:pPr>
        <w:pStyle w:val="Pavadinimas"/>
        <w:spacing w:line="360" w:lineRule="auto"/>
        <w:ind w:right="-1" w:firstLine="567"/>
        <w:jc w:val="both"/>
        <w:rPr>
          <w:szCs w:val="24"/>
        </w:rPr>
      </w:pPr>
      <w:r w:rsidRPr="00292E9D">
        <w:rPr>
          <w:b w:val="0"/>
          <w:sz w:val="24"/>
          <w:szCs w:val="24"/>
        </w:rPr>
        <w:t>-</w:t>
      </w:r>
      <w:r w:rsidRPr="00292E9D">
        <w:rPr>
          <w:sz w:val="24"/>
          <w:szCs w:val="24"/>
        </w:rPr>
        <w:t xml:space="preserve"> Asignavimai iš biudžetinių įstaigų pajamų įmokų</w:t>
      </w:r>
      <w:r w:rsidR="00991E5E" w:rsidRPr="00292E9D">
        <w:rPr>
          <w:sz w:val="24"/>
          <w:szCs w:val="24"/>
        </w:rPr>
        <w:t xml:space="preserve"> už paslaugas numatoma – 16085,9</w:t>
      </w:r>
      <w:r w:rsidRPr="00292E9D">
        <w:rPr>
          <w:sz w:val="24"/>
          <w:szCs w:val="24"/>
        </w:rPr>
        <w:t xml:space="preserve"> tūkst. Eur </w:t>
      </w:r>
      <w:r w:rsidR="00991E5E" w:rsidRPr="00292E9D">
        <w:rPr>
          <w:b w:val="0"/>
          <w:sz w:val="24"/>
          <w:szCs w:val="24"/>
        </w:rPr>
        <w:t>(477,8 tūkst. Eur daugiau negu 2017</w:t>
      </w:r>
      <w:r w:rsidRPr="00292E9D">
        <w:rPr>
          <w:b w:val="0"/>
          <w:sz w:val="24"/>
          <w:szCs w:val="24"/>
        </w:rPr>
        <w:t xml:space="preserve"> m.)</w:t>
      </w:r>
      <w:r w:rsidR="00991E5E" w:rsidRPr="00292E9D">
        <w:rPr>
          <w:b w:val="0"/>
          <w:sz w:val="24"/>
          <w:szCs w:val="24"/>
        </w:rPr>
        <w:t>.</w:t>
      </w:r>
    </w:p>
    <w:p w:rsidR="00492FEE" w:rsidRPr="00292E9D" w:rsidRDefault="00492FEE" w:rsidP="00492FEE">
      <w:pPr>
        <w:spacing w:line="360" w:lineRule="auto"/>
        <w:ind w:right="-1" w:firstLine="567"/>
        <w:jc w:val="both"/>
        <w:rPr>
          <w:szCs w:val="24"/>
        </w:rPr>
      </w:pPr>
      <w:r w:rsidRPr="00292E9D">
        <w:rPr>
          <w:szCs w:val="24"/>
        </w:rPr>
        <w:t xml:space="preserve">- </w:t>
      </w:r>
      <w:r w:rsidRPr="00292E9D">
        <w:rPr>
          <w:b/>
          <w:szCs w:val="24"/>
        </w:rPr>
        <w:t>Asignavimai iš biudžetinių įstaigų pajam</w:t>
      </w:r>
      <w:r w:rsidR="00991E5E" w:rsidRPr="00292E9D">
        <w:rPr>
          <w:b/>
          <w:szCs w:val="24"/>
        </w:rPr>
        <w:t>ų įmokų už patalpų nuomą – 760,1</w:t>
      </w:r>
      <w:r w:rsidRPr="00292E9D">
        <w:rPr>
          <w:b/>
          <w:szCs w:val="24"/>
        </w:rPr>
        <w:t xml:space="preserve"> tūkst. Eur</w:t>
      </w:r>
      <w:r w:rsidR="00991E5E" w:rsidRPr="00292E9D">
        <w:rPr>
          <w:szCs w:val="24"/>
        </w:rPr>
        <w:t xml:space="preserve"> (69,5 tūkst. Eur daugiau negu 2017 m.).</w:t>
      </w:r>
    </w:p>
    <w:p w:rsidR="00492FEE" w:rsidRPr="00292E9D" w:rsidRDefault="00492FEE" w:rsidP="00492FEE">
      <w:pPr>
        <w:spacing w:line="360" w:lineRule="auto"/>
        <w:ind w:right="-1" w:firstLine="567"/>
        <w:jc w:val="both"/>
      </w:pPr>
      <w:r w:rsidRPr="00292E9D">
        <w:rPr>
          <w:szCs w:val="24"/>
        </w:rPr>
        <w:t xml:space="preserve">- </w:t>
      </w:r>
      <w:r w:rsidRPr="00292E9D">
        <w:rPr>
          <w:b/>
          <w:szCs w:val="24"/>
        </w:rPr>
        <w:t>Asignavimai iš pajamų už parduotus va</w:t>
      </w:r>
      <w:r w:rsidR="00991E5E" w:rsidRPr="00292E9D">
        <w:rPr>
          <w:b/>
          <w:szCs w:val="24"/>
        </w:rPr>
        <w:t xml:space="preserve">lstybinės žemės sklypus – 1750,0 tūkst. Eur </w:t>
      </w:r>
      <w:r w:rsidR="00991E5E" w:rsidRPr="00292E9D">
        <w:rPr>
          <w:szCs w:val="24"/>
        </w:rPr>
        <w:t>(700,0 tūkst. Eur mažiau negu 2017 m.)</w:t>
      </w:r>
      <w:r w:rsidRPr="00292E9D">
        <w:rPr>
          <w:szCs w:val="24"/>
        </w:rPr>
        <w:t xml:space="preserve">. </w:t>
      </w:r>
      <w:r w:rsidRPr="00292E9D">
        <w:t>Šios lėšos bus naudojamos pagal specialią paskirtį numatytą parengtame Tarybos sprendimo projekte žemės sklypų detaliesiems planams ar žemės valdos projektams, žemės sklypų planams rengti, vertinimo išlaidoms apmokėti, įregistruoti Nekilnojamojo turto registre, inžinerinei infrastruktūrai plėtoti ir renovuoti ir kt.</w:t>
      </w:r>
    </w:p>
    <w:p w:rsidR="00492FEE" w:rsidRPr="00292E9D" w:rsidRDefault="00492FEE" w:rsidP="00492FEE">
      <w:pPr>
        <w:spacing w:line="360" w:lineRule="auto"/>
        <w:ind w:right="-1" w:firstLine="567"/>
        <w:jc w:val="both"/>
        <w:rPr>
          <w:b/>
          <w:szCs w:val="24"/>
        </w:rPr>
      </w:pPr>
      <w:r w:rsidRPr="00292E9D">
        <w:t xml:space="preserve">- </w:t>
      </w:r>
      <w:r w:rsidRPr="00292E9D">
        <w:rPr>
          <w:b/>
          <w:szCs w:val="24"/>
        </w:rPr>
        <w:t xml:space="preserve">Asignavimai </w:t>
      </w:r>
      <w:r w:rsidRPr="00292E9D">
        <w:rPr>
          <w:b/>
        </w:rPr>
        <w:t xml:space="preserve">iš komunalinių atliekų programos lėšų </w:t>
      </w:r>
      <w:r w:rsidRPr="00292E9D">
        <w:rPr>
          <w:b/>
          <w:szCs w:val="24"/>
        </w:rPr>
        <w:t>–</w:t>
      </w:r>
      <w:r w:rsidR="00991E5E" w:rsidRPr="00292E9D">
        <w:rPr>
          <w:b/>
          <w:szCs w:val="24"/>
        </w:rPr>
        <w:t xml:space="preserve"> 90</w:t>
      </w:r>
      <w:r w:rsidRPr="00292E9D">
        <w:rPr>
          <w:b/>
          <w:szCs w:val="24"/>
        </w:rPr>
        <w:t xml:space="preserve">00,0 tūkst. Eur </w:t>
      </w:r>
      <w:r w:rsidR="00991E5E" w:rsidRPr="00292E9D">
        <w:rPr>
          <w:szCs w:val="24"/>
        </w:rPr>
        <w:t>(4500,0 tūkst. Eur daugiau negu 2017 m.)</w:t>
      </w:r>
    </w:p>
    <w:p w:rsidR="00492FEE" w:rsidRPr="00361666" w:rsidRDefault="00492FEE" w:rsidP="00492FEE">
      <w:pPr>
        <w:spacing w:line="360" w:lineRule="auto"/>
        <w:ind w:right="-1" w:firstLine="567"/>
        <w:jc w:val="both"/>
        <w:rPr>
          <w:b/>
          <w:szCs w:val="24"/>
        </w:rPr>
      </w:pPr>
      <w:r w:rsidRPr="00292E9D">
        <w:rPr>
          <w:b/>
        </w:rPr>
        <w:t xml:space="preserve"> </w:t>
      </w:r>
      <w:r w:rsidRPr="00292E9D">
        <w:t xml:space="preserve">- </w:t>
      </w:r>
      <w:r w:rsidRPr="00292E9D">
        <w:rPr>
          <w:b/>
          <w:szCs w:val="24"/>
        </w:rPr>
        <w:t xml:space="preserve">Asignavimai </w:t>
      </w:r>
      <w:r w:rsidRPr="00292E9D">
        <w:rPr>
          <w:b/>
          <w:bCs/>
          <w:szCs w:val="24"/>
        </w:rPr>
        <w:t>socialinio būsto fondo plėtros lėšų</w:t>
      </w:r>
      <w:r w:rsidR="00991E5E" w:rsidRPr="00292E9D">
        <w:rPr>
          <w:b/>
          <w:bCs/>
          <w:szCs w:val="24"/>
        </w:rPr>
        <w:t xml:space="preserve"> – 2572,0</w:t>
      </w:r>
      <w:r w:rsidRPr="00292E9D">
        <w:rPr>
          <w:b/>
          <w:bCs/>
          <w:szCs w:val="24"/>
        </w:rPr>
        <w:t xml:space="preserve"> tūkst. Eur </w:t>
      </w:r>
      <w:r w:rsidR="00991E5E" w:rsidRPr="00292E9D">
        <w:rPr>
          <w:szCs w:val="24"/>
        </w:rPr>
        <w:t xml:space="preserve">(1428,0 tūkst. Eur </w:t>
      </w:r>
      <w:r w:rsidR="00991E5E" w:rsidRPr="00361666">
        <w:rPr>
          <w:szCs w:val="24"/>
        </w:rPr>
        <w:t>mažiau negu 2017 m.)</w:t>
      </w:r>
      <w:r w:rsidRPr="00361666">
        <w:rPr>
          <w:szCs w:val="24"/>
        </w:rPr>
        <w:t xml:space="preserve">. </w:t>
      </w:r>
      <w:r w:rsidRPr="00361666">
        <w:t>Pagal patvirtintą 2016-03-23 Tarybos sprendimą Nr. 1-388 šios lėšos nuo 2017 m. naudojamos Savivaldybės socialinio būsto fondo plėtrai.</w:t>
      </w:r>
    </w:p>
    <w:p w:rsidR="00492FEE" w:rsidRPr="00361666" w:rsidRDefault="00492FEE" w:rsidP="00492FEE">
      <w:pPr>
        <w:spacing w:line="360" w:lineRule="auto"/>
        <w:ind w:right="-1" w:firstLine="567"/>
        <w:jc w:val="both"/>
        <w:rPr>
          <w:b/>
        </w:rPr>
      </w:pPr>
      <w:r w:rsidRPr="00361666">
        <w:rPr>
          <w:b/>
        </w:rPr>
        <w:t>Sprendimo  projekto  6 pried</w:t>
      </w:r>
      <w:r w:rsidR="00991E5E" w:rsidRPr="00361666">
        <w:rPr>
          <w:b/>
        </w:rPr>
        <w:t>ėlyje tvirtinami asignavimai iš apyvartos</w:t>
      </w:r>
      <w:r w:rsidRPr="00361666">
        <w:rPr>
          <w:b/>
          <w:szCs w:val="24"/>
        </w:rPr>
        <w:t xml:space="preserve"> </w:t>
      </w:r>
      <w:r w:rsidR="00991E5E" w:rsidRPr="00361666">
        <w:rPr>
          <w:b/>
          <w:szCs w:val="24"/>
        </w:rPr>
        <w:t>lėšų likučių 2018</w:t>
      </w:r>
      <w:r w:rsidRPr="00361666">
        <w:rPr>
          <w:b/>
          <w:szCs w:val="24"/>
        </w:rPr>
        <w:t>-01-01</w:t>
      </w:r>
      <w:r w:rsidRPr="00361666">
        <w:rPr>
          <w:b/>
        </w:rPr>
        <w:t xml:space="preserve"> </w:t>
      </w:r>
      <w:r w:rsidR="00991E5E" w:rsidRPr="00361666">
        <w:rPr>
          <w:szCs w:val="24"/>
        </w:rPr>
        <w:t>– 31214,4</w:t>
      </w:r>
      <w:r w:rsidRPr="00361666">
        <w:rPr>
          <w:szCs w:val="24"/>
        </w:rPr>
        <w:t xml:space="preserve"> tūkst. Eur</w:t>
      </w:r>
      <w:r w:rsidR="00991E5E" w:rsidRPr="00361666">
        <w:rPr>
          <w:szCs w:val="24"/>
        </w:rPr>
        <w:t xml:space="preserve"> (13983,4 tūkst. Eur daugiau negu 2017 m.)</w:t>
      </w:r>
      <w:r w:rsidRPr="00361666">
        <w:rPr>
          <w:szCs w:val="24"/>
        </w:rPr>
        <w:t>.</w:t>
      </w:r>
    </w:p>
    <w:p w:rsidR="00492FEE" w:rsidRPr="00361666" w:rsidRDefault="00991E5E" w:rsidP="00492FEE">
      <w:pPr>
        <w:spacing w:line="360" w:lineRule="auto"/>
        <w:ind w:right="-1" w:firstLine="567"/>
        <w:jc w:val="both"/>
        <w:rPr>
          <w:color w:val="FF0000"/>
        </w:rPr>
      </w:pPr>
      <w:r w:rsidRPr="00361666">
        <w:rPr>
          <w:b/>
          <w:szCs w:val="24"/>
        </w:rPr>
        <w:t>Sprendimo projekto 7</w:t>
      </w:r>
      <w:r w:rsidR="00492FEE" w:rsidRPr="00361666">
        <w:rPr>
          <w:b/>
          <w:szCs w:val="24"/>
        </w:rPr>
        <w:t xml:space="preserve"> priedėlyje tvirtinami asignavimai</w:t>
      </w:r>
      <w:r w:rsidR="00492FEE" w:rsidRPr="00361666">
        <w:rPr>
          <w:b/>
          <w:color w:val="FF0000"/>
          <w:szCs w:val="24"/>
        </w:rPr>
        <w:t xml:space="preserve"> </w:t>
      </w:r>
      <w:r w:rsidR="00492FEE" w:rsidRPr="00361666">
        <w:rPr>
          <w:b/>
          <w:szCs w:val="24"/>
        </w:rPr>
        <w:t>iš</w:t>
      </w:r>
      <w:r w:rsidR="00492FEE" w:rsidRPr="00361666">
        <w:rPr>
          <w:szCs w:val="24"/>
        </w:rPr>
        <w:t xml:space="preserve"> </w:t>
      </w:r>
      <w:r w:rsidR="00492FEE" w:rsidRPr="00361666">
        <w:rPr>
          <w:b/>
          <w:szCs w:val="24"/>
        </w:rPr>
        <w:t>Paramos lėšų social</w:t>
      </w:r>
      <w:r w:rsidRPr="00361666">
        <w:rPr>
          <w:b/>
          <w:szCs w:val="24"/>
        </w:rPr>
        <w:t>inės infrastruktūros plėtrai – 9</w:t>
      </w:r>
      <w:r w:rsidR="00492FEE" w:rsidRPr="00361666">
        <w:rPr>
          <w:b/>
          <w:szCs w:val="24"/>
        </w:rPr>
        <w:t xml:space="preserve">00,0 tūkst. Eur </w:t>
      </w:r>
      <w:r w:rsidR="00644BF4" w:rsidRPr="00361666">
        <w:t>(100,0</w:t>
      </w:r>
      <w:r w:rsidR="00492FEE" w:rsidRPr="00361666">
        <w:t xml:space="preserve"> tūkst.  Eur</w:t>
      </w:r>
      <w:r w:rsidR="00644BF4" w:rsidRPr="00361666">
        <w:t xml:space="preserve"> daugiau negu 2017</w:t>
      </w:r>
      <w:r w:rsidR="00492FEE" w:rsidRPr="00361666">
        <w:t xml:space="preserve"> m.).</w:t>
      </w:r>
    </w:p>
    <w:p w:rsidR="00492FEE" w:rsidRPr="00424D4C" w:rsidRDefault="00492FEE" w:rsidP="00492FEE">
      <w:pPr>
        <w:spacing w:line="360" w:lineRule="auto"/>
        <w:ind w:right="-1" w:firstLine="567"/>
        <w:jc w:val="both"/>
        <w:rPr>
          <w:szCs w:val="24"/>
        </w:rPr>
      </w:pPr>
      <w:r w:rsidRPr="00361666">
        <w:t xml:space="preserve">Vadovaujantis Tarybos </w:t>
      </w:r>
      <w:r w:rsidRPr="00424D4C">
        <w:t xml:space="preserve">2016-01-20 sprendimu Nr. 1-291 „Dėl paramos socialinės ir inžinerinės infrastruktūros plėtrai dydžių ir teikimo“ šios lėšos, gautos iš paramos teikėjų, yra apskaitomos Savivaldybės biudžete ir bus naudojamos socialinės infrastruktūros objektų plėtrai, </w:t>
      </w:r>
      <w:proofErr w:type="spellStart"/>
      <w:r w:rsidRPr="00424D4C">
        <w:t>t.y</w:t>
      </w:r>
      <w:proofErr w:type="spellEnd"/>
      <w:r w:rsidRPr="00424D4C">
        <w:t>. mokykloms, darželiams, visuomeninio transporto funkcionavimo organizavimui, visuomeninių teritorijų aplinkos gerinimui.</w:t>
      </w:r>
    </w:p>
    <w:p w:rsidR="00492FEE" w:rsidRPr="00424D4C" w:rsidRDefault="004C3962" w:rsidP="00492FEE">
      <w:pPr>
        <w:spacing w:line="360" w:lineRule="auto"/>
        <w:ind w:right="-1" w:firstLine="567"/>
        <w:jc w:val="both"/>
        <w:rPr>
          <w:b/>
          <w:szCs w:val="24"/>
        </w:rPr>
      </w:pPr>
      <w:r w:rsidRPr="00424D4C">
        <w:rPr>
          <w:b/>
          <w:szCs w:val="24"/>
        </w:rPr>
        <w:t>Savivaldybės 2018</w:t>
      </w:r>
      <w:r w:rsidR="00492FEE" w:rsidRPr="00424D4C">
        <w:rPr>
          <w:b/>
          <w:szCs w:val="24"/>
        </w:rPr>
        <w:t xml:space="preserve"> metų investicijų</w:t>
      </w:r>
      <w:r w:rsidR="00644BF4" w:rsidRPr="00424D4C">
        <w:rPr>
          <w:b/>
          <w:szCs w:val="24"/>
        </w:rPr>
        <w:t xml:space="preserve"> programa (Sprendimo projekto </w:t>
      </w:r>
      <w:r w:rsidR="00730549" w:rsidRPr="00424D4C">
        <w:rPr>
          <w:b/>
          <w:szCs w:val="24"/>
        </w:rPr>
        <w:t>8</w:t>
      </w:r>
      <w:r w:rsidR="00492FEE" w:rsidRPr="00424D4C">
        <w:rPr>
          <w:b/>
          <w:szCs w:val="24"/>
        </w:rPr>
        <w:t xml:space="preserve"> priedėlis). </w:t>
      </w:r>
    </w:p>
    <w:p w:rsidR="00492FEE" w:rsidRPr="00B84C82" w:rsidRDefault="00492FEE" w:rsidP="00492FEE">
      <w:pPr>
        <w:spacing w:line="360" w:lineRule="auto"/>
        <w:ind w:right="-1" w:firstLine="567"/>
        <w:jc w:val="both"/>
        <w:rPr>
          <w:szCs w:val="24"/>
        </w:rPr>
      </w:pPr>
      <w:r w:rsidRPr="00424D4C">
        <w:rPr>
          <w:szCs w:val="24"/>
        </w:rPr>
        <w:t xml:space="preserve">Investicijų programa yra sudėtinė Savivaldybės strateginio plano, Savivaldybės administracijos vykdomų programų dalis. </w:t>
      </w:r>
      <w:r w:rsidR="00424D4C" w:rsidRPr="00424D4C">
        <w:rPr>
          <w:szCs w:val="24"/>
        </w:rPr>
        <w:t>8</w:t>
      </w:r>
      <w:r w:rsidRPr="00424D4C">
        <w:rPr>
          <w:szCs w:val="24"/>
        </w:rPr>
        <w:t xml:space="preserve"> priedėlyje Savivaldybės investicijų programa tvirtinama asignavimų valdytojams pagal Savivaldybės strateginio plano programas ir finansavimo šaltinius. Siekiant užtikrinti efektyvų tam tikrai programai investiciniams projektams skirtų lėšų panaudojimą, sprendimo projekte numatytas 8.1. punktas, kuriuo pavesta Administracijos direktoriui paskirstyti kapitalo investicijas pagal investicinius projektus neviršijant asignavimų valdytojui tam tikrai </w:t>
      </w:r>
      <w:r w:rsidRPr="00B84C82">
        <w:rPr>
          <w:szCs w:val="24"/>
        </w:rPr>
        <w:t>programai skirtų lėšų.</w:t>
      </w:r>
    </w:p>
    <w:p w:rsidR="00492FEE" w:rsidRPr="00B84C82" w:rsidRDefault="00492FEE" w:rsidP="00644BF4">
      <w:pPr>
        <w:spacing w:line="360" w:lineRule="auto"/>
        <w:ind w:right="-1" w:firstLine="567"/>
        <w:jc w:val="both"/>
        <w:rPr>
          <w:color w:val="FF0000"/>
          <w:szCs w:val="24"/>
        </w:rPr>
      </w:pPr>
      <w:r w:rsidRPr="00B84C82">
        <w:rPr>
          <w:szCs w:val="24"/>
        </w:rPr>
        <w:t>201</w:t>
      </w:r>
      <w:r w:rsidR="00644BF4" w:rsidRPr="00B84C82">
        <w:rPr>
          <w:szCs w:val="24"/>
        </w:rPr>
        <w:t>8</w:t>
      </w:r>
      <w:r w:rsidRPr="00B84C82">
        <w:rPr>
          <w:szCs w:val="24"/>
        </w:rPr>
        <w:t xml:space="preserve"> metų investicijų programos apimtis </w:t>
      </w:r>
      <w:r w:rsidR="004C3962" w:rsidRPr="00B84C82">
        <w:rPr>
          <w:szCs w:val="24"/>
        </w:rPr>
        <w:t>– 65</w:t>
      </w:r>
      <w:r w:rsidR="00644BF4" w:rsidRPr="00B84C82">
        <w:rPr>
          <w:szCs w:val="24"/>
        </w:rPr>
        <w:t>027,4 tūkst. Eur, palyginti su 2017</w:t>
      </w:r>
      <w:r w:rsidRPr="00B84C82">
        <w:rPr>
          <w:szCs w:val="24"/>
        </w:rPr>
        <w:t xml:space="preserve"> me</w:t>
      </w:r>
      <w:r w:rsidR="004C3962" w:rsidRPr="00B84C82">
        <w:rPr>
          <w:szCs w:val="24"/>
        </w:rPr>
        <w:t>tais didesnė 1118</w:t>
      </w:r>
      <w:r w:rsidR="00644BF4" w:rsidRPr="00B84C82">
        <w:rPr>
          <w:szCs w:val="24"/>
        </w:rPr>
        <w:t>,5</w:t>
      </w:r>
      <w:r w:rsidRPr="00B84C82">
        <w:rPr>
          <w:szCs w:val="24"/>
        </w:rPr>
        <w:t xml:space="preserve"> tūkst. Eur.</w:t>
      </w:r>
      <w:r w:rsidR="00EE02C0" w:rsidRPr="00B84C82">
        <w:rPr>
          <w:szCs w:val="24"/>
        </w:rPr>
        <w:t xml:space="preserve"> </w:t>
      </w:r>
      <w:r w:rsidR="000F2934" w:rsidRPr="00B84C82">
        <w:t xml:space="preserve">Metų bėgyje </w:t>
      </w:r>
      <w:r w:rsidR="000F2934" w:rsidRPr="00B84C82">
        <w:t>Investicijų programa</w:t>
      </w:r>
      <w:r w:rsidR="000F2934" w:rsidRPr="00B84C82">
        <w:t xml:space="preserve"> dar pasipildys dotacijomis iš valstybės biudžeto bei Europos Sąjungos finansinės paramos lėšomis.</w:t>
      </w:r>
    </w:p>
    <w:p w:rsidR="00492FEE" w:rsidRPr="00B84C82" w:rsidRDefault="00492FEE" w:rsidP="00492FEE">
      <w:pPr>
        <w:tabs>
          <w:tab w:val="left" w:pos="567"/>
          <w:tab w:val="left" w:pos="709"/>
        </w:tabs>
        <w:ind w:right="-1"/>
        <w:jc w:val="both"/>
      </w:pPr>
      <w:r w:rsidRPr="00B84C82">
        <w:t xml:space="preserve">                                                                                                                                      tūkst. Eur</w:t>
      </w:r>
    </w:p>
    <w:tbl>
      <w:tblPr>
        <w:tblW w:w="10491"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993"/>
        <w:gridCol w:w="1097"/>
        <w:gridCol w:w="1029"/>
        <w:gridCol w:w="1134"/>
        <w:gridCol w:w="1134"/>
        <w:gridCol w:w="1097"/>
        <w:gridCol w:w="1029"/>
        <w:gridCol w:w="993"/>
        <w:gridCol w:w="1134"/>
      </w:tblGrid>
      <w:tr w:rsidR="00492FEE" w:rsidRPr="00B84C82" w:rsidTr="00644BF4">
        <w:trPr>
          <w:trHeight w:val="671"/>
        </w:trPr>
        <w:tc>
          <w:tcPr>
            <w:tcW w:w="851" w:type="dxa"/>
            <w:shd w:val="clear" w:color="auto" w:fill="auto"/>
          </w:tcPr>
          <w:p w:rsidR="00492FEE" w:rsidRPr="00B84C82" w:rsidRDefault="00492FEE" w:rsidP="00EB0A12">
            <w:pPr>
              <w:tabs>
                <w:tab w:val="left" w:pos="567"/>
                <w:tab w:val="left" w:pos="709"/>
              </w:tabs>
              <w:spacing w:line="360" w:lineRule="auto"/>
              <w:ind w:right="-1"/>
              <w:jc w:val="both"/>
              <w:rPr>
                <w:sz w:val="20"/>
              </w:rPr>
            </w:pPr>
            <w:r w:rsidRPr="00B84C82">
              <w:rPr>
                <w:sz w:val="20"/>
              </w:rPr>
              <w:t>Metai</w:t>
            </w:r>
          </w:p>
        </w:tc>
        <w:tc>
          <w:tcPr>
            <w:tcW w:w="993" w:type="dxa"/>
            <w:shd w:val="clear" w:color="auto" w:fill="auto"/>
          </w:tcPr>
          <w:p w:rsidR="00492FEE" w:rsidRPr="00B84C82" w:rsidRDefault="00492FEE" w:rsidP="00EB0A12">
            <w:pPr>
              <w:tabs>
                <w:tab w:val="left" w:pos="567"/>
                <w:tab w:val="left" w:pos="709"/>
              </w:tabs>
              <w:spacing w:line="360" w:lineRule="auto"/>
              <w:ind w:right="-1"/>
              <w:jc w:val="both"/>
              <w:rPr>
                <w:sz w:val="20"/>
              </w:rPr>
            </w:pPr>
            <w:r w:rsidRPr="00B84C82">
              <w:rPr>
                <w:sz w:val="20"/>
              </w:rPr>
              <w:t>Iš viso</w:t>
            </w:r>
          </w:p>
        </w:tc>
        <w:tc>
          <w:tcPr>
            <w:tcW w:w="1097" w:type="dxa"/>
            <w:shd w:val="clear" w:color="auto" w:fill="auto"/>
          </w:tcPr>
          <w:p w:rsidR="00492FEE" w:rsidRPr="00B84C82" w:rsidRDefault="00492FEE" w:rsidP="00EB0A12">
            <w:pPr>
              <w:tabs>
                <w:tab w:val="left" w:pos="567"/>
                <w:tab w:val="left" w:pos="709"/>
              </w:tabs>
              <w:ind w:right="-1"/>
              <w:jc w:val="both"/>
              <w:rPr>
                <w:sz w:val="20"/>
              </w:rPr>
            </w:pPr>
            <w:proofErr w:type="spellStart"/>
            <w:r w:rsidRPr="00B84C82">
              <w:rPr>
                <w:sz w:val="20"/>
              </w:rPr>
              <w:t>Savival-dybės</w:t>
            </w:r>
            <w:proofErr w:type="spellEnd"/>
            <w:r w:rsidRPr="00B84C82">
              <w:rPr>
                <w:sz w:val="20"/>
              </w:rPr>
              <w:t xml:space="preserve"> biudžeto</w:t>
            </w:r>
          </w:p>
        </w:tc>
        <w:tc>
          <w:tcPr>
            <w:tcW w:w="1029" w:type="dxa"/>
          </w:tcPr>
          <w:p w:rsidR="00492FEE" w:rsidRPr="00B84C82" w:rsidRDefault="00492FEE" w:rsidP="00EB0A12">
            <w:pPr>
              <w:tabs>
                <w:tab w:val="left" w:pos="567"/>
                <w:tab w:val="left" w:pos="709"/>
              </w:tabs>
              <w:ind w:right="-1"/>
              <w:jc w:val="both"/>
              <w:rPr>
                <w:sz w:val="20"/>
              </w:rPr>
            </w:pPr>
            <w:r w:rsidRPr="00B84C82">
              <w:rPr>
                <w:sz w:val="20"/>
              </w:rPr>
              <w:t>Valstybės biudžeto</w:t>
            </w:r>
          </w:p>
          <w:p w:rsidR="00492FEE" w:rsidRPr="00B84C82" w:rsidRDefault="00492FEE" w:rsidP="00EB0A12">
            <w:pPr>
              <w:tabs>
                <w:tab w:val="left" w:pos="567"/>
                <w:tab w:val="left" w:pos="709"/>
              </w:tabs>
              <w:ind w:right="-1"/>
              <w:jc w:val="both"/>
              <w:rPr>
                <w:sz w:val="20"/>
              </w:rPr>
            </w:pPr>
            <w:r w:rsidRPr="00B84C82">
              <w:rPr>
                <w:sz w:val="20"/>
              </w:rPr>
              <w:t>dotacijos</w:t>
            </w:r>
          </w:p>
        </w:tc>
        <w:tc>
          <w:tcPr>
            <w:tcW w:w="1134" w:type="dxa"/>
          </w:tcPr>
          <w:p w:rsidR="00492FEE" w:rsidRPr="00B84C82" w:rsidRDefault="00492FEE" w:rsidP="00EB0A12">
            <w:pPr>
              <w:tabs>
                <w:tab w:val="left" w:pos="567"/>
                <w:tab w:val="left" w:pos="709"/>
              </w:tabs>
              <w:ind w:right="-1"/>
              <w:jc w:val="both"/>
              <w:rPr>
                <w:sz w:val="20"/>
              </w:rPr>
            </w:pPr>
            <w:r w:rsidRPr="00B84C82">
              <w:rPr>
                <w:sz w:val="20"/>
              </w:rPr>
              <w:t xml:space="preserve">Paramos lėšos </w:t>
            </w:r>
            <w:proofErr w:type="spellStart"/>
            <w:r w:rsidRPr="00B84C82">
              <w:rPr>
                <w:sz w:val="20"/>
              </w:rPr>
              <w:t>soc</w:t>
            </w:r>
            <w:proofErr w:type="spellEnd"/>
            <w:r w:rsidRPr="00B84C82">
              <w:rPr>
                <w:sz w:val="20"/>
              </w:rPr>
              <w:t xml:space="preserve">. </w:t>
            </w:r>
            <w:proofErr w:type="spellStart"/>
            <w:r w:rsidRPr="00B84C82">
              <w:rPr>
                <w:sz w:val="20"/>
              </w:rPr>
              <w:t>infrastr</w:t>
            </w:r>
            <w:proofErr w:type="spellEnd"/>
            <w:r w:rsidRPr="00B84C82">
              <w:rPr>
                <w:sz w:val="20"/>
              </w:rPr>
              <w:t>. plėtrai</w:t>
            </w:r>
          </w:p>
        </w:tc>
        <w:tc>
          <w:tcPr>
            <w:tcW w:w="1134" w:type="dxa"/>
            <w:shd w:val="clear" w:color="auto" w:fill="auto"/>
          </w:tcPr>
          <w:p w:rsidR="00492FEE" w:rsidRPr="00B84C82" w:rsidRDefault="00492FEE" w:rsidP="00EB0A12">
            <w:pPr>
              <w:tabs>
                <w:tab w:val="left" w:pos="567"/>
                <w:tab w:val="left" w:pos="709"/>
              </w:tabs>
              <w:ind w:right="-1"/>
              <w:jc w:val="both"/>
              <w:rPr>
                <w:sz w:val="20"/>
              </w:rPr>
            </w:pPr>
            <w:proofErr w:type="spellStart"/>
            <w:r w:rsidRPr="00B84C82">
              <w:rPr>
                <w:sz w:val="20"/>
              </w:rPr>
              <w:t>Soc</w:t>
            </w:r>
            <w:proofErr w:type="spellEnd"/>
            <w:r w:rsidRPr="00B84C82">
              <w:rPr>
                <w:sz w:val="20"/>
              </w:rPr>
              <w:t>. būsto fondo plėtros lėšos</w:t>
            </w:r>
          </w:p>
        </w:tc>
        <w:tc>
          <w:tcPr>
            <w:tcW w:w="1097" w:type="dxa"/>
            <w:shd w:val="clear" w:color="auto" w:fill="auto"/>
          </w:tcPr>
          <w:p w:rsidR="00492FEE" w:rsidRPr="00B84C82" w:rsidRDefault="00492FEE" w:rsidP="00EB0A12">
            <w:pPr>
              <w:tabs>
                <w:tab w:val="left" w:pos="567"/>
                <w:tab w:val="left" w:pos="709"/>
              </w:tabs>
              <w:ind w:right="-1"/>
              <w:jc w:val="both"/>
              <w:rPr>
                <w:sz w:val="20"/>
              </w:rPr>
            </w:pPr>
            <w:r w:rsidRPr="00B84C82">
              <w:rPr>
                <w:sz w:val="20"/>
              </w:rPr>
              <w:t>Skolintos lėšos</w:t>
            </w:r>
          </w:p>
        </w:tc>
        <w:tc>
          <w:tcPr>
            <w:tcW w:w="1029" w:type="dxa"/>
            <w:shd w:val="clear" w:color="auto" w:fill="auto"/>
          </w:tcPr>
          <w:p w:rsidR="00492FEE" w:rsidRPr="00B84C82" w:rsidRDefault="00492FEE" w:rsidP="00EB0A12">
            <w:pPr>
              <w:tabs>
                <w:tab w:val="left" w:pos="567"/>
                <w:tab w:val="left" w:pos="709"/>
              </w:tabs>
              <w:ind w:right="-1"/>
              <w:jc w:val="both"/>
              <w:rPr>
                <w:sz w:val="20"/>
              </w:rPr>
            </w:pPr>
            <w:r w:rsidRPr="00B84C82">
              <w:rPr>
                <w:sz w:val="20"/>
              </w:rPr>
              <w:t>Valstybės biudžeto lėšos</w:t>
            </w:r>
          </w:p>
        </w:tc>
        <w:tc>
          <w:tcPr>
            <w:tcW w:w="993" w:type="dxa"/>
            <w:shd w:val="clear" w:color="auto" w:fill="auto"/>
          </w:tcPr>
          <w:p w:rsidR="00492FEE" w:rsidRPr="00B84C82" w:rsidRDefault="00492FEE" w:rsidP="00EB0A12">
            <w:pPr>
              <w:tabs>
                <w:tab w:val="left" w:pos="567"/>
                <w:tab w:val="left" w:pos="709"/>
              </w:tabs>
              <w:ind w:right="-1"/>
              <w:jc w:val="both"/>
              <w:rPr>
                <w:sz w:val="20"/>
              </w:rPr>
            </w:pPr>
            <w:r w:rsidRPr="00B84C82">
              <w:rPr>
                <w:sz w:val="20"/>
              </w:rPr>
              <w:t>Kitų fondų lėšos</w:t>
            </w:r>
          </w:p>
        </w:tc>
        <w:tc>
          <w:tcPr>
            <w:tcW w:w="1134" w:type="dxa"/>
            <w:shd w:val="clear" w:color="auto" w:fill="auto"/>
          </w:tcPr>
          <w:p w:rsidR="00492FEE" w:rsidRPr="00B84C82" w:rsidRDefault="00492FEE" w:rsidP="00EB0A12">
            <w:pPr>
              <w:tabs>
                <w:tab w:val="left" w:pos="709"/>
                <w:tab w:val="left" w:pos="742"/>
              </w:tabs>
              <w:ind w:right="-1"/>
              <w:jc w:val="both"/>
              <w:rPr>
                <w:sz w:val="20"/>
              </w:rPr>
            </w:pPr>
            <w:r w:rsidRPr="00B84C82">
              <w:rPr>
                <w:sz w:val="20"/>
              </w:rPr>
              <w:t>Iš apyvartos lėšų likučio</w:t>
            </w:r>
          </w:p>
        </w:tc>
      </w:tr>
      <w:tr w:rsidR="00492FEE" w:rsidRPr="00B84C82" w:rsidTr="00644BF4">
        <w:tc>
          <w:tcPr>
            <w:tcW w:w="851"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2017</w:t>
            </w:r>
          </w:p>
        </w:tc>
        <w:tc>
          <w:tcPr>
            <w:tcW w:w="993" w:type="dxa"/>
            <w:shd w:val="clear" w:color="auto" w:fill="auto"/>
            <w:vAlign w:val="center"/>
          </w:tcPr>
          <w:p w:rsidR="00492FEE" w:rsidRPr="00B84C82" w:rsidRDefault="00644BF4" w:rsidP="00644BF4">
            <w:pPr>
              <w:tabs>
                <w:tab w:val="left" w:pos="567"/>
                <w:tab w:val="left" w:pos="709"/>
              </w:tabs>
              <w:spacing w:line="360" w:lineRule="auto"/>
              <w:ind w:right="-1"/>
              <w:rPr>
                <w:sz w:val="22"/>
                <w:szCs w:val="22"/>
              </w:rPr>
            </w:pPr>
            <w:r w:rsidRPr="00B84C82">
              <w:rPr>
                <w:sz w:val="22"/>
                <w:szCs w:val="22"/>
              </w:rPr>
              <w:t>63908,9</w:t>
            </w:r>
          </w:p>
        </w:tc>
        <w:tc>
          <w:tcPr>
            <w:tcW w:w="1097"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25940,2</w:t>
            </w:r>
          </w:p>
        </w:tc>
        <w:tc>
          <w:tcPr>
            <w:tcW w:w="1029" w:type="dxa"/>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804,0</w:t>
            </w:r>
          </w:p>
        </w:tc>
        <w:tc>
          <w:tcPr>
            <w:tcW w:w="1134" w:type="dxa"/>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664,8</w:t>
            </w:r>
          </w:p>
        </w:tc>
        <w:tc>
          <w:tcPr>
            <w:tcW w:w="1134"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4000,0</w:t>
            </w:r>
          </w:p>
        </w:tc>
        <w:tc>
          <w:tcPr>
            <w:tcW w:w="1097"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24000,0</w:t>
            </w:r>
          </w:p>
        </w:tc>
        <w:tc>
          <w:tcPr>
            <w:tcW w:w="1029"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220,0</w:t>
            </w:r>
          </w:p>
        </w:tc>
        <w:tc>
          <w:tcPr>
            <w:tcW w:w="993"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5979,1</w:t>
            </w:r>
          </w:p>
        </w:tc>
        <w:tc>
          <w:tcPr>
            <w:tcW w:w="1134"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2300,8</w:t>
            </w:r>
          </w:p>
        </w:tc>
      </w:tr>
      <w:tr w:rsidR="00492FEE" w:rsidRPr="00B84C82" w:rsidTr="00644BF4">
        <w:tc>
          <w:tcPr>
            <w:tcW w:w="851" w:type="dxa"/>
            <w:shd w:val="clear" w:color="auto" w:fill="auto"/>
            <w:vAlign w:val="center"/>
          </w:tcPr>
          <w:p w:rsidR="00492FEE" w:rsidRPr="00B84C82" w:rsidRDefault="00644BF4" w:rsidP="00EB0A12">
            <w:pPr>
              <w:tabs>
                <w:tab w:val="left" w:pos="567"/>
                <w:tab w:val="left" w:pos="709"/>
              </w:tabs>
              <w:spacing w:line="360" w:lineRule="auto"/>
              <w:ind w:right="-1"/>
              <w:jc w:val="center"/>
              <w:rPr>
                <w:b/>
                <w:sz w:val="22"/>
                <w:szCs w:val="22"/>
              </w:rPr>
            </w:pPr>
            <w:r w:rsidRPr="00B84C82">
              <w:rPr>
                <w:b/>
                <w:sz w:val="22"/>
                <w:szCs w:val="22"/>
              </w:rPr>
              <w:t>2018</w:t>
            </w:r>
          </w:p>
        </w:tc>
        <w:tc>
          <w:tcPr>
            <w:tcW w:w="993" w:type="dxa"/>
            <w:shd w:val="clear" w:color="auto" w:fill="auto"/>
            <w:vAlign w:val="center"/>
          </w:tcPr>
          <w:p w:rsidR="00492FEE" w:rsidRPr="00B84C82" w:rsidRDefault="004C3962" w:rsidP="00EB0A12">
            <w:pPr>
              <w:tabs>
                <w:tab w:val="left" w:pos="567"/>
                <w:tab w:val="left" w:pos="709"/>
              </w:tabs>
              <w:spacing w:line="360" w:lineRule="auto"/>
              <w:ind w:right="-1"/>
              <w:jc w:val="center"/>
              <w:rPr>
                <w:b/>
                <w:sz w:val="22"/>
                <w:szCs w:val="22"/>
              </w:rPr>
            </w:pPr>
            <w:r w:rsidRPr="00B84C82">
              <w:rPr>
                <w:b/>
                <w:sz w:val="22"/>
                <w:szCs w:val="22"/>
              </w:rPr>
              <w:t>65</w:t>
            </w:r>
            <w:r w:rsidR="00644BF4" w:rsidRPr="00B84C82">
              <w:rPr>
                <w:b/>
                <w:sz w:val="22"/>
                <w:szCs w:val="22"/>
              </w:rPr>
              <w:t>027,4</w:t>
            </w:r>
          </w:p>
        </w:tc>
        <w:tc>
          <w:tcPr>
            <w:tcW w:w="1097" w:type="dxa"/>
            <w:shd w:val="clear" w:color="auto" w:fill="auto"/>
            <w:vAlign w:val="center"/>
          </w:tcPr>
          <w:p w:rsidR="00492FEE" w:rsidRPr="00B84C82" w:rsidRDefault="00644BF4" w:rsidP="00EB0A12">
            <w:pPr>
              <w:tabs>
                <w:tab w:val="left" w:pos="567"/>
                <w:tab w:val="left" w:pos="709"/>
              </w:tabs>
              <w:spacing w:line="360" w:lineRule="auto"/>
              <w:ind w:right="-1"/>
              <w:jc w:val="center"/>
              <w:rPr>
                <w:b/>
                <w:sz w:val="22"/>
                <w:szCs w:val="22"/>
              </w:rPr>
            </w:pPr>
            <w:r w:rsidRPr="00B84C82">
              <w:rPr>
                <w:b/>
                <w:sz w:val="22"/>
                <w:szCs w:val="22"/>
              </w:rPr>
              <w:t>50812,6</w:t>
            </w:r>
          </w:p>
        </w:tc>
        <w:tc>
          <w:tcPr>
            <w:tcW w:w="1029" w:type="dxa"/>
            <w:vAlign w:val="center"/>
          </w:tcPr>
          <w:p w:rsidR="00492FEE" w:rsidRPr="00B84C82" w:rsidRDefault="00492FEE" w:rsidP="00EB0A12">
            <w:pPr>
              <w:tabs>
                <w:tab w:val="left" w:pos="567"/>
                <w:tab w:val="left" w:pos="709"/>
              </w:tabs>
              <w:spacing w:line="360" w:lineRule="auto"/>
              <w:ind w:right="-1"/>
              <w:jc w:val="center"/>
              <w:rPr>
                <w:b/>
                <w:sz w:val="22"/>
                <w:szCs w:val="22"/>
              </w:rPr>
            </w:pPr>
          </w:p>
        </w:tc>
        <w:tc>
          <w:tcPr>
            <w:tcW w:w="1134" w:type="dxa"/>
            <w:vAlign w:val="center"/>
          </w:tcPr>
          <w:p w:rsidR="00492FEE" w:rsidRPr="00B84C82" w:rsidRDefault="00644BF4" w:rsidP="00EB0A12">
            <w:pPr>
              <w:tabs>
                <w:tab w:val="left" w:pos="567"/>
                <w:tab w:val="left" w:pos="709"/>
              </w:tabs>
              <w:spacing w:line="360" w:lineRule="auto"/>
              <w:ind w:right="-1"/>
              <w:jc w:val="center"/>
              <w:rPr>
                <w:b/>
                <w:sz w:val="22"/>
                <w:szCs w:val="22"/>
              </w:rPr>
            </w:pPr>
            <w:r w:rsidRPr="00B84C82">
              <w:rPr>
                <w:b/>
                <w:sz w:val="22"/>
                <w:szCs w:val="22"/>
              </w:rPr>
              <w:t>650,5</w:t>
            </w:r>
          </w:p>
        </w:tc>
        <w:tc>
          <w:tcPr>
            <w:tcW w:w="1134" w:type="dxa"/>
            <w:shd w:val="clear" w:color="auto" w:fill="auto"/>
            <w:vAlign w:val="center"/>
          </w:tcPr>
          <w:p w:rsidR="00492FEE" w:rsidRPr="00B84C82" w:rsidRDefault="00644BF4" w:rsidP="00EB0A12">
            <w:pPr>
              <w:tabs>
                <w:tab w:val="left" w:pos="567"/>
                <w:tab w:val="left" w:pos="709"/>
              </w:tabs>
              <w:spacing w:line="360" w:lineRule="auto"/>
              <w:ind w:right="-1"/>
              <w:jc w:val="center"/>
              <w:rPr>
                <w:b/>
                <w:sz w:val="22"/>
                <w:szCs w:val="22"/>
              </w:rPr>
            </w:pPr>
            <w:r w:rsidRPr="00B84C82">
              <w:rPr>
                <w:b/>
                <w:sz w:val="22"/>
                <w:szCs w:val="22"/>
              </w:rPr>
              <w:t>2572,0</w:t>
            </w:r>
          </w:p>
        </w:tc>
        <w:tc>
          <w:tcPr>
            <w:tcW w:w="1097" w:type="dxa"/>
            <w:shd w:val="clear" w:color="auto" w:fill="auto"/>
            <w:vAlign w:val="center"/>
          </w:tcPr>
          <w:p w:rsidR="00492FEE" w:rsidRPr="00B84C82" w:rsidRDefault="00492FEE" w:rsidP="00EB0A12">
            <w:pPr>
              <w:tabs>
                <w:tab w:val="left" w:pos="567"/>
                <w:tab w:val="left" w:pos="709"/>
              </w:tabs>
              <w:spacing w:line="360" w:lineRule="auto"/>
              <w:ind w:right="-1"/>
              <w:jc w:val="center"/>
              <w:rPr>
                <w:b/>
                <w:sz w:val="22"/>
                <w:szCs w:val="22"/>
              </w:rPr>
            </w:pPr>
          </w:p>
        </w:tc>
        <w:tc>
          <w:tcPr>
            <w:tcW w:w="1029" w:type="dxa"/>
            <w:shd w:val="clear" w:color="auto" w:fill="auto"/>
            <w:vAlign w:val="center"/>
          </w:tcPr>
          <w:p w:rsidR="00492FEE" w:rsidRPr="00B84C82" w:rsidRDefault="00492FEE" w:rsidP="00EB0A12">
            <w:pPr>
              <w:tabs>
                <w:tab w:val="left" w:pos="567"/>
                <w:tab w:val="left" w:pos="709"/>
              </w:tabs>
              <w:spacing w:line="360" w:lineRule="auto"/>
              <w:ind w:right="-1"/>
              <w:jc w:val="center"/>
              <w:rPr>
                <w:b/>
                <w:sz w:val="22"/>
                <w:szCs w:val="22"/>
              </w:rPr>
            </w:pPr>
          </w:p>
        </w:tc>
        <w:tc>
          <w:tcPr>
            <w:tcW w:w="993" w:type="dxa"/>
            <w:shd w:val="clear" w:color="auto" w:fill="auto"/>
            <w:vAlign w:val="center"/>
          </w:tcPr>
          <w:p w:rsidR="00492FEE" w:rsidRPr="00B84C82" w:rsidRDefault="00492FEE" w:rsidP="00EB0A12">
            <w:pPr>
              <w:tabs>
                <w:tab w:val="left" w:pos="567"/>
                <w:tab w:val="left" w:pos="709"/>
              </w:tabs>
              <w:spacing w:line="360" w:lineRule="auto"/>
              <w:ind w:right="-1"/>
              <w:jc w:val="center"/>
              <w:rPr>
                <w:b/>
                <w:sz w:val="22"/>
                <w:szCs w:val="22"/>
              </w:rPr>
            </w:pPr>
          </w:p>
        </w:tc>
        <w:tc>
          <w:tcPr>
            <w:tcW w:w="1134" w:type="dxa"/>
            <w:shd w:val="clear" w:color="auto" w:fill="auto"/>
            <w:vAlign w:val="center"/>
          </w:tcPr>
          <w:p w:rsidR="00492FEE" w:rsidRPr="00B84C82" w:rsidRDefault="004C3962" w:rsidP="00EB0A12">
            <w:pPr>
              <w:tabs>
                <w:tab w:val="left" w:pos="567"/>
                <w:tab w:val="left" w:pos="709"/>
              </w:tabs>
              <w:spacing w:line="360" w:lineRule="auto"/>
              <w:ind w:right="-1"/>
              <w:jc w:val="center"/>
              <w:rPr>
                <w:b/>
                <w:sz w:val="22"/>
                <w:szCs w:val="22"/>
              </w:rPr>
            </w:pPr>
            <w:r w:rsidRPr="00B84C82">
              <w:rPr>
                <w:b/>
                <w:sz w:val="22"/>
                <w:szCs w:val="22"/>
              </w:rPr>
              <w:t>10</w:t>
            </w:r>
            <w:r w:rsidR="00644BF4" w:rsidRPr="00B84C82">
              <w:rPr>
                <w:b/>
                <w:sz w:val="22"/>
                <w:szCs w:val="22"/>
              </w:rPr>
              <w:t>992,3</w:t>
            </w:r>
          </w:p>
        </w:tc>
      </w:tr>
      <w:tr w:rsidR="00492FEE" w:rsidRPr="007A7AE6" w:rsidTr="00644BF4">
        <w:tc>
          <w:tcPr>
            <w:tcW w:w="851" w:type="dxa"/>
            <w:shd w:val="clear" w:color="auto" w:fill="auto"/>
            <w:vAlign w:val="center"/>
          </w:tcPr>
          <w:p w:rsidR="00492FEE" w:rsidRPr="00B84C82" w:rsidRDefault="00492FEE" w:rsidP="00EB0A12">
            <w:pPr>
              <w:tabs>
                <w:tab w:val="left" w:pos="567"/>
                <w:tab w:val="left" w:pos="709"/>
              </w:tabs>
              <w:ind w:right="-1"/>
              <w:jc w:val="center"/>
              <w:rPr>
                <w:sz w:val="18"/>
                <w:szCs w:val="18"/>
              </w:rPr>
            </w:pPr>
            <w:r w:rsidRPr="00B84C82">
              <w:rPr>
                <w:sz w:val="18"/>
                <w:szCs w:val="18"/>
              </w:rPr>
              <w:t>Didėja +</w:t>
            </w:r>
          </w:p>
          <w:p w:rsidR="00492FEE" w:rsidRPr="00B84C82" w:rsidRDefault="00492FEE" w:rsidP="00EB0A12">
            <w:pPr>
              <w:tabs>
                <w:tab w:val="left" w:pos="567"/>
                <w:tab w:val="left" w:pos="709"/>
              </w:tabs>
              <w:ind w:right="-1"/>
              <w:jc w:val="center"/>
              <w:rPr>
                <w:sz w:val="22"/>
                <w:szCs w:val="22"/>
              </w:rPr>
            </w:pPr>
            <w:r w:rsidRPr="00B84C82">
              <w:rPr>
                <w:sz w:val="18"/>
                <w:szCs w:val="18"/>
              </w:rPr>
              <w:t>Mažėja -</w:t>
            </w:r>
          </w:p>
        </w:tc>
        <w:tc>
          <w:tcPr>
            <w:tcW w:w="993" w:type="dxa"/>
            <w:shd w:val="clear" w:color="auto" w:fill="auto"/>
            <w:vAlign w:val="center"/>
          </w:tcPr>
          <w:p w:rsidR="00492FEE" w:rsidRPr="00B84C82" w:rsidRDefault="004C3962" w:rsidP="00EB0A12">
            <w:pPr>
              <w:tabs>
                <w:tab w:val="left" w:pos="567"/>
                <w:tab w:val="left" w:pos="709"/>
              </w:tabs>
              <w:spacing w:line="360" w:lineRule="auto"/>
              <w:ind w:right="-1"/>
              <w:jc w:val="center"/>
              <w:rPr>
                <w:sz w:val="22"/>
                <w:szCs w:val="22"/>
              </w:rPr>
            </w:pPr>
            <w:r w:rsidRPr="00B84C82">
              <w:rPr>
                <w:sz w:val="22"/>
                <w:szCs w:val="22"/>
              </w:rPr>
              <w:t>+1118,5</w:t>
            </w:r>
          </w:p>
        </w:tc>
        <w:tc>
          <w:tcPr>
            <w:tcW w:w="1097" w:type="dxa"/>
            <w:shd w:val="clear" w:color="auto" w:fill="auto"/>
            <w:vAlign w:val="center"/>
          </w:tcPr>
          <w:p w:rsidR="00492FEE" w:rsidRPr="00B84C82" w:rsidRDefault="00492FEE" w:rsidP="00EB0A12">
            <w:pPr>
              <w:tabs>
                <w:tab w:val="left" w:pos="567"/>
                <w:tab w:val="left" w:pos="709"/>
              </w:tabs>
              <w:spacing w:line="360" w:lineRule="auto"/>
              <w:ind w:right="-1"/>
              <w:jc w:val="center"/>
              <w:rPr>
                <w:sz w:val="22"/>
                <w:szCs w:val="22"/>
              </w:rPr>
            </w:pPr>
            <w:r w:rsidRPr="00B84C82">
              <w:rPr>
                <w:sz w:val="22"/>
                <w:szCs w:val="22"/>
              </w:rPr>
              <w:t>+</w:t>
            </w:r>
            <w:r w:rsidR="00644BF4" w:rsidRPr="00B84C82">
              <w:rPr>
                <w:sz w:val="22"/>
                <w:szCs w:val="22"/>
              </w:rPr>
              <w:t>24872,4</w:t>
            </w:r>
          </w:p>
        </w:tc>
        <w:tc>
          <w:tcPr>
            <w:tcW w:w="1029" w:type="dxa"/>
            <w:vAlign w:val="center"/>
          </w:tcPr>
          <w:p w:rsidR="00492FEE" w:rsidRPr="00B84C82" w:rsidRDefault="00492FEE" w:rsidP="00EB0A12">
            <w:pPr>
              <w:tabs>
                <w:tab w:val="left" w:pos="567"/>
                <w:tab w:val="left" w:pos="709"/>
              </w:tabs>
              <w:spacing w:line="360" w:lineRule="auto"/>
              <w:ind w:right="-1"/>
              <w:jc w:val="center"/>
              <w:rPr>
                <w:sz w:val="22"/>
                <w:szCs w:val="22"/>
              </w:rPr>
            </w:pPr>
            <w:r w:rsidRPr="00B84C82">
              <w:rPr>
                <w:sz w:val="22"/>
                <w:szCs w:val="22"/>
              </w:rPr>
              <w:t>-</w:t>
            </w:r>
            <w:r w:rsidR="00644BF4" w:rsidRPr="00B84C82">
              <w:rPr>
                <w:sz w:val="22"/>
                <w:szCs w:val="22"/>
              </w:rPr>
              <w:t>804,0</w:t>
            </w:r>
          </w:p>
        </w:tc>
        <w:tc>
          <w:tcPr>
            <w:tcW w:w="1134" w:type="dxa"/>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-14,3</w:t>
            </w:r>
          </w:p>
        </w:tc>
        <w:tc>
          <w:tcPr>
            <w:tcW w:w="1134"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-1428,0</w:t>
            </w:r>
          </w:p>
        </w:tc>
        <w:tc>
          <w:tcPr>
            <w:tcW w:w="1097"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-24000,0</w:t>
            </w:r>
          </w:p>
        </w:tc>
        <w:tc>
          <w:tcPr>
            <w:tcW w:w="1029"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-220,0</w:t>
            </w:r>
          </w:p>
        </w:tc>
        <w:tc>
          <w:tcPr>
            <w:tcW w:w="993" w:type="dxa"/>
            <w:shd w:val="clear" w:color="auto" w:fill="auto"/>
            <w:vAlign w:val="center"/>
          </w:tcPr>
          <w:p w:rsidR="00492FEE" w:rsidRPr="00B84C82" w:rsidRDefault="00644BF4" w:rsidP="00EB0A12">
            <w:pPr>
              <w:tabs>
                <w:tab w:val="left" w:pos="567"/>
                <w:tab w:val="left" w:pos="709"/>
              </w:tabs>
              <w:spacing w:line="360" w:lineRule="auto"/>
              <w:ind w:right="-1"/>
              <w:jc w:val="center"/>
              <w:rPr>
                <w:sz w:val="22"/>
                <w:szCs w:val="22"/>
              </w:rPr>
            </w:pPr>
            <w:r w:rsidRPr="00B84C82">
              <w:rPr>
                <w:sz w:val="22"/>
                <w:szCs w:val="22"/>
              </w:rPr>
              <w:t>-5979,1</w:t>
            </w:r>
          </w:p>
        </w:tc>
        <w:tc>
          <w:tcPr>
            <w:tcW w:w="1134" w:type="dxa"/>
            <w:shd w:val="clear" w:color="auto" w:fill="auto"/>
            <w:vAlign w:val="center"/>
          </w:tcPr>
          <w:p w:rsidR="00492FEE" w:rsidRPr="007A7AE6" w:rsidRDefault="004C3962" w:rsidP="00EB0A12">
            <w:pPr>
              <w:tabs>
                <w:tab w:val="left" w:pos="567"/>
                <w:tab w:val="left" w:pos="709"/>
              </w:tabs>
              <w:spacing w:line="360" w:lineRule="auto"/>
              <w:ind w:right="-1"/>
              <w:jc w:val="center"/>
              <w:rPr>
                <w:sz w:val="22"/>
                <w:szCs w:val="22"/>
              </w:rPr>
            </w:pPr>
            <w:r w:rsidRPr="00B84C82">
              <w:rPr>
                <w:sz w:val="22"/>
                <w:szCs w:val="22"/>
              </w:rPr>
              <w:t>+8</w:t>
            </w:r>
            <w:r w:rsidR="00644BF4" w:rsidRPr="00B84C82">
              <w:rPr>
                <w:sz w:val="22"/>
                <w:szCs w:val="22"/>
              </w:rPr>
              <w:t>691,5</w:t>
            </w:r>
          </w:p>
        </w:tc>
      </w:tr>
    </w:tbl>
    <w:p w:rsidR="00492FEE" w:rsidRPr="00F71526" w:rsidRDefault="00492FEE" w:rsidP="00492FEE">
      <w:pPr>
        <w:tabs>
          <w:tab w:val="left" w:pos="567"/>
        </w:tabs>
        <w:spacing w:line="360" w:lineRule="auto"/>
        <w:ind w:right="-1" w:firstLine="709"/>
        <w:jc w:val="both"/>
        <w:rPr>
          <w:color w:val="FF0000"/>
          <w:szCs w:val="24"/>
        </w:rPr>
      </w:pPr>
    </w:p>
    <w:p w:rsidR="00730549" w:rsidRPr="00730549" w:rsidRDefault="00730549" w:rsidP="00730549">
      <w:pPr>
        <w:spacing w:line="360" w:lineRule="auto"/>
        <w:ind w:firstLine="720"/>
        <w:jc w:val="both"/>
      </w:pPr>
      <w:r w:rsidRPr="00730549">
        <w:rPr>
          <w:b/>
          <w:szCs w:val="24"/>
        </w:rPr>
        <w:t xml:space="preserve">Sprendimo projekto 9 priedėlyje tvirtinami asignavimai Savivaldybės skoloms mokėti. </w:t>
      </w:r>
      <w:r w:rsidRPr="00730549">
        <w:rPr>
          <w:szCs w:val="24"/>
        </w:rPr>
        <w:t>Finansinių rodiklių įstatyme numatyta, kad Savivaldybės 2019-01-01 kreditinis įsiskolinimas (mokėtinos sumos, išskyrus sumas paskoloms grąžinti) turi būti ne didesnis už 2018-01-01 įsiskolinimą (be paskolų).</w:t>
      </w:r>
      <w:r w:rsidRPr="00730549">
        <w:t xml:space="preserve"> </w:t>
      </w:r>
      <w:r w:rsidRPr="00730549">
        <w:rPr>
          <w:szCs w:val="24"/>
          <w:lang w:eastAsia="lt-LT"/>
        </w:rPr>
        <w:t>2018 metų biudžeto projekte v</w:t>
      </w:r>
      <w:r w:rsidRPr="00730549">
        <w:rPr>
          <w:szCs w:val="24"/>
        </w:rPr>
        <w:t>iso skoloms grąžinti numatoma</w:t>
      </w:r>
      <w:r w:rsidR="00411FB3">
        <w:rPr>
          <w:szCs w:val="24"/>
        </w:rPr>
        <w:t xml:space="preserve"> 28400,0</w:t>
      </w:r>
      <w:r w:rsidRPr="00730549">
        <w:rPr>
          <w:szCs w:val="24"/>
        </w:rPr>
        <w:t xml:space="preserve"> tūks</w:t>
      </w:r>
      <w:r w:rsidR="00411FB3">
        <w:rPr>
          <w:szCs w:val="24"/>
        </w:rPr>
        <w:t>t. Eur (neskaitant paskolų ir restruktūrizuotų skolų pagal atidėjimo sutartis grąžinimų).</w:t>
      </w:r>
    </w:p>
    <w:p w:rsidR="00EF39E1" w:rsidRPr="00730549" w:rsidRDefault="00730549" w:rsidP="00730549">
      <w:pPr>
        <w:spacing w:line="360" w:lineRule="auto"/>
        <w:ind w:firstLine="720"/>
        <w:jc w:val="both"/>
        <w:rPr>
          <w:b/>
          <w:szCs w:val="24"/>
        </w:rPr>
      </w:pPr>
      <w:r w:rsidRPr="00730549">
        <w:rPr>
          <w:szCs w:val="24"/>
        </w:rPr>
        <w:t>Nuo 2018 metų Savivaldybei tampa aktualios fiskalinių taisyklių nuostatos, numatytos LR fiskalinės sutarties įgyvendinimo konstituciniame įstatyme. Vadovaujantis šiuo įstatymu Savivaldybės biudžetas turi būti planuojamas, tvirtinamas, keičiamas ir vykdomas taip, kad, sprendžiant pagal biudžeto struktūrinį balanso rodiklį, apskaičiuotą kaupiamuoju principu, jis būtų perteklinis arba subalansuotas. Vilniaus miesto savivaldybės 2018 metų biudžeto balansas koreguojamas cikline komponente, kurios dydis 11</w:t>
      </w:r>
      <w:r w:rsidR="009C36DA">
        <w:rPr>
          <w:szCs w:val="24"/>
        </w:rPr>
        <w:t>770,0 tūkst.</w:t>
      </w:r>
      <w:r w:rsidRPr="00730549">
        <w:rPr>
          <w:szCs w:val="24"/>
        </w:rPr>
        <w:t xml:space="preserve"> Eur (minimalus Savivaldybės biudžeto pertekliaus dydis). Tokiu būdu ribojamos Savivaldybės išlaidų apimtys, atsižvelgiant į ekonomikos pakilimą, siekiant formuoti biudžeto pertekliaus rezervą. Savivaldybės struktūrinį balansą gerina kreditorinio įsiskolinimo ir paskolų mažėjimas. </w:t>
      </w:r>
      <w:r w:rsidRPr="00730549">
        <w:t xml:space="preserve">Įstatymo reikalavimus biudžeto pertekliui planuojama pasiekti mažinant paskolas ir skolas: paskolų ir </w:t>
      </w:r>
      <w:r w:rsidRPr="00730549">
        <w:rPr>
          <w:szCs w:val="24"/>
        </w:rPr>
        <w:t>restruktūrizuotų skolų pagal atidėjimo sutartis, perleistų bankams, grąžinimui numatoma 36841,6 tūkst. Eur, iš jų: 18241,6 tūkst. Eur iš Savivaldybės biudžeto lėšų, 18600,0 tūkst. Eur iš dotacijos iš valstybės biudžeto pagal 2016-09-02  Taikos sutartį Nr. 14P-68 Savivaldybės skoliniams įsipareigojimams grąžinti.</w:t>
      </w:r>
    </w:p>
    <w:p w:rsidR="00D0321C" w:rsidRDefault="00D0321C" w:rsidP="00D0321C">
      <w:pPr>
        <w:tabs>
          <w:tab w:val="left" w:pos="567"/>
        </w:tabs>
        <w:spacing w:line="360" w:lineRule="auto"/>
        <w:jc w:val="both"/>
        <w:rPr>
          <w:b/>
          <w:bCs/>
        </w:rPr>
      </w:pPr>
      <w:r>
        <w:rPr>
          <w:b/>
          <w:bCs/>
        </w:rPr>
        <w:tab/>
      </w:r>
      <w:r w:rsidRPr="00A275AC">
        <w:rPr>
          <w:b/>
          <w:bCs/>
        </w:rPr>
        <w:t>3. Galimos teigiamo</w:t>
      </w:r>
      <w:r>
        <w:rPr>
          <w:b/>
          <w:bCs/>
        </w:rPr>
        <w:t>s ar</w:t>
      </w:r>
      <w:r w:rsidRPr="00A275AC">
        <w:rPr>
          <w:b/>
          <w:bCs/>
        </w:rPr>
        <w:t xml:space="preserve"> neigiamos priimto teisės akto pasekmė</w:t>
      </w:r>
      <w:r>
        <w:rPr>
          <w:b/>
          <w:bCs/>
        </w:rPr>
        <w:t>s, kokių priemonių būtina imtis</w:t>
      </w:r>
      <w:r w:rsidRPr="00A275AC">
        <w:rPr>
          <w:b/>
          <w:bCs/>
        </w:rPr>
        <w:t xml:space="preserve"> siekiant pastarųjų išvengti</w:t>
      </w:r>
    </w:p>
    <w:p w:rsidR="009108EC" w:rsidRPr="005309FA" w:rsidRDefault="009108EC" w:rsidP="009108EC">
      <w:pPr>
        <w:tabs>
          <w:tab w:val="left" w:pos="567"/>
        </w:tabs>
        <w:spacing w:line="360" w:lineRule="auto"/>
        <w:ind w:right="-1" w:firstLine="567"/>
        <w:jc w:val="both"/>
        <w:rPr>
          <w:szCs w:val="24"/>
        </w:rPr>
      </w:pPr>
      <w:r w:rsidRPr="007A7608">
        <w:t xml:space="preserve">Vadovaujantis LR biudžeto sandaros įstatymu, savivaldybių biudžetai turi būti patvirtinti per du mėnesius nuo Valstybės biudžeto ir </w:t>
      </w:r>
      <w:r w:rsidRPr="005309FA">
        <w:t>savivaldybių biudžetų finansinių rodiklių patvirtinimo.</w:t>
      </w:r>
      <w:r>
        <w:rPr>
          <w:szCs w:val="24"/>
        </w:rPr>
        <w:t xml:space="preserve"> </w:t>
      </w:r>
      <w:r w:rsidRPr="00307AB5">
        <w:rPr>
          <w:bCs/>
        </w:rPr>
        <w:t xml:space="preserve">Teigiamos pasekmės – </w:t>
      </w:r>
      <w:r w:rsidRPr="00307AB5">
        <w:rPr>
          <w:szCs w:val="24"/>
        </w:rPr>
        <w:t xml:space="preserve">2018 metais į Sostinės biudžetą papildomai pateks </w:t>
      </w:r>
      <w:r w:rsidR="001866F5" w:rsidRPr="00307AB5">
        <w:rPr>
          <w:szCs w:val="24"/>
        </w:rPr>
        <w:t>55,4</w:t>
      </w:r>
      <w:r w:rsidRPr="00307AB5">
        <w:rPr>
          <w:szCs w:val="24"/>
        </w:rPr>
        <w:t xml:space="preserve"> mln. Eur pajamų</w:t>
      </w:r>
      <w:r w:rsidR="006C5CBA" w:rsidRPr="00307AB5">
        <w:rPr>
          <w:szCs w:val="24"/>
        </w:rPr>
        <w:t xml:space="preserve"> savarankiškoms funkcijoms vykdyti</w:t>
      </w:r>
      <w:r w:rsidRPr="00307AB5">
        <w:rPr>
          <w:szCs w:val="24"/>
        </w:rPr>
        <w:t xml:space="preserve">, iš jų </w:t>
      </w:r>
      <w:r w:rsidR="001866F5" w:rsidRPr="00307AB5">
        <w:rPr>
          <w:szCs w:val="24"/>
        </w:rPr>
        <w:t>45,1</w:t>
      </w:r>
      <w:r w:rsidRPr="00307AB5">
        <w:rPr>
          <w:szCs w:val="24"/>
        </w:rPr>
        <w:t xml:space="preserve"> mln. Eur gyventojų pajamų mokesčio. </w:t>
      </w:r>
      <w:r w:rsidRPr="00307AB5">
        <w:rPr>
          <w:bCs/>
        </w:rPr>
        <w:t>Neigiamų pasekmių nenumatoma.</w:t>
      </w:r>
    </w:p>
    <w:p w:rsidR="00D0321C" w:rsidRPr="009108EC" w:rsidRDefault="00D0321C" w:rsidP="009108EC">
      <w:pPr>
        <w:tabs>
          <w:tab w:val="left" w:pos="567"/>
        </w:tabs>
        <w:spacing w:line="360" w:lineRule="auto"/>
        <w:ind w:right="-1" w:firstLine="567"/>
        <w:jc w:val="both"/>
        <w:rPr>
          <w:szCs w:val="24"/>
        </w:rPr>
      </w:pPr>
      <w:r w:rsidRPr="00F3412E">
        <w:rPr>
          <w:b/>
        </w:rPr>
        <w:t xml:space="preserve">4. Suderinamumas su Lietuvos Respublikos galiojančiais teisės norminiais aktais </w:t>
      </w:r>
      <w:r>
        <w:rPr>
          <w:b/>
        </w:rPr>
        <w:tab/>
      </w:r>
      <w:r w:rsidR="009108EC" w:rsidRPr="005309FA">
        <w:t>Sprendimo projektas neprieštarauja Lietuvos Respublikos ir Vilniaus miesto savivaldybės galiojantiems teisės aktams.</w:t>
      </w:r>
    </w:p>
    <w:p w:rsidR="009108EC" w:rsidRPr="005309FA" w:rsidRDefault="00307AB5" w:rsidP="009108EC">
      <w:pPr>
        <w:tabs>
          <w:tab w:val="left" w:pos="567"/>
        </w:tabs>
        <w:spacing w:line="360" w:lineRule="auto"/>
        <w:ind w:right="-1"/>
        <w:jc w:val="both"/>
        <w:rPr>
          <w:szCs w:val="24"/>
        </w:rPr>
      </w:pPr>
      <w:r>
        <w:rPr>
          <w:b/>
          <w:bCs/>
        </w:rPr>
        <w:tab/>
      </w:r>
      <w:r w:rsidR="00D0321C" w:rsidRPr="00A275AC">
        <w:rPr>
          <w:b/>
          <w:bCs/>
        </w:rPr>
        <w:t>5. Priimtam teisės aktui įgyvendinti reikalingi papildomi (</w:t>
      </w:r>
      <w:r w:rsidR="00D0321C">
        <w:rPr>
          <w:b/>
          <w:bCs/>
        </w:rPr>
        <w:t>priimti, pakeisti) teisės aktai</w:t>
      </w:r>
      <w:r w:rsidR="00D0321C" w:rsidRPr="00A275AC">
        <w:rPr>
          <w:b/>
          <w:bCs/>
        </w:rPr>
        <w:t xml:space="preserve"> </w:t>
      </w:r>
      <w:r w:rsidR="00D0321C">
        <w:rPr>
          <w:b/>
          <w:bCs/>
        </w:rPr>
        <w:tab/>
      </w:r>
      <w:r w:rsidR="009108EC" w:rsidRPr="005309FA">
        <w:rPr>
          <w:szCs w:val="24"/>
        </w:rPr>
        <w:t>Administracijos direktoriaus įsakymais bus patvirtinta Vilniaus miesto savivaldybės 201</w:t>
      </w:r>
      <w:r w:rsidR="009108EC">
        <w:rPr>
          <w:szCs w:val="24"/>
        </w:rPr>
        <w:t>8</w:t>
      </w:r>
      <w:r w:rsidR="009108EC" w:rsidRPr="005309FA">
        <w:rPr>
          <w:szCs w:val="24"/>
        </w:rPr>
        <w:t xml:space="preserve"> metų investicijų programa pagal investicinius projektus, programų vykdytojus ir programas, neviršijant šiuo sprendimu patvirtintoje </w:t>
      </w:r>
      <w:r w:rsidR="009108EC">
        <w:rPr>
          <w:szCs w:val="24"/>
        </w:rPr>
        <w:t>S</w:t>
      </w:r>
      <w:r w:rsidR="009108EC" w:rsidRPr="005309FA">
        <w:rPr>
          <w:szCs w:val="24"/>
        </w:rPr>
        <w:t>avivaldybės 201</w:t>
      </w:r>
      <w:r w:rsidR="009108EC">
        <w:rPr>
          <w:szCs w:val="24"/>
        </w:rPr>
        <w:t>8</w:t>
      </w:r>
      <w:r w:rsidR="009108EC" w:rsidRPr="005309FA">
        <w:rPr>
          <w:szCs w:val="24"/>
        </w:rPr>
        <w:t xml:space="preserve"> metų investicijų programoje asignavimų valdytojui tam tikrai programai skirtų lėšų sumų.</w:t>
      </w:r>
    </w:p>
    <w:p w:rsidR="00D0321C" w:rsidRDefault="00D0321C" w:rsidP="00D0321C">
      <w:pPr>
        <w:spacing w:line="360" w:lineRule="auto"/>
        <w:ind w:firstLine="567"/>
        <w:jc w:val="both"/>
        <w:rPr>
          <w:b/>
          <w:bCs/>
        </w:rPr>
      </w:pPr>
      <w:r w:rsidRPr="00F3412E">
        <w:rPr>
          <w:b/>
          <w:bCs/>
        </w:rPr>
        <w:t>6. Biudžeto lėšų poreikis teisės aktui įgyvendinti</w:t>
      </w:r>
    </w:p>
    <w:p w:rsidR="009108EC" w:rsidRPr="005309FA" w:rsidRDefault="009108EC" w:rsidP="009108EC">
      <w:pPr>
        <w:tabs>
          <w:tab w:val="left" w:pos="567"/>
        </w:tabs>
        <w:spacing w:line="360" w:lineRule="auto"/>
        <w:ind w:right="-1" w:firstLine="567"/>
        <w:jc w:val="both"/>
        <w:rPr>
          <w:szCs w:val="24"/>
        </w:rPr>
      </w:pPr>
      <w:r w:rsidRPr="00466A3F">
        <w:rPr>
          <w:szCs w:val="24"/>
        </w:rPr>
        <w:t>Teisės aktui įgyvendinti</w:t>
      </w:r>
      <w:r w:rsidRPr="00466A3F">
        <w:rPr>
          <w:b/>
          <w:szCs w:val="24"/>
        </w:rPr>
        <w:t xml:space="preserve"> </w:t>
      </w:r>
      <w:r w:rsidRPr="00466A3F">
        <w:rPr>
          <w:szCs w:val="24"/>
        </w:rPr>
        <w:t xml:space="preserve">reikalingas lėšų poreikis – </w:t>
      </w:r>
      <w:r w:rsidR="00406793" w:rsidRPr="00466A3F">
        <w:rPr>
          <w:szCs w:val="24"/>
        </w:rPr>
        <w:t>583162,6</w:t>
      </w:r>
      <w:r w:rsidRPr="00466A3F">
        <w:rPr>
          <w:szCs w:val="24"/>
        </w:rPr>
        <w:t xml:space="preserve"> tūkst. Eur, iš jų: </w:t>
      </w:r>
      <w:r w:rsidR="001866F5" w:rsidRPr="00466A3F">
        <w:rPr>
          <w:szCs w:val="24"/>
        </w:rPr>
        <w:t>390842,0</w:t>
      </w:r>
      <w:r w:rsidRPr="00466A3F">
        <w:rPr>
          <w:szCs w:val="24"/>
        </w:rPr>
        <w:t xml:space="preserve"> tūkst. Eur –</w:t>
      </w:r>
      <w:r w:rsidR="001866F5" w:rsidRPr="00466A3F">
        <w:rPr>
          <w:szCs w:val="24"/>
        </w:rPr>
        <w:t xml:space="preserve"> </w:t>
      </w:r>
      <w:r w:rsidR="00B51F70" w:rsidRPr="00466A3F">
        <w:rPr>
          <w:szCs w:val="24"/>
        </w:rPr>
        <w:t>S</w:t>
      </w:r>
      <w:r w:rsidRPr="00466A3F">
        <w:rPr>
          <w:szCs w:val="24"/>
        </w:rPr>
        <w:t>avivaldybės 201</w:t>
      </w:r>
      <w:r w:rsidR="00B51F70" w:rsidRPr="00466A3F">
        <w:rPr>
          <w:szCs w:val="24"/>
        </w:rPr>
        <w:t>8</w:t>
      </w:r>
      <w:r w:rsidRPr="00466A3F">
        <w:rPr>
          <w:szCs w:val="24"/>
        </w:rPr>
        <w:t xml:space="preserve"> metų biudžeto pajam</w:t>
      </w:r>
      <w:r w:rsidR="001866F5" w:rsidRPr="00466A3F">
        <w:rPr>
          <w:szCs w:val="24"/>
        </w:rPr>
        <w:t>ų</w:t>
      </w:r>
      <w:r w:rsidRPr="00466A3F">
        <w:rPr>
          <w:szCs w:val="24"/>
        </w:rPr>
        <w:t xml:space="preserve">, </w:t>
      </w:r>
      <w:r w:rsidR="00406793" w:rsidRPr="00466A3F">
        <w:rPr>
          <w:szCs w:val="24"/>
        </w:rPr>
        <w:t>161106,2</w:t>
      </w:r>
      <w:r w:rsidR="00E51577" w:rsidRPr="00466A3F">
        <w:rPr>
          <w:szCs w:val="24"/>
        </w:rPr>
        <w:t xml:space="preserve"> </w:t>
      </w:r>
      <w:r w:rsidR="001866F5" w:rsidRPr="00466A3F">
        <w:rPr>
          <w:szCs w:val="24"/>
        </w:rPr>
        <w:t xml:space="preserve">tūkst. Eur dotacijų, </w:t>
      </w:r>
      <w:r w:rsidR="000E1A8E" w:rsidRPr="00466A3F">
        <w:rPr>
          <w:szCs w:val="24"/>
        </w:rPr>
        <w:t>3121</w:t>
      </w:r>
      <w:r w:rsidR="00E51577" w:rsidRPr="00466A3F">
        <w:rPr>
          <w:szCs w:val="24"/>
        </w:rPr>
        <w:t>4</w:t>
      </w:r>
      <w:r w:rsidR="000E1A8E" w:rsidRPr="00466A3F">
        <w:rPr>
          <w:szCs w:val="24"/>
        </w:rPr>
        <w:t>,</w:t>
      </w:r>
      <w:r w:rsidR="00E51577" w:rsidRPr="00466A3F">
        <w:rPr>
          <w:szCs w:val="24"/>
        </w:rPr>
        <w:t>4</w:t>
      </w:r>
      <w:r w:rsidRPr="00466A3F">
        <w:rPr>
          <w:szCs w:val="24"/>
        </w:rPr>
        <w:t xml:space="preserve"> tūkst. </w:t>
      </w:r>
      <w:r w:rsidR="00B51F70" w:rsidRPr="00466A3F">
        <w:rPr>
          <w:szCs w:val="24"/>
        </w:rPr>
        <w:t>Eur – apyvartos lėšų likuči</w:t>
      </w:r>
      <w:r w:rsidR="001866F5" w:rsidRPr="00466A3F">
        <w:rPr>
          <w:szCs w:val="24"/>
        </w:rPr>
        <w:t>ų</w:t>
      </w:r>
      <w:r w:rsidRPr="00466A3F">
        <w:rPr>
          <w:szCs w:val="24"/>
        </w:rPr>
        <w:t>.</w:t>
      </w:r>
    </w:p>
    <w:p w:rsidR="00730549" w:rsidRDefault="00730549" w:rsidP="00730549">
      <w:pPr>
        <w:spacing w:line="360" w:lineRule="auto"/>
        <w:ind w:firstLine="567"/>
        <w:jc w:val="both"/>
        <w:rPr>
          <w:b/>
          <w:bCs/>
        </w:rPr>
      </w:pPr>
      <w:r w:rsidRPr="00F3412E">
        <w:rPr>
          <w:b/>
          <w:bCs/>
        </w:rPr>
        <w:t>7. Teisės akto projekto iniciatoriai: institucija, asmenys ar piliečių įgalioti atstovai</w:t>
      </w:r>
    </w:p>
    <w:p w:rsidR="00730549" w:rsidRDefault="00730549" w:rsidP="00730549">
      <w:pPr>
        <w:widowControl w:val="0"/>
        <w:autoSpaceDE w:val="0"/>
        <w:autoSpaceDN w:val="0"/>
        <w:adjustRightInd w:val="0"/>
        <w:spacing w:line="360" w:lineRule="auto"/>
        <w:ind w:left="567"/>
        <w:jc w:val="both"/>
        <w:rPr>
          <w:b/>
          <w:bCs/>
        </w:rPr>
      </w:pPr>
      <w:r w:rsidRPr="005309FA">
        <w:rPr>
          <w:szCs w:val="24"/>
        </w:rPr>
        <w:t>Vilniaus miesto savivaldybės administracijos Finansų ir strateginio planavimo departamentas.</w:t>
      </w:r>
      <w:r w:rsidRPr="007A7AE6">
        <w:rPr>
          <w:b/>
          <w:color w:val="FF0000"/>
          <w:szCs w:val="24"/>
        </w:rPr>
        <w:t xml:space="preserve"> </w:t>
      </w:r>
      <w:r w:rsidRPr="00F3412E">
        <w:rPr>
          <w:b/>
          <w:bCs/>
        </w:rPr>
        <w:t>8</w:t>
      </w:r>
      <w:r w:rsidRPr="00F3412E">
        <w:t>.</w:t>
      </w:r>
      <w:r w:rsidRPr="00F3412E">
        <w:rPr>
          <w:b/>
          <w:bCs/>
        </w:rPr>
        <w:t xml:space="preserve"> Teisės akto projekto autoriai (rengėjai)</w:t>
      </w:r>
    </w:p>
    <w:p w:rsidR="00730549" w:rsidRPr="000C0923" w:rsidRDefault="00730549" w:rsidP="00730549">
      <w:pPr>
        <w:tabs>
          <w:tab w:val="left" w:pos="567"/>
        </w:tabs>
        <w:spacing w:line="360" w:lineRule="auto"/>
        <w:ind w:right="-1"/>
        <w:jc w:val="both"/>
      </w:pPr>
      <w:r>
        <w:tab/>
      </w:r>
      <w:r w:rsidRPr="001D037A">
        <w:t>Finansų ir strateginio planavimo departamento Strateginio planavimo ir biudžeto skyrius (</w:t>
      </w:r>
      <w:r w:rsidRPr="00294545">
        <w:t>vedėj</w:t>
      </w:r>
      <w:r>
        <w:t>as</w:t>
      </w:r>
      <w:r w:rsidRPr="00294545">
        <w:t xml:space="preserve"> </w:t>
      </w:r>
      <w:r w:rsidRPr="00525F59">
        <w:t>Almantas Šimonis, tel. 219 7957</w:t>
      </w:r>
      <w:r>
        <w:t xml:space="preserve">, el. p. </w:t>
      </w:r>
      <w:proofErr w:type="spellStart"/>
      <w:r>
        <w:t>almantas.simonis</w:t>
      </w:r>
      <w:r w:rsidRPr="001953B9">
        <w:t>@vilnius.lt</w:t>
      </w:r>
      <w:proofErr w:type="spellEnd"/>
      <w:r>
        <w:t xml:space="preserve">, </w:t>
      </w:r>
      <w:r w:rsidRPr="00525F59">
        <w:t>vyriausioji specialistė Violeta Seliuchovienė, tel. 211 2276</w:t>
      </w:r>
      <w:r>
        <w:t xml:space="preserve">, el. p. </w:t>
      </w:r>
      <w:proofErr w:type="spellStart"/>
      <w:r w:rsidRPr="001953B9">
        <w:t>violeta.seliuchoviene@vilnius.lt</w:t>
      </w:r>
      <w:proofErr w:type="spellEnd"/>
      <w:r w:rsidRPr="00525F59">
        <w:t>,</w:t>
      </w:r>
      <w:r>
        <w:t xml:space="preserve"> </w:t>
      </w:r>
      <w:r w:rsidRPr="00525F59">
        <w:t>vyriausioji specialistė Au</w:t>
      </w:r>
      <w:r>
        <w:t xml:space="preserve">šra Valiukonienė, tel. 211 2275, el. p. </w:t>
      </w:r>
      <w:proofErr w:type="spellStart"/>
      <w:r>
        <w:t>ausra.valiukoniene</w:t>
      </w:r>
      <w:r w:rsidRPr="001953B9">
        <w:t>@vilnius.lt</w:t>
      </w:r>
      <w:proofErr w:type="spellEnd"/>
      <w:r w:rsidRPr="00525F59">
        <w:t>).</w:t>
      </w:r>
    </w:p>
    <w:p w:rsidR="00730549" w:rsidRDefault="00730549" w:rsidP="00730549">
      <w:pPr>
        <w:widowControl w:val="0"/>
        <w:tabs>
          <w:tab w:val="left" w:pos="567"/>
        </w:tabs>
        <w:autoSpaceDE w:val="0"/>
        <w:autoSpaceDN w:val="0"/>
        <w:adjustRightInd w:val="0"/>
        <w:spacing w:line="360" w:lineRule="auto"/>
        <w:jc w:val="both"/>
        <w:rPr>
          <w:b/>
        </w:rPr>
      </w:pPr>
      <w:r>
        <w:rPr>
          <w:b/>
        </w:rPr>
        <w:tab/>
      </w:r>
      <w:r w:rsidRPr="00F3412E">
        <w:rPr>
          <w:b/>
        </w:rPr>
        <w:t>9. Teisės akt</w:t>
      </w:r>
      <w:r w:rsidRPr="005E59EB">
        <w:rPr>
          <w:b/>
        </w:rPr>
        <w:t>o projek</w:t>
      </w:r>
      <w:r>
        <w:rPr>
          <w:b/>
        </w:rPr>
        <w:t>to nauda Vilniui ir vilniečiams</w:t>
      </w:r>
    </w:p>
    <w:p w:rsidR="00730549" w:rsidRPr="00E360E8" w:rsidRDefault="00730549" w:rsidP="00E360E8">
      <w:pPr>
        <w:tabs>
          <w:tab w:val="left" w:pos="567"/>
        </w:tabs>
        <w:spacing w:line="360" w:lineRule="auto"/>
        <w:jc w:val="both"/>
      </w:pPr>
      <w:r>
        <w:rPr>
          <w:b/>
          <w:color w:val="FF0000"/>
        </w:rPr>
        <w:tab/>
      </w:r>
      <w:r w:rsidR="00E360E8">
        <w:t>Biudžete numatytos išlaidos skiriamos vilniečiams svarbioms sritims: ugdymo įstaigų statybai, modulinių vaikų darželių kūrimui, švietimo kokybės gerinimui; gatvių remontui, žvyrkelių ir sodų teritorijose esančių gatvių asfaltavimui, pėsčiųjų ir dviračių takų, šaligatvių įrengimui, vaikų žaidimų aikštelių įrengimui, vilniečių kiemų – neužstatytų bendrų plotų kiemuose pavertimui patogiomis kaimyniškomis</w:t>
      </w:r>
      <w:r w:rsidR="008C0967">
        <w:t xml:space="preserve"> erdvėmis (</w:t>
      </w:r>
      <w:proofErr w:type="spellStart"/>
      <w:r w:rsidR="008C0967">
        <w:t>Kaimynijų</w:t>
      </w:r>
      <w:proofErr w:type="spellEnd"/>
      <w:r w:rsidR="008C0967">
        <w:t xml:space="preserve"> programa);</w:t>
      </w:r>
      <w:r w:rsidR="00E360E8">
        <w:t> </w:t>
      </w:r>
      <w:r w:rsidR="00E360E8">
        <w:rPr>
          <w:color w:val="000000"/>
        </w:rPr>
        <w:t xml:space="preserve">inovatyvių darnaus judumo ir eismo saugos priemonių diegimui; </w:t>
      </w:r>
      <w:r w:rsidR="00E360E8">
        <w:t>vykdomų baseinų statybų tęstinumui;</w:t>
      </w:r>
      <w:r w:rsidR="00E360E8">
        <w:rPr>
          <w:color w:val="000000"/>
        </w:rPr>
        <w:t xml:space="preserve"> tęsiamas </w:t>
      </w:r>
      <w:r w:rsidR="00E360E8">
        <w:t>sporto aikštelių viešosiose erdvėse ir prie mokyklų įrengimas; socialinių paslaugų srities darbuotojų darbo užmokesčio padidinimui ir šeimos gydytojo institucijos stiprinimui; didelis dėmesys skiriamas Lietuvos Valstybės atkūrimo šimtmečio paminėjimui.</w:t>
      </w:r>
    </w:p>
    <w:p w:rsidR="00730549" w:rsidRPr="005309FA" w:rsidRDefault="00730549" w:rsidP="00730549">
      <w:pPr>
        <w:tabs>
          <w:tab w:val="left" w:pos="567"/>
        </w:tabs>
        <w:spacing w:line="360" w:lineRule="auto"/>
        <w:ind w:right="-1" w:firstLine="567"/>
        <w:jc w:val="both"/>
      </w:pPr>
      <w:r w:rsidRPr="00F3412E">
        <w:tab/>
      </w:r>
      <w:r w:rsidRPr="005309FA">
        <w:t>PRIDEDAMA:</w:t>
      </w:r>
    </w:p>
    <w:p w:rsidR="00730549" w:rsidRPr="00B354BD" w:rsidRDefault="00730549" w:rsidP="00730549">
      <w:pPr>
        <w:pStyle w:val="Betarp"/>
        <w:tabs>
          <w:tab w:val="left" w:pos="567"/>
        </w:tabs>
        <w:spacing w:line="360" w:lineRule="auto"/>
        <w:ind w:right="-1" w:firstLine="567"/>
        <w:jc w:val="both"/>
      </w:pPr>
      <w:r w:rsidRPr="00B354BD">
        <w:t>1 priedas. Savivaldybės 201</w:t>
      </w:r>
      <w:r>
        <w:t>8</w:t>
      </w:r>
      <w:r w:rsidRPr="00B354BD">
        <w:t xml:space="preserve"> metų biudžeto prognozuojami finansiniai šaltiniai, </w:t>
      </w:r>
      <w:r>
        <w:t>1 lapas</w:t>
      </w:r>
      <w:r w:rsidRPr="00B354BD">
        <w:t>.</w:t>
      </w:r>
    </w:p>
    <w:p w:rsidR="00730549" w:rsidRDefault="00730549" w:rsidP="00730549">
      <w:pPr>
        <w:pStyle w:val="Betarp"/>
        <w:tabs>
          <w:tab w:val="left" w:pos="567"/>
        </w:tabs>
        <w:spacing w:line="360" w:lineRule="auto"/>
        <w:ind w:right="-1" w:firstLine="567"/>
        <w:jc w:val="both"/>
      </w:pPr>
      <w:r>
        <w:t>2</w:t>
      </w:r>
      <w:r w:rsidRPr="00B354BD">
        <w:t xml:space="preserve"> priedas. Savivaldybės biudžeto prognozuojamos pajamos pagal LR valstybės biudžeto ir savivaldybių biudžetų finansinių rodiklių patvirtinimo įstatymus </w:t>
      </w:r>
      <w:r>
        <w:t>2017–</w:t>
      </w:r>
      <w:r w:rsidRPr="00B354BD">
        <w:t>201</w:t>
      </w:r>
      <w:r>
        <w:t>8</w:t>
      </w:r>
      <w:r w:rsidRPr="00B354BD">
        <w:t xml:space="preserve"> m., 1 lapas.</w:t>
      </w:r>
    </w:p>
    <w:p w:rsidR="00730549" w:rsidRPr="00B354BD" w:rsidRDefault="00730549" w:rsidP="00730549">
      <w:pPr>
        <w:pStyle w:val="Betarp"/>
        <w:tabs>
          <w:tab w:val="left" w:pos="567"/>
        </w:tabs>
        <w:spacing w:line="360" w:lineRule="auto"/>
        <w:ind w:right="-1" w:firstLine="567"/>
        <w:jc w:val="both"/>
      </w:pPr>
      <w:r>
        <w:t>3</w:t>
      </w:r>
      <w:r w:rsidRPr="00B354BD">
        <w:t xml:space="preserve"> priedas. Savivaldybės 201</w:t>
      </w:r>
      <w:r>
        <w:t>8</w:t>
      </w:r>
      <w:r w:rsidRPr="00B354BD">
        <w:t xml:space="preserve"> metų biudžeto prognozuojamos pajamos, 1 lapas.</w:t>
      </w:r>
    </w:p>
    <w:p w:rsidR="00730549" w:rsidRPr="00B354BD" w:rsidRDefault="00730549" w:rsidP="00730549">
      <w:pPr>
        <w:pStyle w:val="Betarp"/>
        <w:tabs>
          <w:tab w:val="left" w:pos="567"/>
        </w:tabs>
        <w:spacing w:line="360" w:lineRule="auto"/>
        <w:ind w:right="-1" w:firstLine="567"/>
        <w:jc w:val="both"/>
      </w:pPr>
      <w:r w:rsidRPr="00B354BD">
        <w:t>4 priedas. Savivaldybės 201</w:t>
      </w:r>
      <w:r>
        <w:t>8</w:t>
      </w:r>
      <w:r w:rsidRPr="00B354BD">
        <w:t xml:space="preserve"> metų biudžeto pajamų plano projekto palyginimas su 201</w:t>
      </w:r>
      <w:r>
        <w:t>7</w:t>
      </w:r>
      <w:r w:rsidRPr="00B354BD">
        <w:t xml:space="preserve"> metų patvirtintu biudžetu, 2 lapai.</w:t>
      </w:r>
    </w:p>
    <w:p w:rsidR="00730549" w:rsidRPr="00395A3A" w:rsidRDefault="00730549" w:rsidP="00730549">
      <w:pPr>
        <w:pStyle w:val="Betarp"/>
        <w:tabs>
          <w:tab w:val="left" w:pos="567"/>
        </w:tabs>
        <w:spacing w:line="360" w:lineRule="auto"/>
        <w:ind w:right="-1" w:firstLine="567"/>
        <w:jc w:val="both"/>
      </w:pPr>
      <w:r w:rsidRPr="00395A3A">
        <w:t>5 priedas. Savivaldybės biudžeto pajamų struktūra 2017–2018 m., 1 lapas.</w:t>
      </w:r>
    </w:p>
    <w:p w:rsidR="00730549" w:rsidRPr="00F4419E" w:rsidRDefault="00730549" w:rsidP="00730549">
      <w:pPr>
        <w:pStyle w:val="Betarp"/>
        <w:tabs>
          <w:tab w:val="left" w:pos="567"/>
        </w:tabs>
        <w:spacing w:line="360" w:lineRule="auto"/>
        <w:ind w:right="-1" w:firstLine="567"/>
        <w:jc w:val="both"/>
      </w:pPr>
      <w:r w:rsidRPr="00F4419E">
        <w:t>6 priedas. Savivaldybės 2018 m. biudžeto projekto lyginamoji lentelė pagal asignavimų valdytojus ir programas iš visų finansavimo šaltinių, 4 lapai.</w:t>
      </w:r>
    </w:p>
    <w:p w:rsidR="00730549" w:rsidRPr="003A1F37" w:rsidRDefault="00730549" w:rsidP="00730549">
      <w:pPr>
        <w:pStyle w:val="Betarp"/>
        <w:tabs>
          <w:tab w:val="left" w:pos="567"/>
        </w:tabs>
        <w:spacing w:line="360" w:lineRule="auto"/>
        <w:ind w:right="-1" w:firstLine="567"/>
        <w:jc w:val="both"/>
      </w:pPr>
      <w:r w:rsidRPr="00F4419E">
        <w:t xml:space="preserve">7 priedas. Turto departamento 2018 m. biudžeto projekto lyginamoji lentelė (be dotacijų), 1 </w:t>
      </w:r>
      <w:r w:rsidRPr="003A1F37">
        <w:t>lapas.</w:t>
      </w:r>
    </w:p>
    <w:p w:rsidR="00730549" w:rsidRPr="003A1F37" w:rsidRDefault="00730549" w:rsidP="00730549">
      <w:pPr>
        <w:pStyle w:val="Betarp"/>
        <w:tabs>
          <w:tab w:val="left" w:pos="567"/>
        </w:tabs>
        <w:spacing w:line="360" w:lineRule="auto"/>
        <w:ind w:right="-1" w:firstLine="567"/>
        <w:jc w:val="both"/>
      </w:pPr>
      <w:r w:rsidRPr="003A1F37">
        <w:t>8 priedas. E. miesto departamento 2018 m. biudžeto projekto lyginamoji lentelė (be dotacijų), 1 lapas.</w:t>
      </w:r>
    </w:p>
    <w:p w:rsidR="00730549" w:rsidRPr="000B5EA5" w:rsidRDefault="00730549" w:rsidP="00730549">
      <w:pPr>
        <w:pStyle w:val="Betarp"/>
        <w:tabs>
          <w:tab w:val="left" w:pos="567"/>
        </w:tabs>
        <w:spacing w:line="360" w:lineRule="auto"/>
        <w:ind w:right="-1" w:firstLine="567"/>
        <w:jc w:val="both"/>
      </w:pPr>
      <w:r w:rsidRPr="000B5EA5">
        <w:t>9 priedas. Kontrolės ir audito tarnybos 2018 m. biudžeto projekto lyginamoji lentelė (be dotacijų), 1 lapas.</w:t>
      </w:r>
    </w:p>
    <w:p w:rsidR="00730549" w:rsidRDefault="00730549" w:rsidP="00730549">
      <w:pPr>
        <w:pStyle w:val="Betarp"/>
        <w:tabs>
          <w:tab w:val="left" w:pos="567"/>
        </w:tabs>
        <w:spacing w:line="360" w:lineRule="auto"/>
        <w:ind w:right="-1" w:firstLine="567"/>
        <w:jc w:val="both"/>
      </w:pPr>
      <w:r w:rsidRPr="00DC1245">
        <w:t>10 priedas. Saugaus miesto departamento 2018 m. biudžeto projekto lyginamoji lentelė (be dotacijų), 2 lapai.</w:t>
      </w:r>
    </w:p>
    <w:p w:rsidR="00730549" w:rsidRDefault="00730549" w:rsidP="00730549">
      <w:pPr>
        <w:pStyle w:val="Betarp"/>
        <w:tabs>
          <w:tab w:val="left" w:pos="567"/>
        </w:tabs>
        <w:spacing w:line="360" w:lineRule="auto"/>
        <w:ind w:right="-1" w:firstLine="567"/>
        <w:jc w:val="both"/>
      </w:pPr>
      <w:r w:rsidRPr="00DC1245">
        <w:t>11 priedas. Miesto plėtros departamento 2018 m. biudžeto projekto lyginamoji lentelė (be dotacijų), 4 lapai.</w:t>
      </w:r>
    </w:p>
    <w:p w:rsidR="00730549" w:rsidRDefault="00730549" w:rsidP="00730549">
      <w:pPr>
        <w:pStyle w:val="Betarp"/>
        <w:tabs>
          <w:tab w:val="left" w:pos="567"/>
        </w:tabs>
        <w:spacing w:line="360" w:lineRule="auto"/>
        <w:ind w:right="-1" w:firstLine="567"/>
        <w:jc w:val="both"/>
      </w:pPr>
      <w:r w:rsidRPr="000B5EA5">
        <w:t>1</w:t>
      </w:r>
      <w:r>
        <w:t>2</w:t>
      </w:r>
      <w:r w:rsidRPr="000B5EA5">
        <w:t xml:space="preserve"> </w:t>
      </w:r>
      <w:r w:rsidRPr="00DC1245">
        <w:t xml:space="preserve">priedas. Socialinių reikalų ir sveikatos departamento 2018 m. biudžeto projekto lyginamoji lentelė (be dotacijų), </w:t>
      </w:r>
      <w:r>
        <w:t xml:space="preserve">14 </w:t>
      </w:r>
      <w:r w:rsidRPr="00DC1245">
        <w:t>lap</w:t>
      </w:r>
      <w:r>
        <w:t>ų</w:t>
      </w:r>
      <w:r w:rsidRPr="00DC1245">
        <w:t>.</w:t>
      </w:r>
    </w:p>
    <w:p w:rsidR="00730549" w:rsidRDefault="00730549" w:rsidP="00730549">
      <w:pPr>
        <w:pStyle w:val="Betarp"/>
        <w:tabs>
          <w:tab w:val="left" w:pos="567"/>
        </w:tabs>
        <w:spacing w:line="360" w:lineRule="auto"/>
        <w:ind w:right="-1" w:firstLine="567"/>
        <w:jc w:val="both"/>
      </w:pPr>
      <w:r w:rsidRPr="001B2441">
        <w:t>1</w:t>
      </w:r>
      <w:r>
        <w:t>3</w:t>
      </w:r>
      <w:r w:rsidRPr="001B2441">
        <w:t xml:space="preserve"> priedas. </w:t>
      </w:r>
      <w:r w:rsidRPr="00DC1245">
        <w:t>Miesto ūkio ir transporto departamento 2018 m. biudžeto projekto lyginamoji lentelė (be dotacijų), 12 lapų.</w:t>
      </w:r>
    </w:p>
    <w:p w:rsidR="00730549" w:rsidRPr="00DC1245" w:rsidRDefault="00730549" w:rsidP="00730549">
      <w:pPr>
        <w:pStyle w:val="Betarp"/>
        <w:tabs>
          <w:tab w:val="left" w:pos="567"/>
        </w:tabs>
        <w:spacing w:line="360" w:lineRule="auto"/>
        <w:ind w:right="-1" w:firstLine="567"/>
        <w:jc w:val="both"/>
      </w:pPr>
      <w:r w:rsidRPr="00DC1245">
        <w:t>14 priedas. Savivaldybės administracijos 2018 m. biudžeto projekto lyginamoji lentelė (be dotacijų), 9 lapai.</w:t>
      </w:r>
    </w:p>
    <w:p w:rsidR="00730549" w:rsidRPr="000B5EA5" w:rsidRDefault="00730549" w:rsidP="00730549">
      <w:pPr>
        <w:pStyle w:val="Betarp"/>
        <w:tabs>
          <w:tab w:val="left" w:pos="567"/>
        </w:tabs>
        <w:spacing w:line="360" w:lineRule="auto"/>
        <w:ind w:right="-1" w:firstLine="567"/>
        <w:jc w:val="both"/>
      </w:pPr>
      <w:r w:rsidRPr="00DC1245">
        <w:t>15 priedas. Švietimo, kultūros ir sporto departamento 2018 m. biudžeto projekto lyginamoji lentelė (be dotacijų), 10 lapų.</w:t>
      </w:r>
    </w:p>
    <w:p w:rsidR="00730549" w:rsidRDefault="00730549" w:rsidP="00730549">
      <w:pPr>
        <w:tabs>
          <w:tab w:val="left" w:pos="567"/>
        </w:tabs>
        <w:spacing w:line="360" w:lineRule="auto"/>
        <w:jc w:val="both"/>
      </w:pPr>
    </w:p>
    <w:p w:rsidR="004368AF" w:rsidRDefault="004368AF" w:rsidP="00730549">
      <w:pPr>
        <w:tabs>
          <w:tab w:val="left" w:pos="567"/>
        </w:tabs>
        <w:spacing w:line="360" w:lineRule="auto"/>
        <w:jc w:val="both"/>
      </w:pPr>
    </w:p>
    <w:p w:rsidR="00730549" w:rsidRDefault="00730549" w:rsidP="00730549">
      <w:pPr>
        <w:tabs>
          <w:tab w:val="left" w:pos="567"/>
        </w:tabs>
        <w:spacing w:line="360" w:lineRule="auto"/>
        <w:jc w:val="both"/>
      </w:pPr>
      <w:r>
        <w:t xml:space="preserve">Departamento direktorius                                               </w:t>
      </w:r>
      <w:r w:rsidRPr="00C3618C">
        <w:t xml:space="preserve">   </w:t>
      </w:r>
      <w:r>
        <w:t xml:space="preserve">                                           Darius Leišys</w:t>
      </w:r>
    </w:p>
    <w:p w:rsidR="00D0321C" w:rsidRDefault="00D0321C" w:rsidP="00730549">
      <w:pPr>
        <w:spacing w:line="360" w:lineRule="auto"/>
        <w:ind w:firstLine="567"/>
        <w:jc w:val="both"/>
      </w:pPr>
    </w:p>
    <w:sectPr w:rsidR="00D0321C" w:rsidSect="00B3572A">
      <w:headerReference w:type="even" r:id="rId8"/>
      <w:headerReference w:type="default" r:id="rId9"/>
      <w:footerReference w:type="even" r:id="rId10"/>
      <w:footerReference w:type="default" r:id="rId11"/>
      <w:type w:val="continuous"/>
      <w:pgSz w:w="11906" w:h="16838"/>
      <w:pgMar w:top="1134" w:right="567" w:bottom="851" w:left="1701" w:header="567" w:footer="567" w:gutter="0"/>
      <w:pgNumType w:start="1"/>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B36" w:rsidRDefault="00895B36">
      <w:r>
        <w:separator/>
      </w:r>
    </w:p>
  </w:endnote>
  <w:endnote w:type="continuationSeparator" w:id="0">
    <w:p w:rsidR="00895B36" w:rsidRDefault="0089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E5" w:rsidRDefault="001C73E5" w:rsidP="00B3572A">
    <w:pPr>
      <w:pStyle w:val="Porat"/>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end"/>
    </w:r>
  </w:p>
  <w:p w:rsidR="00047CEF" w:rsidRDefault="00047C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CEF" w:rsidRDefault="00047CEF" w:rsidP="00B3572A">
    <w:pPr>
      <w:pStyle w:val="Por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B36" w:rsidRDefault="00895B36">
      <w:r>
        <w:separator/>
      </w:r>
    </w:p>
  </w:footnote>
  <w:footnote w:type="continuationSeparator" w:id="0">
    <w:p w:rsidR="00895B36" w:rsidRDefault="00895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72A" w:rsidRDefault="00B3572A" w:rsidP="00965E23">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end"/>
    </w:r>
  </w:p>
  <w:p w:rsidR="00B3572A" w:rsidRDefault="00B3572A">
    <w:pPr>
      <w:pStyle w:val="Antrat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72A" w:rsidRDefault="00B3572A" w:rsidP="00965E23">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008C0967">
      <w:rPr>
        <w:rStyle w:val="Puslapionumeris"/>
        <w:noProof/>
      </w:rPr>
      <w:t>2</w:t>
    </w:r>
    <w:r>
      <w:rPr>
        <w:rStyle w:val="Puslapionumeris"/>
      </w:rPr>
      <w:fldChar w:fldCharType="end"/>
    </w:r>
  </w:p>
  <w:p w:rsidR="00047CEF" w:rsidRDefault="00FD37C6" w:rsidP="00B3572A">
    <w:pPr>
      <w:pStyle w:val="Antrats"/>
      <w:tabs>
        <w:tab w:val="clear" w:pos="9638"/>
      </w:tabs>
    </w:pPr>
    <w:r>
      <w:rPr>
        <w:noProof/>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151130" cy="17335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CEF" w:rsidRPr="00B3572A" w:rsidRDefault="00047CEF" w:rsidP="00B3572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11.9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" stroked="f">
              <v:fill opacity="0"/>
              <v:textbox inset="0,0,0,0">
                <w:txbxContent>
                  <w:p w:rsidR="00047CEF" w:rsidRPr="00B3572A" w:rsidRDefault="00047CEF" w:rsidP="00B3572A"/>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Antrat1"/>
      <w:suff w:val="nothing"/>
      <w:lvlText w:val=""/>
      <w:lvlJc w:val="left"/>
      <w:pPr>
        <w:tabs>
          <w:tab w:val="num" w:pos="0"/>
        </w:tabs>
        <w:ind w:left="432" w:hanging="432"/>
      </w:pPr>
    </w:lvl>
    <w:lvl w:ilvl="1">
      <w:start w:val="1"/>
      <w:numFmt w:val="none"/>
      <w:pStyle w:val="Antrat2"/>
      <w:suff w:val="nothing"/>
      <w:lvlText w:val=""/>
      <w:lvlJc w:val="left"/>
      <w:pPr>
        <w:tabs>
          <w:tab w:val="num" w:pos="0"/>
        </w:tabs>
        <w:ind w:left="576" w:hanging="576"/>
      </w:pPr>
    </w:lvl>
    <w:lvl w:ilvl="2">
      <w:start w:val="1"/>
      <w:numFmt w:val="none"/>
      <w:pStyle w:val="Antrat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1A4C0CAC"/>
    <w:multiLevelType w:val="hybridMultilevel"/>
    <w:tmpl w:val="B224B7FC"/>
    <w:lvl w:ilvl="0" w:tplc="A6AA5050">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EDD43F7"/>
    <w:multiLevelType w:val="multilevel"/>
    <w:tmpl w:val="8D54424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160429"/>
    <w:multiLevelType w:val="hybridMultilevel"/>
    <w:tmpl w:val="07B05F00"/>
    <w:lvl w:ilvl="0" w:tplc="5216746E">
      <w:start w:val="2015"/>
      <w:numFmt w:val="bullet"/>
      <w:lvlText w:val="-"/>
      <w:lvlJc w:val="left"/>
      <w:pPr>
        <w:ind w:left="1262" w:hanging="360"/>
      </w:pPr>
      <w:rPr>
        <w:rFonts w:ascii="Times New Roman" w:eastAsia="Times New Roman" w:hAnsi="Times New Roman" w:cs="Times New Roman" w:hint="default"/>
        <w:b/>
      </w:rPr>
    </w:lvl>
    <w:lvl w:ilvl="1" w:tplc="04270003" w:tentative="1">
      <w:start w:val="1"/>
      <w:numFmt w:val="bullet"/>
      <w:lvlText w:val="o"/>
      <w:lvlJc w:val="left"/>
      <w:pPr>
        <w:ind w:left="1982" w:hanging="360"/>
      </w:pPr>
      <w:rPr>
        <w:rFonts w:ascii="Courier New" w:hAnsi="Courier New" w:cs="Courier New" w:hint="default"/>
      </w:rPr>
    </w:lvl>
    <w:lvl w:ilvl="2" w:tplc="04270005" w:tentative="1">
      <w:start w:val="1"/>
      <w:numFmt w:val="bullet"/>
      <w:lvlText w:val=""/>
      <w:lvlJc w:val="left"/>
      <w:pPr>
        <w:ind w:left="2702" w:hanging="360"/>
      </w:pPr>
      <w:rPr>
        <w:rFonts w:ascii="Wingdings" w:hAnsi="Wingdings" w:hint="default"/>
      </w:rPr>
    </w:lvl>
    <w:lvl w:ilvl="3" w:tplc="04270001" w:tentative="1">
      <w:start w:val="1"/>
      <w:numFmt w:val="bullet"/>
      <w:lvlText w:val=""/>
      <w:lvlJc w:val="left"/>
      <w:pPr>
        <w:ind w:left="3422" w:hanging="360"/>
      </w:pPr>
      <w:rPr>
        <w:rFonts w:ascii="Symbol" w:hAnsi="Symbol" w:hint="default"/>
      </w:rPr>
    </w:lvl>
    <w:lvl w:ilvl="4" w:tplc="04270003" w:tentative="1">
      <w:start w:val="1"/>
      <w:numFmt w:val="bullet"/>
      <w:lvlText w:val="o"/>
      <w:lvlJc w:val="left"/>
      <w:pPr>
        <w:ind w:left="4142" w:hanging="360"/>
      </w:pPr>
      <w:rPr>
        <w:rFonts w:ascii="Courier New" w:hAnsi="Courier New" w:cs="Courier New" w:hint="default"/>
      </w:rPr>
    </w:lvl>
    <w:lvl w:ilvl="5" w:tplc="04270005" w:tentative="1">
      <w:start w:val="1"/>
      <w:numFmt w:val="bullet"/>
      <w:lvlText w:val=""/>
      <w:lvlJc w:val="left"/>
      <w:pPr>
        <w:ind w:left="4862" w:hanging="360"/>
      </w:pPr>
      <w:rPr>
        <w:rFonts w:ascii="Wingdings" w:hAnsi="Wingdings" w:hint="default"/>
      </w:rPr>
    </w:lvl>
    <w:lvl w:ilvl="6" w:tplc="04270001" w:tentative="1">
      <w:start w:val="1"/>
      <w:numFmt w:val="bullet"/>
      <w:lvlText w:val=""/>
      <w:lvlJc w:val="left"/>
      <w:pPr>
        <w:ind w:left="5582" w:hanging="360"/>
      </w:pPr>
      <w:rPr>
        <w:rFonts w:ascii="Symbol" w:hAnsi="Symbol" w:hint="default"/>
      </w:rPr>
    </w:lvl>
    <w:lvl w:ilvl="7" w:tplc="04270003" w:tentative="1">
      <w:start w:val="1"/>
      <w:numFmt w:val="bullet"/>
      <w:lvlText w:val="o"/>
      <w:lvlJc w:val="left"/>
      <w:pPr>
        <w:ind w:left="6302" w:hanging="360"/>
      </w:pPr>
      <w:rPr>
        <w:rFonts w:ascii="Courier New" w:hAnsi="Courier New" w:cs="Courier New" w:hint="default"/>
      </w:rPr>
    </w:lvl>
    <w:lvl w:ilvl="8" w:tplc="04270005" w:tentative="1">
      <w:start w:val="1"/>
      <w:numFmt w:val="bullet"/>
      <w:lvlText w:val=""/>
      <w:lvlJc w:val="left"/>
      <w:pPr>
        <w:ind w:left="7022" w:hanging="360"/>
      </w:pPr>
      <w:rPr>
        <w:rFonts w:ascii="Wingdings" w:hAnsi="Wingdings" w:hint="default"/>
      </w:rPr>
    </w:lvl>
  </w:abstractNum>
  <w:abstractNum w:abstractNumId="5" w15:restartNumberingAfterBreak="0">
    <w:nsid w:val="2EF352AB"/>
    <w:multiLevelType w:val="hybridMultilevel"/>
    <w:tmpl w:val="A0542A66"/>
    <w:lvl w:ilvl="0" w:tplc="00000002">
      <w:start w:val="1"/>
      <w:numFmt w:val="bullet"/>
      <w:lvlText w:val=""/>
      <w:lvlJc w:val="left"/>
      <w:pPr>
        <w:tabs>
          <w:tab w:val="num" w:pos="720"/>
        </w:tabs>
        <w:ind w:left="720" w:hanging="360"/>
      </w:pPr>
      <w:rPr>
        <w:rFonts w:ascii="Symbol" w:hAnsi="Symbol" w:cs="Symbol"/>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E52DEF"/>
    <w:multiLevelType w:val="hybridMultilevel"/>
    <w:tmpl w:val="7BA03A60"/>
    <w:lvl w:ilvl="0" w:tplc="A6AA5050">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6A72FC2"/>
    <w:multiLevelType w:val="hybridMultilevel"/>
    <w:tmpl w:val="10BA05C2"/>
    <w:lvl w:ilvl="0" w:tplc="48F2D146">
      <w:start w:val="3"/>
      <w:numFmt w:val="bullet"/>
      <w:lvlText w:val="-"/>
      <w:lvlJc w:val="left"/>
      <w:pPr>
        <w:ind w:left="1200" w:hanging="360"/>
      </w:pPr>
      <w:rPr>
        <w:rFonts w:ascii="Times New Roman" w:eastAsia="Times New Roman" w:hAnsi="Times New Roman" w:cs="Times New Roman" w:hint="default"/>
      </w:rPr>
    </w:lvl>
    <w:lvl w:ilvl="1" w:tplc="04270003" w:tentative="1">
      <w:start w:val="1"/>
      <w:numFmt w:val="bullet"/>
      <w:lvlText w:val="o"/>
      <w:lvlJc w:val="left"/>
      <w:pPr>
        <w:ind w:left="1920" w:hanging="360"/>
      </w:pPr>
      <w:rPr>
        <w:rFonts w:ascii="Courier New" w:hAnsi="Courier New" w:cs="Courier New" w:hint="default"/>
      </w:rPr>
    </w:lvl>
    <w:lvl w:ilvl="2" w:tplc="04270005" w:tentative="1">
      <w:start w:val="1"/>
      <w:numFmt w:val="bullet"/>
      <w:lvlText w:val=""/>
      <w:lvlJc w:val="left"/>
      <w:pPr>
        <w:ind w:left="2640" w:hanging="360"/>
      </w:pPr>
      <w:rPr>
        <w:rFonts w:ascii="Wingdings" w:hAnsi="Wingdings" w:hint="default"/>
      </w:rPr>
    </w:lvl>
    <w:lvl w:ilvl="3" w:tplc="04270001" w:tentative="1">
      <w:start w:val="1"/>
      <w:numFmt w:val="bullet"/>
      <w:lvlText w:val=""/>
      <w:lvlJc w:val="left"/>
      <w:pPr>
        <w:ind w:left="3360" w:hanging="360"/>
      </w:pPr>
      <w:rPr>
        <w:rFonts w:ascii="Symbol" w:hAnsi="Symbol" w:hint="default"/>
      </w:rPr>
    </w:lvl>
    <w:lvl w:ilvl="4" w:tplc="04270003" w:tentative="1">
      <w:start w:val="1"/>
      <w:numFmt w:val="bullet"/>
      <w:lvlText w:val="o"/>
      <w:lvlJc w:val="left"/>
      <w:pPr>
        <w:ind w:left="4080" w:hanging="360"/>
      </w:pPr>
      <w:rPr>
        <w:rFonts w:ascii="Courier New" w:hAnsi="Courier New" w:cs="Courier New" w:hint="default"/>
      </w:rPr>
    </w:lvl>
    <w:lvl w:ilvl="5" w:tplc="04270005" w:tentative="1">
      <w:start w:val="1"/>
      <w:numFmt w:val="bullet"/>
      <w:lvlText w:val=""/>
      <w:lvlJc w:val="left"/>
      <w:pPr>
        <w:ind w:left="4800" w:hanging="360"/>
      </w:pPr>
      <w:rPr>
        <w:rFonts w:ascii="Wingdings" w:hAnsi="Wingdings" w:hint="default"/>
      </w:rPr>
    </w:lvl>
    <w:lvl w:ilvl="6" w:tplc="04270001" w:tentative="1">
      <w:start w:val="1"/>
      <w:numFmt w:val="bullet"/>
      <w:lvlText w:val=""/>
      <w:lvlJc w:val="left"/>
      <w:pPr>
        <w:ind w:left="5520" w:hanging="360"/>
      </w:pPr>
      <w:rPr>
        <w:rFonts w:ascii="Symbol" w:hAnsi="Symbol" w:hint="default"/>
      </w:rPr>
    </w:lvl>
    <w:lvl w:ilvl="7" w:tplc="04270003" w:tentative="1">
      <w:start w:val="1"/>
      <w:numFmt w:val="bullet"/>
      <w:lvlText w:val="o"/>
      <w:lvlJc w:val="left"/>
      <w:pPr>
        <w:ind w:left="6240" w:hanging="360"/>
      </w:pPr>
      <w:rPr>
        <w:rFonts w:ascii="Courier New" w:hAnsi="Courier New" w:cs="Courier New" w:hint="default"/>
      </w:rPr>
    </w:lvl>
    <w:lvl w:ilvl="8" w:tplc="04270005" w:tentative="1">
      <w:start w:val="1"/>
      <w:numFmt w:val="bullet"/>
      <w:lvlText w:val=""/>
      <w:lvlJc w:val="left"/>
      <w:pPr>
        <w:ind w:left="6960" w:hanging="360"/>
      </w:pPr>
      <w:rPr>
        <w:rFonts w:ascii="Wingdings" w:hAnsi="Wingdings" w:hint="default"/>
      </w:rPr>
    </w:lvl>
  </w:abstractNum>
  <w:abstractNum w:abstractNumId="8" w15:restartNumberingAfterBreak="0">
    <w:nsid w:val="474436B6"/>
    <w:multiLevelType w:val="hybridMultilevel"/>
    <w:tmpl w:val="32704F7A"/>
    <w:lvl w:ilvl="0" w:tplc="00000002">
      <w:start w:val="1"/>
      <w:numFmt w:val="bullet"/>
      <w:lvlText w:val=""/>
      <w:lvlJc w:val="left"/>
      <w:pPr>
        <w:tabs>
          <w:tab w:val="num" w:pos="1440"/>
        </w:tabs>
        <w:ind w:left="1440" w:hanging="360"/>
      </w:pPr>
      <w:rPr>
        <w:rFonts w:ascii="Symbol" w:hAnsi="Symbol" w:cs="Symbol"/>
      </w:rPr>
    </w:lvl>
    <w:lvl w:ilvl="1" w:tplc="04270003" w:tentative="1">
      <w:start w:val="1"/>
      <w:numFmt w:val="bullet"/>
      <w:lvlText w:val="o"/>
      <w:lvlJc w:val="left"/>
      <w:pPr>
        <w:tabs>
          <w:tab w:val="num" w:pos="2160"/>
        </w:tabs>
        <w:ind w:left="2160" w:hanging="360"/>
      </w:pPr>
      <w:rPr>
        <w:rFonts w:ascii="Courier New" w:hAnsi="Courier New" w:cs="Courier New" w:hint="default"/>
      </w:rPr>
    </w:lvl>
    <w:lvl w:ilvl="2" w:tplc="04270005" w:tentative="1">
      <w:start w:val="1"/>
      <w:numFmt w:val="bullet"/>
      <w:lvlText w:val=""/>
      <w:lvlJc w:val="left"/>
      <w:pPr>
        <w:tabs>
          <w:tab w:val="num" w:pos="2880"/>
        </w:tabs>
        <w:ind w:left="2880" w:hanging="360"/>
      </w:pPr>
      <w:rPr>
        <w:rFonts w:ascii="Wingdings" w:hAnsi="Wingdings" w:hint="default"/>
      </w:rPr>
    </w:lvl>
    <w:lvl w:ilvl="3" w:tplc="04270001" w:tentative="1">
      <w:start w:val="1"/>
      <w:numFmt w:val="bullet"/>
      <w:lvlText w:val=""/>
      <w:lvlJc w:val="left"/>
      <w:pPr>
        <w:tabs>
          <w:tab w:val="num" w:pos="3600"/>
        </w:tabs>
        <w:ind w:left="3600" w:hanging="360"/>
      </w:pPr>
      <w:rPr>
        <w:rFonts w:ascii="Symbol" w:hAnsi="Symbol" w:hint="default"/>
      </w:rPr>
    </w:lvl>
    <w:lvl w:ilvl="4" w:tplc="04270003" w:tentative="1">
      <w:start w:val="1"/>
      <w:numFmt w:val="bullet"/>
      <w:lvlText w:val="o"/>
      <w:lvlJc w:val="left"/>
      <w:pPr>
        <w:tabs>
          <w:tab w:val="num" w:pos="4320"/>
        </w:tabs>
        <w:ind w:left="4320" w:hanging="360"/>
      </w:pPr>
      <w:rPr>
        <w:rFonts w:ascii="Courier New" w:hAnsi="Courier New" w:cs="Courier New" w:hint="default"/>
      </w:rPr>
    </w:lvl>
    <w:lvl w:ilvl="5" w:tplc="04270005" w:tentative="1">
      <w:start w:val="1"/>
      <w:numFmt w:val="bullet"/>
      <w:lvlText w:val=""/>
      <w:lvlJc w:val="left"/>
      <w:pPr>
        <w:tabs>
          <w:tab w:val="num" w:pos="5040"/>
        </w:tabs>
        <w:ind w:left="5040" w:hanging="360"/>
      </w:pPr>
      <w:rPr>
        <w:rFonts w:ascii="Wingdings" w:hAnsi="Wingdings" w:hint="default"/>
      </w:rPr>
    </w:lvl>
    <w:lvl w:ilvl="6" w:tplc="04270001" w:tentative="1">
      <w:start w:val="1"/>
      <w:numFmt w:val="bullet"/>
      <w:lvlText w:val=""/>
      <w:lvlJc w:val="left"/>
      <w:pPr>
        <w:tabs>
          <w:tab w:val="num" w:pos="5760"/>
        </w:tabs>
        <w:ind w:left="5760" w:hanging="360"/>
      </w:pPr>
      <w:rPr>
        <w:rFonts w:ascii="Symbol" w:hAnsi="Symbol" w:hint="default"/>
      </w:rPr>
    </w:lvl>
    <w:lvl w:ilvl="7" w:tplc="04270003" w:tentative="1">
      <w:start w:val="1"/>
      <w:numFmt w:val="bullet"/>
      <w:lvlText w:val="o"/>
      <w:lvlJc w:val="left"/>
      <w:pPr>
        <w:tabs>
          <w:tab w:val="num" w:pos="6480"/>
        </w:tabs>
        <w:ind w:left="6480" w:hanging="360"/>
      </w:pPr>
      <w:rPr>
        <w:rFonts w:ascii="Courier New" w:hAnsi="Courier New" w:cs="Courier New" w:hint="default"/>
      </w:rPr>
    </w:lvl>
    <w:lvl w:ilvl="8" w:tplc="0427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D086581"/>
    <w:multiLevelType w:val="hybridMultilevel"/>
    <w:tmpl w:val="3FB45BC8"/>
    <w:lvl w:ilvl="0" w:tplc="724C5CEC">
      <w:start w:val="1"/>
      <w:numFmt w:val="decimal"/>
      <w:lvlText w:val="%1."/>
      <w:lvlJc w:val="left"/>
      <w:pPr>
        <w:ind w:left="928" w:hanging="360"/>
      </w:pPr>
      <w:rPr>
        <w:rFonts w:hint="default"/>
      </w:rPr>
    </w:lvl>
    <w:lvl w:ilvl="1" w:tplc="04270019" w:tentative="1">
      <w:start w:val="1"/>
      <w:numFmt w:val="lowerLetter"/>
      <w:lvlText w:val="%2."/>
      <w:lvlJc w:val="left"/>
      <w:pPr>
        <w:ind w:left="1648" w:hanging="360"/>
      </w:pPr>
    </w:lvl>
    <w:lvl w:ilvl="2" w:tplc="0427001B" w:tentative="1">
      <w:start w:val="1"/>
      <w:numFmt w:val="lowerRoman"/>
      <w:lvlText w:val="%3."/>
      <w:lvlJc w:val="right"/>
      <w:pPr>
        <w:ind w:left="2368" w:hanging="180"/>
      </w:pPr>
    </w:lvl>
    <w:lvl w:ilvl="3" w:tplc="0427000F" w:tentative="1">
      <w:start w:val="1"/>
      <w:numFmt w:val="decimal"/>
      <w:lvlText w:val="%4."/>
      <w:lvlJc w:val="left"/>
      <w:pPr>
        <w:ind w:left="3088" w:hanging="360"/>
      </w:pPr>
    </w:lvl>
    <w:lvl w:ilvl="4" w:tplc="04270019" w:tentative="1">
      <w:start w:val="1"/>
      <w:numFmt w:val="lowerLetter"/>
      <w:lvlText w:val="%5."/>
      <w:lvlJc w:val="left"/>
      <w:pPr>
        <w:ind w:left="3808" w:hanging="360"/>
      </w:pPr>
    </w:lvl>
    <w:lvl w:ilvl="5" w:tplc="0427001B" w:tentative="1">
      <w:start w:val="1"/>
      <w:numFmt w:val="lowerRoman"/>
      <w:lvlText w:val="%6."/>
      <w:lvlJc w:val="right"/>
      <w:pPr>
        <w:ind w:left="4528" w:hanging="180"/>
      </w:pPr>
    </w:lvl>
    <w:lvl w:ilvl="6" w:tplc="0427000F" w:tentative="1">
      <w:start w:val="1"/>
      <w:numFmt w:val="decimal"/>
      <w:lvlText w:val="%7."/>
      <w:lvlJc w:val="left"/>
      <w:pPr>
        <w:ind w:left="5248" w:hanging="360"/>
      </w:pPr>
    </w:lvl>
    <w:lvl w:ilvl="7" w:tplc="04270019" w:tentative="1">
      <w:start w:val="1"/>
      <w:numFmt w:val="lowerLetter"/>
      <w:lvlText w:val="%8."/>
      <w:lvlJc w:val="left"/>
      <w:pPr>
        <w:ind w:left="5968" w:hanging="360"/>
      </w:pPr>
    </w:lvl>
    <w:lvl w:ilvl="8" w:tplc="0427001B" w:tentative="1">
      <w:start w:val="1"/>
      <w:numFmt w:val="lowerRoman"/>
      <w:lvlText w:val="%9."/>
      <w:lvlJc w:val="right"/>
      <w:pPr>
        <w:ind w:left="6688" w:hanging="180"/>
      </w:pPr>
    </w:lvl>
  </w:abstractNum>
  <w:num w:numId="1">
    <w:abstractNumId w:val="0"/>
  </w:num>
  <w:num w:numId="2">
    <w:abstractNumId w:val="1"/>
  </w:num>
  <w:num w:numId="3">
    <w:abstractNumId w:val="7"/>
  </w:num>
  <w:num w:numId="4">
    <w:abstractNumId w:val="8"/>
  </w:num>
  <w:num w:numId="5">
    <w:abstractNumId w:val="5"/>
  </w:num>
  <w:num w:numId="6">
    <w:abstractNumId w:val="4"/>
  </w:num>
  <w:num w:numId="7">
    <w:abstractNumId w:val="6"/>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96"/>
  <w:defaultTableStyle w:val="prastasi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2B"/>
    <w:rsid w:val="0000088E"/>
    <w:rsid w:val="0001462A"/>
    <w:rsid w:val="00026AB4"/>
    <w:rsid w:val="00040C06"/>
    <w:rsid w:val="0004284D"/>
    <w:rsid w:val="00042F39"/>
    <w:rsid w:val="00047CEF"/>
    <w:rsid w:val="00047F20"/>
    <w:rsid w:val="00050BED"/>
    <w:rsid w:val="00052608"/>
    <w:rsid w:val="00054D7E"/>
    <w:rsid w:val="000568D4"/>
    <w:rsid w:val="00056FA6"/>
    <w:rsid w:val="00062213"/>
    <w:rsid w:val="000671E0"/>
    <w:rsid w:val="0007097E"/>
    <w:rsid w:val="00073513"/>
    <w:rsid w:val="00076F3D"/>
    <w:rsid w:val="000834C7"/>
    <w:rsid w:val="000869D2"/>
    <w:rsid w:val="00092E7E"/>
    <w:rsid w:val="00096D89"/>
    <w:rsid w:val="0009745F"/>
    <w:rsid w:val="000A1D15"/>
    <w:rsid w:val="000A2B65"/>
    <w:rsid w:val="000A374D"/>
    <w:rsid w:val="000A37E6"/>
    <w:rsid w:val="000A4919"/>
    <w:rsid w:val="000B4F42"/>
    <w:rsid w:val="000B587B"/>
    <w:rsid w:val="000B687F"/>
    <w:rsid w:val="000C25E4"/>
    <w:rsid w:val="000C2E8E"/>
    <w:rsid w:val="000C7085"/>
    <w:rsid w:val="000D1D7A"/>
    <w:rsid w:val="000E0FB7"/>
    <w:rsid w:val="000E1A8E"/>
    <w:rsid w:val="000E4FE1"/>
    <w:rsid w:val="000E63DC"/>
    <w:rsid w:val="000E6835"/>
    <w:rsid w:val="000F2934"/>
    <w:rsid w:val="000F68E0"/>
    <w:rsid w:val="00100476"/>
    <w:rsid w:val="00105A5A"/>
    <w:rsid w:val="0010788C"/>
    <w:rsid w:val="001101BE"/>
    <w:rsid w:val="00111C90"/>
    <w:rsid w:val="001157B6"/>
    <w:rsid w:val="0012273D"/>
    <w:rsid w:val="00122D7E"/>
    <w:rsid w:val="0013042E"/>
    <w:rsid w:val="00142089"/>
    <w:rsid w:val="00144087"/>
    <w:rsid w:val="001558FB"/>
    <w:rsid w:val="00161A3D"/>
    <w:rsid w:val="00163C84"/>
    <w:rsid w:val="00171C0F"/>
    <w:rsid w:val="001736E9"/>
    <w:rsid w:val="00173DA8"/>
    <w:rsid w:val="00175A71"/>
    <w:rsid w:val="00180768"/>
    <w:rsid w:val="0018202D"/>
    <w:rsid w:val="0018458D"/>
    <w:rsid w:val="00184CA0"/>
    <w:rsid w:val="00185A60"/>
    <w:rsid w:val="001866F5"/>
    <w:rsid w:val="001876FE"/>
    <w:rsid w:val="001919BD"/>
    <w:rsid w:val="00191D43"/>
    <w:rsid w:val="0019753D"/>
    <w:rsid w:val="001B2BB8"/>
    <w:rsid w:val="001B317E"/>
    <w:rsid w:val="001C73E5"/>
    <w:rsid w:val="001D442B"/>
    <w:rsid w:val="001D4C17"/>
    <w:rsid w:val="001D5187"/>
    <w:rsid w:val="001E37D6"/>
    <w:rsid w:val="001E54DC"/>
    <w:rsid w:val="001F2A06"/>
    <w:rsid w:val="00206B6E"/>
    <w:rsid w:val="002110A1"/>
    <w:rsid w:val="00214927"/>
    <w:rsid w:val="002260E4"/>
    <w:rsid w:val="002262FA"/>
    <w:rsid w:val="002268A5"/>
    <w:rsid w:val="00230A3A"/>
    <w:rsid w:val="00232793"/>
    <w:rsid w:val="00233469"/>
    <w:rsid w:val="002344B8"/>
    <w:rsid w:val="00241260"/>
    <w:rsid w:val="00241766"/>
    <w:rsid w:val="00246D27"/>
    <w:rsid w:val="00251A5E"/>
    <w:rsid w:val="00263821"/>
    <w:rsid w:val="00264598"/>
    <w:rsid w:val="002657F9"/>
    <w:rsid w:val="00270AC8"/>
    <w:rsid w:val="00271E0A"/>
    <w:rsid w:val="00276009"/>
    <w:rsid w:val="00283CFE"/>
    <w:rsid w:val="002918EC"/>
    <w:rsid w:val="00292E9D"/>
    <w:rsid w:val="00294402"/>
    <w:rsid w:val="0029705E"/>
    <w:rsid w:val="002A3670"/>
    <w:rsid w:val="002A4969"/>
    <w:rsid w:val="002A6AC5"/>
    <w:rsid w:val="002D1908"/>
    <w:rsid w:val="002D34E2"/>
    <w:rsid w:val="002E336C"/>
    <w:rsid w:val="002F2302"/>
    <w:rsid w:val="002F2EE5"/>
    <w:rsid w:val="002F3B71"/>
    <w:rsid w:val="002F5D3E"/>
    <w:rsid w:val="002F6890"/>
    <w:rsid w:val="00307AB5"/>
    <w:rsid w:val="00310646"/>
    <w:rsid w:val="0031141B"/>
    <w:rsid w:val="00320E74"/>
    <w:rsid w:val="0032449E"/>
    <w:rsid w:val="00327A5A"/>
    <w:rsid w:val="003300DB"/>
    <w:rsid w:val="003331E6"/>
    <w:rsid w:val="00334F8C"/>
    <w:rsid w:val="00336DB7"/>
    <w:rsid w:val="00337F80"/>
    <w:rsid w:val="003449C1"/>
    <w:rsid w:val="003528A9"/>
    <w:rsid w:val="00355D69"/>
    <w:rsid w:val="00355F7D"/>
    <w:rsid w:val="00356681"/>
    <w:rsid w:val="003567F6"/>
    <w:rsid w:val="00357CE1"/>
    <w:rsid w:val="00361666"/>
    <w:rsid w:val="00361B8C"/>
    <w:rsid w:val="003628D1"/>
    <w:rsid w:val="00367CFE"/>
    <w:rsid w:val="00373928"/>
    <w:rsid w:val="00387698"/>
    <w:rsid w:val="003879A2"/>
    <w:rsid w:val="00391ADA"/>
    <w:rsid w:val="00395B42"/>
    <w:rsid w:val="00396C94"/>
    <w:rsid w:val="003A210D"/>
    <w:rsid w:val="003A6D3F"/>
    <w:rsid w:val="003A7D6B"/>
    <w:rsid w:val="003B13AE"/>
    <w:rsid w:val="003B1B84"/>
    <w:rsid w:val="003C0A12"/>
    <w:rsid w:val="003C3B76"/>
    <w:rsid w:val="003C7924"/>
    <w:rsid w:val="003D6ECE"/>
    <w:rsid w:val="003D794F"/>
    <w:rsid w:val="003D7DD0"/>
    <w:rsid w:val="003E0FCA"/>
    <w:rsid w:val="003E3D0E"/>
    <w:rsid w:val="003F0071"/>
    <w:rsid w:val="003F01F5"/>
    <w:rsid w:val="00403FE2"/>
    <w:rsid w:val="00406793"/>
    <w:rsid w:val="00406834"/>
    <w:rsid w:val="004079E0"/>
    <w:rsid w:val="00411FB3"/>
    <w:rsid w:val="004120DF"/>
    <w:rsid w:val="0041312F"/>
    <w:rsid w:val="00416AA0"/>
    <w:rsid w:val="0041781C"/>
    <w:rsid w:val="00423357"/>
    <w:rsid w:val="00424D4C"/>
    <w:rsid w:val="004322E4"/>
    <w:rsid w:val="00432F83"/>
    <w:rsid w:val="00433685"/>
    <w:rsid w:val="004368AF"/>
    <w:rsid w:val="004407BC"/>
    <w:rsid w:val="00447FF9"/>
    <w:rsid w:val="00466A3F"/>
    <w:rsid w:val="0046739C"/>
    <w:rsid w:val="004730F3"/>
    <w:rsid w:val="004743C8"/>
    <w:rsid w:val="00476CA7"/>
    <w:rsid w:val="004778EF"/>
    <w:rsid w:val="00477FBC"/>
    <w:rsid w:val="00480F45"/>
    <w:rsid w:val="00481567"/>
    <w:rsid w:val="00482AE6"/>
    <w:rsid w:val="00492FEE"/>
    <w:rsid w:val="004937B8"/>
    <w:rsid w:val="00494BB8"/>
    <w:rsid w:val="0049505C"/>
    <w:rsid w:val="00495117"/>
    <w:rsid w:val="00496130"/>
    <w:rsid w:val="00496518"/>
    <w:rsid w:val="004A384B"/>
    <w:rsid w:val="004B0586"/>
    <w:rsid w:val="004B1D08"/>
    <w:rsid w:val="004B3031"/>
    <w:rsid w:val="004B3EC4"/>
    <w:rsid w:val="004B6CE9"/>
    <w:rsid w:val="004C3962"/>
    <w:rsid w:val="004C4FD4"/>
    <w:rsid w:val="004C5140"/>
    <w:rsid w:val="004C629E"/>
    <w:rsid w:val="004D054A"/>
    <w:rsid w:val="004D1BF4"/>
    <w:rsid w:val="004D32C1"/>
    <w:rsid w:val="004D38C8"/>
    <w:rsid w:val="004D5BF7"/>
    <w:rsid w:val="004D7E81"/>
    <w:rsid w:val="004E44D5"/>
    <w:rsid w:val="004E514B"/>
    <w:rsid w:val="004F228A"/>
    <w:rsid w:val="004F2C1F"/>
    <w:rsid w:val="004F6851"/>
    <w:rsid w:val="004F7670"/>
    <w:rsid w:val="005002E1"/>
    <w:rsid w:val="00500821"/>
    <w:rsid w:val="005008C7"/>
    <w:rsid w:val="00507CF6"/>
    <w:rsid w:val="00514F8D"/>
    <w:rsid w:val="00525DBC"/>
    <w:rsid w:val="00537BAD"/>
    <w:rsid w:val="005407D3"/>
    <w:rsid w:val="0054235C"/>
    <w:rsid w:val="005425E3"/>
    <w:rsid w:val="00547A5F"/>
    <w:rsid w:val="00556058"/>
    <w:rsid w:val="00556896"/>
    <w:rsid w:val="00557D48"/>
    <w:rsid w:val="00567139"/>
    <w:rsid w:val="00573591"/>
    <w:rsid w:val="00574F6D"/>
    <w:rsid w:val="005804B6"/>
    <w:rsid w:val="00580993"/>
    <w:rsid w:val="00582C71"/>
    <w:rsid w:val="00583105"/>
    <w:rsid w:val="00590278"/>
    <w:rsid w:val="00592BFB"/>
    <w:rsid w:val="00593B80"/>
    <w:rsid w:val="005A3768"/>
    <w:rsid w:val="005B2D13"/>
    <w:rsid w:val="005B4E0B"/>
    <w:rsid w:val="005C1B22"/>
    <w:rsid w:val="005D09CF"/>
    <w:rsid w:val="005D19AE"/>
    <w:rsid w:val="005D2234"/>
    <w:rsid w:val="005E4A6C"/>
    <w:rsid w:val="005E4B58"/>
    <w:rsid w:val="005E511C"/>
    <w:rsid w:val="005F3ADA"/>
    <w:rsid w:val="005F709A"/>
    <w:rsid w:val="006068B3"/>
    <w:rsid w:val="006104BA"/>
    <w:rsid w:val="0061107B"/>
    <w:rsid w:val="00614895"/>
    <w:rsid w:val="00615B3F"/>
    <w:rsid w:val="006221D3"/>
    <w:rsid w:val="00630576"/>
    <w:rsid w:val="006311B1"/>
    <w:rsid w:val="006312C3"/>
    <w:rsid w:val="00631352"/>
    <w:rsid w:val="006318B0"/>
    <w:rsid w:val="006319DE"/>
    <w:rsid w:val="00640047"/>
    <w:rsid w:val="00640660"/>
    <w:rsid w:val="0064156D"/>
    <w:rsid w:val="00644BF4"/>
    <w:rsid w:val="0064582C"/>
    <w:rsid w:val="006476E0"/>
    <w:rsid w:val="00652B54"/>
    <w:rsid w:val="00656030"/>
    <w:rsid w:val="00657025"/>
    <w:rsid w:val="006622E4"/>
    <w:rsid w:val="006630B3"/>
    <w:rsid w:val="00665AB4"/>
    <w:rsid w:val="0067296F"/>
    <w:rsid w:val="00672DAF"/>
    <w:rsid w:val="00681310"/>
    <w:rsid w:val="00682A15"/>
    <w:rsid w:val="0068477C"/>
    <w:rsid w:val="00692985"/>
    <w:rsid w:val="0069396B"/>
    <w:rsid w:val="006957FB"/>
    <w:rsid w:val="006A0C08"/>
    <w:rsid w:val="006A1A22"/>
    <w:rsid w:val="006A2629"/>
    <w:rsid w:val="006A557A"/>
    <w:rsid w:val="006A75C0"/>
    <w:rsid w:val="006B0EA4"/>
    <w:rsid w:val="006B2109"/>
    <w:rsid w:val="006B2A75"/>
    <w:rsid w:val="006B344B"/>
    <w:rsid w:val="006B48E6"/>
    <w:rsid w:val="006C5CBA"/>
    <w:rsid w:val="006E0D3F"/>
    <w:rsid w:val="006E3C59"/>
    <w:rsid w:val="006E3FAF"/>
    <w:rsid w:val="006E401B"/>
    <w:rsid w:val="006E447B"/>
    <w:rsid w:val="006E7C04"/>
    <w:rsid w:val="006F2A63"/>
    <w:rsid w:val="006F2BC0"/>
    <w:rsid w:val="006F2E74"/>
    <w:rsid w:val="006F70DC"/>
    <w:rsid w:val="00706E2D"/>
    <w:rsid w:val="00707659"/>
    <w:rsid w:val="00711423"/>
    <w:rsid w:val="00713AEF"/>
    <w:rsid w:val="00713C49"/>
    <w:rsid w:val="00714B33"/>
    <w:rsid w:val="00720CAA"/>
    <w:rsid w:val="00730549"/>
    <w:rsid w:val="00740761"/>
    <w:rsid w:val="00750768"/>
    <w:rsid w:val="007509BB"/>
    <w:rsid w:val="00752536"/>
    <w:rsid w:val="00757E62"/>
    <w:rsid w:val="00762C3C"/>
    <w:rsid w:val="00762C97"/>
    <w:rsid w:val="00772257"/>
    <w:rsid w:val="00775871"/>
    <w:rsid w:val="00775B90"/>
    <w:rsid w:val="00792B79"/>
    <w:rsid w:val="007937C5"/>
    <w:rsid w:val="007953C0"/>
    <w:rsid w:val="007A495B"/>
    <w:rsid w:val="007A7702"/>
    <w:rsid w:val="007B24E4"/>
    <w:rsid w:val="007B38DE"/>
    <w:rsid w:val="007B4808"/>
    <w:rsid w:val="007B5D77"/>
    <w:rsid w:val="007C3FE4"/>
    <w:rsid w:val="007C42BA"/>
    <w:rsid w:val="007C4A1F"/>
    <w:rsid w:val="007D29D7"/>
    <w:rsid w:val="007D4C5A"/>
    <w:rsid w:val="007E0218"/>
    <w:rsid w:val="007E722D"/>
    <w:rsid w:val="007F25B2"/>
    <w:rsid w:val="007F5F44"/>
    <w:rsid w:val="00800191"/>
    <w:rsid w:val="00800AA1"/>
    <w:rsid w:val="00802EEA"/>
    <w:rsid w:val="00803DEE"/>
    <w:rsid w:val="008042A1"/>
    <w:rsid w:val="00805006"/>
    <w:rsid w:val="00810AF5"/>
    <w:rsid w:val="008202BA"/>
    <w:rsid w:val="008236DA"/>
    <w:rsid w:val="00824DED"/>
    <w:rsid w:val="00824F37"/>
    <w:rsid w:val="00825289"/>
    <w:rsid w:val="00827B72"/>
    <w:rsid w:val="0083232E"/>
    <w:rsid w:val="00835CD5"/>
    <w:rsid w:val="0084378C"/>
    <w:rsid w:val="00843EEC"/>
    <w:rsid w:val="008534AB"/>
    <w:rsid w:val="00860593"/>
    <w:rsid w:val="00864368"/>
    <w:rsid w:val="00865E1A"/>
    <w:rsid w:val="0086748D"/>
    <w:rsid w:val="00870BB1"/>
    <w:rsid w:val="00873DBB"/>
    <w:rsid w:val="00875FF9"/>
    <w:rsid w:val="00891C4C"/>
    <w:rsid w:val="00894160"/>
    <w:rsid w:val="00895B36"/>
    <w:rsid w:val="0089641D"/>
    <w:rsid w:val="008A22D6"/>
    <w:rsid w:val="008A2654"/>
    <w:rsid w:val="008B316D"/>
    <w:rsid w:val="008C0967"/>
    <w:rsid w:val="008C3C72"/>
    <w:rsid w:val="008D066A"/>
    <w:rsid w:val="008D3C9D"/>
    <w:rsid w:val="008D5304"/>
    <w:rsid w:val="008D6219"/>
    <w:rsid w:val="008E3046"/>
    <w:rsid w:val="008E305B"/>
    <w:rsid w:val="008E390B"/>
    <w:rsid w:val="008E64F3"/>
    <w:rsid w:val="008F7A4F"/>
    <w:rsid w:val="009006EA"/>
    <w:rsid w:val="00904506"/>
    <w:rsid w:val="00907DA8"/>
    <w:rsid w:val="009108EC"/>
    <w:rsid w:val="009119DD"/>
    <w:rsid w:val="00913770"/>
    <w:rsid w:val="0093035E"/>
    <w:rsid w:val="00930ED5"/>
    <w:rsid w:val="009445BB"/>
    <w:rsid w:val="00946446"/>
    <w:rsid w:val="00950CCF"/>
    <w:rsid w:val="00950FAB"/>
    <w:rsid w:val="00953615"/>
    <w:rsid w:val="00961BC6"/>
    <w:rsid w:val="00961D97"/>
    <w:rsid w:val="009633F6"/>
    <w:rsid w:val="00965E23"/>
    <w:rsid w:val="009754E9"/>
    <w:rsid w:val="0097763A"/>
    <w:rsid w:val="00985D98"/>
    <w:rsid w:val="00991845"/>
    <w:rsid w:val="00991E5E"/>
    <w:rsid w:val="0099492D"/>
    <w:rsid w:val="0099708D"/>
    <w:rsid w:val="009977B0"/>
    <w:rsid w:val="00997867"/>
    <w:rsid w:val="009A074D"/>
    <w:rsid w:val="009A399A"/>
    <w:rsid w:val="009A5BC8"/>
    <w:rsid w:val="009A7B70"/>
    <w:rsid w:val="009C0D26"/>
    <w:rsid w:val="009C2623"/>
    <w:rsid w:val="009C36DA"/>
    <w:rsid w:val="009C79DD"/>
    <w:rsid w:val="009D0F5D"/>
    <w:rsid w:val="009D1227"/>
    <w:rsid w:val="009D1688"/>
    <w:rsid w:val="009D47A6"/>
    <w:rsid w:val="009D7FA4"/>
    <w:rsid w:val="009E0D90"/>
    <w:rsid w:val="009F0FAD"/>
    <w:rsid w:val="009F5359"/>
    <w:rsid w:val="009F7543"/>
    <w:rsid w:val="00A01A86"/>
    <w:rsid w:val="00A031E4"/>
    <w:rsid w:val="00A0708D"/>
    <w:rsid w:val="00A07AFF"/>
    <w:rsid w:val="00A129DA"/>
    <w:rsid w:val="00A1349D"/>
    <w:rsid w:val="00A165B9"/>
    <w:rsid w:val="00A23B3C"/>
    <w:rsid w:val="00A2485E"/>
    <w:rsid w:val="00A26944"/>
    <w:rsid w:val="00A27529"/>
    <w:rsid w:val="00A3289C"/>
    <w:rsid w:val="00A36F56"/>
    <w:rsid w:val="00A40133"/>
    <w:rsid w:val="00A453F6"/>
    <w:rsid w:val="00A45E80"/>
    <w:rsid w:val="00A5060B"/>
    <w:rsid w:val="00A5789B"/>
    <w:rsid w:val="00A60A8B"/>
    <w:rsid w:val="00A6233D"/>
    <w:rsid w:val="00A64620"/>
    <w:rsid w:val="00A67422"/>
    <w:rsid w:val="00A71576"/>
    <w:rsid w:val="00A71B4C"/>
    <w:rsid w:val="00A80160"/>
    <w:rsid w:val="00A8176B"/>
    <w:rsid w:val="00A819DD"/>
    <w:rsid w:val="00A90B50"/>
    <w:rsid w:val="00A926C5"/>
    <w:rsid w:val="00A93664"/>
    <w:rsid w:val="00A9520A"/>
    <w:rsid w:val="00A96835"/>
    <w:rsid w:val="00AA0538"/>
    <w:rsid w:val="00AA281D"/>
    <w:rsid w:val="00AA4B5B"/>
    <w:rsid w:val="00AC0FCF"/>
    <w:rsid w:val="00AC4443"/>
    <w:rsid w:val="00AC4734"/>
    <w:rsid w:val="00AC47D8"/>
    <w:rsid w:val="00AC4DB4"/>
    <w:rsid w:val="00AD2FF8"/>
    <w:rsid w:val="00AD6BE1"/>
    <w:rsid w:val="00AE10D5"/>
    <w:rsid w:val="00AE229A"/>
    <w:rsid w:val="00AE665E"/>
    <w:rsid w:val="00AE7C90"/>
    <w:rsid w:val="00AE7E44"/>
    <w:rsid w:val="00AF5492"/>
    <w:rsid w:val="00AF70DE"/>
    <w:rsid w:val="00B0071D"/>
    <w:rsid w:val="00B013DA"/>
    <w:rsid w:val="00B043E5"/>
    <w:rsid w:val="00B04E2E"/>
    <w:rsid w:val="00B05D37"/>
    <w:rsid w:val="00B14DF5"/>
    <w:rsid w:val="00B1692B"/>
    <w:rsid w:val="00B17E1A"/>
    <w:rsid w:val="00B2357A"/>
    <w:rsid w:val="00B2538C"/>
    <w:rsid w:val="00B27196"/>
    <w:rsid w:val="00B31FEF"/>
    <w:rsid w:val="00B323E1"/>
    <w:rsid w:val="00B34FD6"/>
    <w:rsid w:val="00B3572A"/>
    <w:rsid w:val="00B35806"/>
    <w:rsid w:val="00B37DBC"/>
    <w:rsid w:val="00B419B2"/>
    <w:rsid w:val="00B4430B"/>
    <w:rsid w:val="00B47AB1"/>
    <w:rsid w:val="00B51F70"/>
    <w:rsid w:val="00B53FBB"/>
    <w:rsid w:val="00B54F74"/>
    <w:rsid w:val="00B614B8"/>
    <w:rsid w:val="00B62DDB"/>
    <w:rsid w:val="00B669A3"/>
    <w:rsid w:val="00B6763B"/>
    <w:rsid w:val="00B67993"/>
    <w:rsid w:val="00B70C2D"/>
    <w:rsid w:val="00B75B8F"/>
    <w:rsid w:val="00B80047"/>
    <w:rsid w:val="00B81D2F"/>
    <w:rsid w:val="00B838B5"/>
    <w:rsid w:val="00B84946"/>
    <w:rsid w:val="00B84C82"/>
    <w:rsid w:val="00B91CBA"/>
    <w:rsid w:val="00B9349A"/>
    <w:rsid w:val="00B951BF"/>
    <w:rsid w:val="00B95A3E"/>
    <w:rsid w:val="00B95DC9"/>
    <w:rsid w:val="00BA3BE3"/>
    <w:rsid w:val="00BA41FB"/>
    <w:rsid w:val="00BA6E64"/>
    <w:rsid w:val="00BB15D0"/>
    <w:rsid w:val="00BB6032"/>
    <w:rsid w:val="00BB605D"/>
    <w:rsid w:val="00BC29DC"/>
    <w:rsid w:val="00BD3DCF"/>
    <w:rsid w:val="00BD4160"/>
    <w:rsid w:val="00BE175D"/>
    <w:rsid w:val="00BF0700"/>
    <w:rsid w:val="00BF1454"/>
    <w:rsid w:val="00BF39FD"/>
    <w:rsid w:val="00BF462A"/>
    <w:rsid w:val="00C01937"/>
    <w:rsid w:val="00C0266B"/>
    <w:rsid w:val="00C047EA"/>
    <w:rsid w:val="00C15C99"/>
    <w:rsid w:val="00C2092A"/>
    <w:rsid w:val="00C21783"/>
    <w:rsid w:val="00C228E2"/>
    <w:rsid w:val="00C23987"/>
    <w:rsid w:val="00C31DE9"/>
    <w:rsid w:val="00C3503C"/>
    <w:rsid w:val="00C363C1"/>
    <w:rsid w:val="00C448C5"/>
    <w:rsid w:val="00C45659"/>
    <w:rsid w:val="00C45865"/>
    <w:rsid w:val="00C473B5"/>
    <w:rsid w:val="00C47416"/>
    <w:rsid w:val="00C51742"/>
    <w:rsid w:val="00C60ACE"/>
    <w:rsid w:val="00C6157F"/>
    <w:rsid w:val="00C66753"/>
    <w:rsid w:val="00C72D98"/>
    <w:rsid w:val="00C73580"/>
    <w:rsid w:val="00C737EA"/>
    <w:rsid w:val="00C76221"/>
    <w:rsid w:val="00C7727E"/>
    <w:rsid w:val="00C83CB6"/>
    <w:rsid w:val="00C87AA3"/>
    <w:rsid w:val="00C90127"/>
    <w:rsid w:val="00C9450D"/>
    <w:rsid w:val="00C94862"/>
    <w:rsid w:val="00C975AA"/>
    <w:rsid w:val="00CA1E84"/>
    <w:rsid w:val="00CB0E2B"/>
    <w:rsid w:val="00CB5EE9"/>
    <w:rsid w:val="00CB75F7"/>
    <w:rsid w:val="00CC1D9B"/>
    <w:rsid w:val="00CC2F69"/>
    <w:rsid w:val="00CD4BC2"/>
    <w:rsid w:val="00CD7533"/>
    <w:rsid w:val="00CE0DF6"/>
    <w:rsid w:val="00CE29C7"/>
    <w:rsid w:val="00CE2E28"/>
    <w:rsid w:val="00CF7143"/>
    <w:rsid w:val="00D01C5D"/>
    <w:rsid w:val="00D02B5C"/>
    <w:rsid w:val="00D02EC7"/>
    <w:rsid w:val="00D0321C"/>
    <w:rsid w:val="00D04074"/>
    <w:rsid w:val="00D1274D"/>
    <w:rsid w:val="00D177EB"/>
    <w:rsid w:val="00D23E27"/>
    <w:rsid w:val="00D352E0"/>
    <w:rsid w:val="00D3586A"/>
    <w:rsid w:val="00D36F5D"/>
    <w:rsid w:val="00D454EF"/>
    <w:rsid w:val="00D51201"/>
    <w:rsid w:val="00D52F4D"/>
    <w:rsid w:val="00D573F1"/>
    <w:rsid w:val="00D62707"/>
    <w:rsid w:val="00D62876"/>
    <w:rsid w:val="00D633DD"/>
    <w:rsid w:val="00D64B07"/>
    <w:rsid w:val="00D65725"/>
    <w:rsid w:val="00D65BBE"/>
    <w:rsid w:val="00D661E7"/>
    <w:rsid w:val="00D70D4E"/>
    <w:rsid w:val="00D7141A"/>
    <w:rsid w:val="00D74D0B"/>
    <w:rsid w:val="00D75F02"/>
    <w:rsid w:val="00D81E2F"/>
    <w:rsid w:val="00D87249"/>
    <w:rsid w:val="00D90778"/>
    <w:rsid w:val="00D90C95"/>
    <w:rsid w:val="00D91C86"/>
    <w:rsid w:val="00D970D0"/>
    <w:rsid w:val="00DA26DA"/>
    <w:rsid w:val="00DA7381"/>
    <w:rsid w:val="00DA786C"/>
    <w:rsid w:val="00DB31C5"/>
    <w:rsid w:val="00DB39D7"/>
    <w:rsid w:val="00DC0099"/>
    <w:rsid w:val="00DC048B"/>
    <w:rsid w:val="00DC09F3"/>
    <w:rsid w:val="00DC1B67"/>
    <w:rsid w:val="00DC1E90"/>
    <w:rsid w:val="00DD0215"/>
    <w:rsid w:val="00DD2A8E"/>
    <w:rsid w:val="00DD3A39"/>
    <w:rsid w:val="00DD5313"/>
    <w:rsid w:val="00DE285C"/>
    <w:rsid w:val="00DE7051"/>
    <w:rsid w:val="00DE7147"/>
    <w:rsid w:val="00DF185F"/>
    <w:rsid w:val="00E00207"/>
    <w:rsid w:val="00E12082"/>
    <w:rsid w:val="00E1262A"/>
    <w:rsid w:val="00E160DA"/>
    <w:rsid w:val="00E17AF4"/>
    <w:rsid w:val="00E20B9E"/>
    <w:rsid w:val="00E260EF"/>
    <w:rsid w:val="00E360E8"/>
    <w:rsid w:val="00E37B4C"/>
    <w:rsid w:val="00E44F5F"/>
    <w:rsid w:val="00E513CE"/>
    <w:rsid w:val="00E51577"/>
    <w:rsid w:val="00E55E53"/>
    <w:rsid w:val="00E65B27"/>
    <w:rsid w:val="00E67B42"/>
    <w:rsid w:val="00E727DA"/>
    <w:rsid w:val="00E744E9"/>
    <w:rsid w:val="00E75C1C"/>
    <w:rsid w:val="00E761BB"/>
    <w:rsid w:val="00E96E26"/>
    <w:rsid w:val="00EA6D3F"/>
    <w:rsid w:val="00EB0980"/>
    <w:rsid w:val="00EB0A12"/>
    <w:rsid w:val="00ED0207"/>
    <w:rsid w:val="00ED6C45"/>
    <w:rsid w:val="00EE02C0"/>
    <w:rsid w:val="00EE02EB"/>
    <w:rsid w:val="00EE443C"/>
    <w:rsid w:val="00EE78EE"/>
    <w:rsid w:val="00EF0D59"/>
    <w:rsid w:val="00EF0EAE"/>
    <w:rsid w:val="00EF360A"/>
    <w:rsid w:val="00EF39E1"/>
    <w:rsid w:val="00F02889"/>
    <w:rsid w:val="00F0338E"/>
    <w:rsid w:val="00F0767E"/>
    <w:rsid w:val="00F12DD1"/>
    <w:rsid w:val="00F2077C"/>
    <w:rsid w:val="00F23241"/>
    <w:rsid w:val="00F25794"/>
    <w:rsid w:val="00F25B62"/>
    <w:rsid w:val="00F27590"/>
    <w:rsid w:val="00F327DD"/>
    <w:rsid w:val="00F3494E"/>
    <w:rsid w:val="00F37CC3"/>
    <w:rsid w:val="00F40353"/>
    <w:rsid w:val="00F40A8A"/>
    <w:rsid w:val="00F42705"/>
    <w:rsid w:val="00F43BA0"/>
    <w:rsid w:val="00F45416"/>
    <w:rsid w:val="00F460A9"/>
    <w:rsid w:val="00F47D50"/>
    <w:rsid w:val="00F51062"/>
    <w:rsid w:val="00F52539"/>
    <w:rsid w:val="00F52E62"/>
    <w:rsid w:val="00F5302A"/>
    <w:rsid w:val="00F602DF"/>
    <w:rsid w:val="00F63B73"/>
    <w:rsid w:val="00F70483"/>
    <w:rsid w:val="00F70DBD"/>
    <w:rsid w:val="00F80E03"/>
    <w:rsid w:val="00F82A97"/>
    <w:rsid w:val="00F845C1"/>
    <w:rsid w:val="00F86325"/>
    <w:rsid w:val="00F9443B"/>
    <w:rsid w:val="00F9711F"/>
    <w:rsid w:val="00FA0D5C"/>
    <w:rsid w:val="00FA2C2B"/>
    <w:rsid w:val="00FA44C3"/>
    <w:rsid w:val="00FA6D22"/>
    <w:rsid w:val="00FA7682"/>
    <w:rsid w:val="00FB3AC5"/>
    <w:rsid w:val="00FB59E3"/>
    <w:rsid w:val="00FC1ED8"/>
    <w:rsid w:val="00FC20F5"/>
    <w:rsid w:val="00FC31FA"/>
    <w:rsid w:val="00FC3BED"/>
    <w:rsid w:val="00FC7487"/>
    <w:rsid w:val="00FD0460"/>
    <w:rsid w:val="00FD3443"/>
    <w:rsid w:val="00FD37C6"/>
    <w:rsid w:val="00FD446C"/>
    <w:rsid w:val="00FD5FFD"/>
    <w:rsid w:val="00FD7041"/>
    <w:rsid w:val="00FE6890"/>
    <w:rsid w:val="00FE73B2"/>
    <w:rsid w:val="00FE756E"/>
    <w:rsid w:val="00FF0C76"/>
    <w:rsid w:val="00FF21C2"/>
    <w:rsid w:val="00FF671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A244F5"/>
  <w15:chartTrackingRefBased/>
  <w15:docId w15:val="{2858D60A-192C-48B0-B083-761579C8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pPr>
      <w:suppressAutoHyphens/>
    </w:pPr>
    <w:rPr>
      <w:sz w:val="24"/>
      <w:lang w:eastAsia="ar-SA"/>
    </w:rPr>
  </w:style>
  <w:style w:type="paragraph" w:styleId="Antrat1">
    <w:name w:val="heading 1"/>
    <w:basedOn w:val="prastasis"/>
    <w:next w:val="prastasis"/>
    <w:qFormat/>
    <w:pPr>
      <w:keepNext/>
      <w:numPr>
        <w:numId w:val="1"/>
      </w:numPr>
      <w:jc w:val="center"/>
      <w:outlineLvl w:val="0"/>
    </w:pPr>
    <w:rPr>
      <w:b/>
      <w:bCs/>
    </w:rPr>
  </w:style>
  <w:style w:type="paragraph" w:styleId="Antrat2">
    <w:name w:val="heading 2"/>
    <w:basedOn w:val="prastasis"/>
    <w:next w:val="prastasis"/>
    <w:qFormat/>
    <w:pPr>
      <w:keepNext/>
      <w:numPr>
        <w:ilvl w:val="1"/>
        <w:numId w:val="1"/>
      </w:numPr>
      <w:spacing w:line="360" w:lineRule="auto"/>
      <w:ind w:left="0" w:right="43" w:firstLine="720"/>
      <w:jc w:val="both"/>
      <w:outlineLvl w:val="1"/>
    </w:pPr>
    <w:rPr>
      <w:b/>
      <w:bCs/>
    </w:rPr>
  </w:style>
  <w:style w:type="paragraph" w:styleId="Antrat3">
    <w:name w:val="heading 3"/>
    <w:basedOn w:val="prastasis"/>
    <w:next w:val="prastasis"/>
    <w:qFormat/>
    <w:pPr>
      <w:keepNext/>
      <w:numPr>
        <w:ilvl w:val="2"/>
        <w:numId w:val="1"/>
      </w:numPr>
      <w:ind w:left="0" w:right="-96" w:firstLine="0"/>
      <w:jc w:val="right"/>
      <w:outlineLvl w:val="2"/>
    </w:pPr>
    <w:rPr>
      <w:b/>
      <w:bC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WW8Num2z0">
    <w:name w:val="WW8Num2z0"/>
    <w:rPr>
      <w:rFonts w:ascii="Symbol" w:hAnsi="Symbol" w:cs="Symbol"/>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Numatytasispastraiposriftas1">
    <w:name w:val="Numatytasis pastraipos šriftas1"/>
  </w:style>
  <w:style w:type="character" w:styleId="Puslapionumeris">
    <w:name w:val="page number"/>
    <w:basedOn w:val="Numatytasispastraiposriftas1"/>
  </w:style>
  <w:style w:type="paragraph" w:customStyle="1" w:styleId="Heading">
    <w:name w:val="Heading"/>
    <w:basedOn w:val="prastasis"/>
    <w:next w:val="Pagrindinistekstas"/>
    <w:pPr>
      <w:keepNext/>
      <w:spacing w:before="240" w:after="120"/>
    </w:pPr>
    <w:rPr>
      <w:rFonts w:ascii="Arial" w:eastAsia="Microsoft YaHei" w:hAnsi="Arial" w:cs="Mangal"/>
      <w:sz w:val="28"/>
      <w:szCs w:val="28"/>
    </w:rPr>
  </w:style>
  <w:style w:type="paragraph" w:styleId="Pagrindinistekstas">
    <w:name w:val="Body Text"/>
    <w:basedOn w:val="prastasis"/>
    <w:link w:val="PagrindinistekstasDiagrama"/>
    <w:pPr>
      <w:jc w:val="center"/>
    </w:pPr>
    <w:rPr>
      <w:b/>
      <w:bCs/>
    </w:rPr>
  </w:style>
  <w:style w:type="paragraph" w:styleId="Sraas">
    <w:name w:val="List"/>
    <w:basedOn w:val="Pagrindinistekstas"/>
    <w:rPr>
      <w:rFonts w:cs="Mangal"/>
    </w:rPr>
  </w:style>
  <w:style w:type="paragraph" w:customStyle="1" w:styleId="Antrat10">
    <w:name w:val="Antraštė1"/>
    <w:basedOn w:val="prastasis"/>
    <w:pPr>
      <w:suppressLineNumbers/>
      <w:spacing w:before="120" w:after="120"/>
    </w:pPr>
    <w:rPr>
      <w:rFonts w:cs="Mangal"/>
      <w:i/>
      <w:iCs/>
      <w:szCs w:val="24"/>
    </w:rPr>
  </w:style>
  <w:style w:type="paragraph" w:customStyle="1" w:styleId="Index">
    <w:name w:val="Index"/>
    <w:basedOn w:val="prastasis"/>
    <w:pPr>
      <w:suppressLineNumbers/>
    </w:pPr>
    <w:rPr>
      <w:rFonts w:cs="Mangal"/>
    </w:rPr>
  </w:style>
  <w:style w:type="paragraph" w:styleId="Pagrindiniotekstotrauka">
    <w:name w:val="Body Text Indent"/>
    <w:basedOn w:val="prastasis"/>
    <w:link w:val="PagrindiniotekstotraukaDiagrama"/>
    <w:pPr>
      <w:spacing w:line="360" w:lineRule="auto"/>
      <w:ind w:right="-99" w:firstLine="720"/>
      <w:jc w:val="both"/>
    </w:pPr>
  </w:style>
  <w:style w:type="paragraph" w:customStyle="1" w:styleId="Pagrindiniotekstotrauka21">
    <w:name w:val="Pagrindinio teksto įtrauka 21"/>
    <w:basedOn w:val="prastasis"/>
    <w:pPr>
      <w:spacing w:line="360" w:lineRule="auto"/>
      <w:ind w:firstLine="720"/>
      <w:jc w:val="both"/>
    </w:pPr>
  </w:style>
  <w:style w:type="paragraph" w:styleId="Porat">
    <w:name w:val="footer"/>
    <w:basedOn w:val="prastasis"/>
    <w:pPr>
      <w:tabs>
        <w:tab w:val="center" w:pos="4153"/>
        <w:tab w:val="right" w:pos="8306"/>
      </w:tabs>
    </w:pPr>
  </w:style>
  <w:style w:type="paragraph" w:customStyle="1" w:styleId="Pagrindiniotekstotrauka31">
    <w:name w:val="Pagrindinio teksto įtrauka 31"/>
    <w:basedOn w:val="prastasis"/>
    <w:pPr>
      <w:spacing w:line="360" w:lineRule="auto"/>
      <w:ind w:right="-99" w:firstLine="720"/>
      <w:jc w:val="both"/>
    </w:pPr>
    <w:rPr>
      <w:b/>
      <w:bCs/>
    </w:rPr>
  </w:style>
  <w:style w:type="paragraph" w:styleId="Pavadinimas">
    <w:name w:val="Title"/>
    <w:basedOn w:val="prastasis"/>
    <w:next w:val="Antrinispavadinimas"/>
    <w:link w:val="PavadinimasDiagrama"/>
    <w:qFormat/>
    <w:pPr>
      <w:jc w:val="center"/>
    </w:pPr>
    <w:rPr>
      <w:b/>
      <w:bCs/>
      <w:sz w:val="28"/>
      <w:szCs w:val="28"/>
    </w:rPr>
  </w:style>
  <w:style w:type="paragraph" w:customStyle="1" w:styleId="Antrinispavadinimas">
    <w:name w:val="Antrinis pavadinimas"/>
    <w:basedOn w:val="Heading"/>
    <w:next w:val="Pagrindinistekstas"/>
    <w:qFormat/>
    <w:pPr>
      <w:jc w:val="center"/>
    </w:pPr>
    <w:rPr>
      <w:i/>
      <w:iCs/>
    </w:rPr>
  </w:style>
  <w:style w:type="paragraph" w:styleId="Debesliotekstas">
    <w:name w:val="Balloon Text"/>
    <w:basedOn w:val="prastasis"/>
    <w:rPr>
      <w:rFonts w:ascii="Tahoma" w:hAnsi="Tahoma" w:cs="Tahoma"/>
      <w:sz w:val="16"/>
      <w:szCs w:val="16"/>
    </w:rPr>
  </w:style>
  <w:style w:type="paragraph" w:customStyle="1" w:styleId="Pagrindinistekstas31">
    <w:name w:val="Pagrindinis tekstas 31"/>
    <w:basedOn w:val="prastasis"/>
    <w:pPr>
      <w:spacing w:after="120"/>
    </w:pPr>
    <w:rPr>
      <w:sz w:val="16"/>
      <w:szCs w:val="16"/>
    </w:rPr>
  </w:style>
  <w:style w:type="paragraph" w:styleId="Antrats">
    <w:name w:val="header"/>
    <w:basedOn w:val="prastasis"/>
    <w:pPr>
      <w:tabs>
        <w:tab w:val="center" w:pos="4819"/>
        <w:tab w:val="right" w:pos="9638"/>
      </w:tabs>
    </w:pPr>
  </w:style>
  <w:style w:type="paragraph" w:customStyle="1" w:styleId="Pagrindinistekstas21">
    <w:name w:val="Pagrindinis tekstas 21"/>
    <w:basedOn w:val="prastasis"/>
    <w:pPr>
      <w:spacing w:after="120" w:line="480" w:lineRule="auto"/>
    </w:pPr>
    <w:rPr>
      <w:szCs w:val="24"/>
    </w:rPr>
  </w:style>
  <w:style w:type="paragraph" w:customStyle="1" w:styleId="Dokumentostruktra1">
    <w:name w:val="Dokumento struktūra1"/>
    <w:basedOn w:val="prastasis"/>
    <w:pPr>
      <w:shd w:val="clear" w:color="auto" w:fill="000080"/>
    </w:pPr>
    <w:rPr>
      <w:rFonts w:ascii="Tahoma" w:hAnsi="Tahoma" w:cs="Tahoma"/>
      <w:sz w:val="20"/>
    </w:rPr>
  </w:style>
  <w:style w:type="paragraph" w:customStyle="1" w:styleId="TableContents">
    <w:name w:val="Table Contents"/>
    <w:basedOn w:val="prastasis"/>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Pagrindinistekstas"/>
  </w:style>
  <w:style w:type="paragraph" w:styleId="Pagrindinistekstas3">
    <w:name w:val="Body Text 3"/>
    <w:basedOn w:val="prastasis"/>
    <w:rsid w:val="00FC20F5"/>
    <w:pPr>
      <w:suppressAutoHyphens w:val="0"/>
      <w:spacing w:after="120"/>
    </w:pPr>
    <w:rPr>
      <w:sz w:val="16"/>
      <w:szCs w:val="16"/>
      <w:lang w:eastAsia="en-US"/>
    </w:rPr>
  </w:style>
  <w:style w:type="table" w:styleId="Lentelstinklelis">
    <w:name w:val="Table Grid"/>
    <w:basedOn w:val="prastojilentel"/>
    <w:rsid w:val="00FC2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grindiniotekstotrauka3">
    <w:name w:val="Body Text Indent 3"/>
    <w:basedOn w:val="prastasis"/>
    <w:link w:val="Pagrindiniotekstotrauka3Diagrama"/>
    <w:rsid w:val="00092E7E"/>
    <w:pPr>
      <w:spacing w:after="120"/>
      <w:ind w:left="283"/>
    </w:pPr>
    <w:rPr>
      <w:sz w:val="16"/>
      <w:szCs w:val="16"/>
    </w:rPr>
  </w:style>
  <w:style w:type="paragraph" w:styleId="Pagrindiniotekstotrauka2">
    <w:name w:val="Body Text Indent 2"/>
    <w:basedOn w:val="prastasis"/>
    <w:rsid w:val="00092E7E"/>
    <w:pPr>
      <w:spacing w:after="120" w:line="480" w:lineRule="auto"/>
      <w:ind w:left="283"/>
    </w:pPr>
  </w:style>
  <w:style w:type="paragraph" w:styleId="Dokumentostruktra">
    <w:name w:val="Document Map"/>
    <w:basedOn w:val="prastasis"/>
    <w:semiHidden/>
    <w:rsid w:val="00AE7C90"/>
    <w:pPr>
      <w:shd w:val="clear" w:color="auto" w:fill="000080"/>
    </w:pPr>
    <w:rPr>
      <w:rFonts w:ascii="Tahoma" w:hAnsi="Tahoma" w:cs="Tahoma"/>
      <w:sz w:val="20"/>
    </w:rPr>
  </w:style>
  <w:style w:type="paragraph" w:styleId="Betarp">
    <w:name w:val="No Spacing"/>
    <w:uiPriority w:val="99"/>
    <w:qFormat/>
    <w:rsid w:val="002F6890"/>
    <w:rPr>
      <w:sz w:val="24"/>
      <w:szCs w:val="24"/>
    </w:rPr>
  </w:style>
  <w:style w:type="character" w:customStyle="1" w:styleId="PagrindinistekstasDiagrama">
    <w:name w:val="Pagrindinis tekstas Diagrama"/>
    <w:link w:val="Pagrindinistekstas"/>
    <w:rsid w:val="00492FEE"/>
    <w:rPr>
      <w:b/>
      <w:bCs/>
      <w:sz w:val="24"/>
      <w:lang w:eastAsia="ar-SA"/>
    </w:rPr>
  </w:style>
  <w:style w:type="character" w:customStyle="1" w:styleId="PagrindiniotekstotraukaDiagrama">
    <w:name w:val="Pagrindinio teksto įtrauka Diagrama"/>
    <w:link w:val="Pagrindiniotekstotrauka"/>
    <w:rsid w:val="00492FEE"/>
    <w:rPr>
      <w:sz w:val="24"/>
      <w:lang w:eastAsia="ar-SA"/>
    </w:rPr>
  </w:style>
  <w:style w:type="character" w:customStyle="1" w:styleId="PavadinimasDiagrama">
    <w:name w:val="Pavadinimas Diagrama"/>
    <w:link w:val="Pavadinimas"/>
    <w:rsid w:val="00492FEE"/>
    <w:rPr>
      <w:b/>
      <w:bCs/>
      <w:sz w:val="28"/>
      <w:szCs w:val="28"/>
      <w:lang w:eastAsia="ar-SA"/>
    </w:rPr>
  </w:style>
  <w:style w:type="character" w:customStyle="1" w:styleId="Pagrindiniotekstotrauka3Diagrama">
    <w:name w:val="Pagrindinio teksto įtrauka 3 Diagrama"/>
    <w:link w:val="Pagrindiniotekstotrauka3"/>
    <w:rsid w:val="00492FEE"/>
    <w:rPr>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61702">
      <w:bodyDiv w:val="1"/>
      <w:marLeft w:val="0"/>
      <w:marRight w:val="0"/>
      <w:marTop w:val="0"/>
      <w:marBottom w:val="0"/>
      <w:divBdr>
        <w:top w:val="none" w:sz="0" w:space="0" w:color="auto"/>
        <w:left w:val="none" w:sz="0" w:space="0" w:color="auto"/>
        <w:bottom w:val="none" w:sz="0" w:space="0" w:color="auto"/>
        <w:right w:val="none" w:sz="0" w:space="0" w:color="auto"/>
      </w:divBdr>
      <w:divsChild>
        <w:div w:id="126709336">
          <w:marLeft w:val="0"/>
          <w:marRight w:val="0"/>
          <w:marTop w:val="0"/>
          <w:marBottom w:val="0"/>
          <w:divBdr>
            <w:top w:val="none" w:sz="0" w:space="0" w:color="auto"/>
            <w:left w:val="none" w:sz="0" w:space="0" w:color="auto"/>
            <w:bottom w:val="none" w:sz="0" w:space="0" w:color="auto"/>
            <w:right w:val="none" w:sz="0" w:space="0" w:color="auto"/>
          </w:divBdr>
        </w:div>
        <w:div w:id="1622540473">
          <w:marLeft w:val="0"/>
          <w:marRight w:val="0"/>
          <w:marTop w:val="0"/>
          <w:marBottom w:val="0"/>
          <w:divBdr>
            <w:top w:val="none" w:sz="0" w:space="0" w:color="auto"/>
            <w:left w:val="none" w:sz="0" w:space="0" w:color="auto"/>
            <w:bottom w:val="none" w:sz="0" w:space="0" w:color="auto"/>
            <w:right w:val="none" w:sz="0" w:space="0" w:color="auto"/>
          </w:divBdr>
        </w:div>
      </w:divsChild>
    </w:div>
    <w:div w:id="1304962610">
      <w:bodyDiv w:val="1"/>
      <w:marLeft w:val="0"/>
      <w:marRight w:val="0"/>
      <w:marTop w:val="0"/>
      <w:marBottom w:val="0"/>
      <w:divBdr>
        <w:top w:val="none" w:sz="0" w:space="0" w:color="auto"/>
        <w:left w:val="none" w:sz="0" w:space="0" w:color="auto"/>
        <w:bottom w:val="none" w:sz="0" w:space="0" w:color="auto"/>
        <w:right w:val="none" w:sz="0" w:space="0" w:color="auto"/>
      </w:divBdr>
    </w:div>
    <w:div w:id="1359239532">
      <w:bodyDiv w:val="1"/>
      <w:marLeft w:val="0"/>
      <w:marRight w:val="0"/>
      <w:marTop w:val="0"/>
      <w:marBottom w:val="0"/>
      <w:divBdr>
        <w:top w:val="none" w:sz="0" w:space="0" w:color="auto"/>
        <w:left w:val="none" w:sz="0" w:space="0" w:color="auto"/>
        <w:bottom w:val="none" w:sz="0" w:space="0" w:color="auto"/>
        <w:right w:val="none" w:sz="0" w:space="0" w:color="auto"/>
      </w:divBdr>
    </w:div>
    <w:div w:id="1496845508">
      <w:bodyDiv w:val="1"/>
      <w:marLeft w:val="0"/>
      <w:marRight w:val="0"/>
      <w:marTop w:val="0"/>
      <w:marBottom w:val="0"/>
      <w:divBdr>
        <w:top w:val="none" w:sz="0" w:space="0" w:color="auto"/>
        <w:left w:val="none" w:sz="0" w:space="0" w:color="auto"/>
        <w:bottom w:val="none" w:sz="0" w:space="0" w:color="auto"/>
        <w:right w:val="none" w:sz="0" w:space="0" w:color="auto"/>
      </w:divBdr>
      <w:divsChild>
        <w:div w:id="17197847">
          <w:marLeft w:val="0"/>
          <w:marRight w:val="0"/>
          <w:marTop w:val="0"/>
          <w:marBottom w:val="0"/>
          <w:divBdr>
            <w:top w:val="none" w:sz="0" w:space="0" w:color="auto"/>
            <w:left w:val="none" w:sz="0" w:space="0" w:color="auto"/>
            <w:bottom w:val="none" w:sz="0" w:space="0" w:color="auto"/>
            <w:right w:val="none" w:sz="0" w:space="0" w:color="auto"/>
          </w:divBdr>
        </w:div>
        <w:div w:id="31468731">
          <w:marLeft w:val="0"/>
          <w:marRight w:val="0"/>
          <w:marTop w:val="0"/>
          <w:marBottom w:val="0"/>
          <w:divBdr>
            <w:top w:val="none" w:sz="0" w:space="0" w:color="auto"/>
            <w:left w:val="none" w:sz="0" w:space="0" w:color="auto"/>
            <w:bottom w:val="none" w:sz="0" w:space="0" w:color="auto"/>
            <w:right w:val="none" w:sz="0" w:space="0" w:color="auto"/>
          </w:divBdr>
        </w:div>
        <w:div w:id="125857708">
          <w:marLeft w:val="0"/>
          <w:marRight w:val="0"/>
          <w:marTop w:val="0"/>
          <w:marBottom w:val="0"/>
          <w:divBdr>
            <w:top w:val="none" w:sz="0" w:space="0" w:color="auto"/>
            <w:left w:val="none" w:sz="0" w:space="0" w:color="auto"/>
            <w:bottom w:val="none" w:sz="0" w:space="0" w:color="auto"/>
            <w:right w:val="none" w:sz="0" w:space="0" w:color="auto"/>
          </w:divBdr>
        </w:div>
        <w:div w:id="137306643">
          <w:marLeft w:val="0"/>
          <w:marRight w:val="0"/>
          <w:marTop w:val="0"/>
          <w:marBottom w:val="0"/>
          <w:divBdr>
            <w:top w:val="none" w:sz="0" w:space="0" w:color="auto"/>
            <w:left w:val="none" w:sz="0" w:space="0" w:color="auto"/>
            <w:bottom w:val="none" w:sz="0" w:space="0" w:color="auto"/>
            <w:right w:val="none" w:sz="0" w:space="0" w:color="auto"/>
          </w:divBdr>
        </w:div>
        <w:div w:id="181630622">
          <w:marLeft w:val="0"/>
          <w:marRight w:val="0"/>
          <w:marTop w:val="0"/>
          <w:marBottom w:val="0"/>
          <w:divBdr>
            <w:top w:val="none" w:sz="0" w:space="0" w:color="auto"/>
            <w:left w:val="none" w:sz="0" w:space="0" w:color="auto"/>
            <w:bottom w:val="none" w:sz="0" w:space="0" w:color="auto"/>
            <w:right w:val="none" w:sz="0" w:space="0" w:color="auto"/>
          </w:divBdr>
        </w:div>
        <w:div w:id="233012057">
          <w:marLeft w:val="0"/>
          <w:marRight w:val="0"/>
          <w:marTop w:val="0"/>
          <w:marBottom w:val="0"/>
          <w:divBdr>
            <w:top w:val="none" w:sz="0" w:space="0" w:color="auto"/>
            <w:left w:val="none" w:sz="0" w:space="0" w:color="auto"/>
            <w:bottom w:val="none" w:sz="0" w:space="0" w:color="auto"/>
            <w:right w:val="none" w:sz="0" w:space="0" w:color="auto"/>
          </w:divBdr>
        </w:div>
        <w:div w:id="241767199">
          <w:marLeft w:val="0"/>
          <w:marRight w:val="0"/>
          <w:marTop w:val="0"/>
          <w:marBottom w:val="0"/>
          <w:divBdr>
            <w:top w:val="none" w:sz="0" w:space="0" w:color="auto"/>
            <w:left w:val="none" w:sz="0" w:space="0" w:color="auto"/>
            <w:bottom w:val="none" w:sz="0" w:space="0" w:color="auto"/>
            <w:right w:val="none" w:sz="0" w:space="0" w:color="auto"/>
          </w:divBdr>
        </w:div>
        <w:div w:id="305278494">
          <w:marLeft w:val="0"/>
          <w:marRight w:val="0"/>
          <w:marTop w:val="0"/>
          <w:marBottom w:val="0"/>
          <w:divBdr>
            <w:top w:val="none" w:sz="0" w:space="0" w:color="auto"/>
            <w:left w:val="none" w:sz="0" w:space="0" w:color="auto"/>
            <w:bottom w:val="none" w:sz="0" w:space="0" w:color="auto"/>
            <w:right w:val="none" w:sz="0" w:space="0" w:color="auto"/>
          </w:divBdr>
        </w:div>
        <w:div w:id="312485170">
          <w:marLeft w:val="0"/>
          <w:marRight w:val="0"/>
          <w:marTop w:val="0"/>
          <w:marBottom w:val="0"/>
          <w:divBdr>
            <w:top w:val="none" w:sz="0" w:space="0" w:color="auto"/>
            <w:left w:val="none" w:sz="0" w:space="0" w:color="auto"/>
            <w:bottom w:val="none" w:sz="0" w:space="0" w:color="auto"/>
            <w:right w:val="none" w:sz="0" w:space="0" w:color="auto"/>
          </w:divBdr>
        </w:div>
        <w:div w:id="322665437">
          <w:marLeft w:val="0"/>
          <w:marRight w:val="0"/>
          <w:marTop w:val="0"/>
          <w:marBottom w:val="0"/>
          <w:divBdr>
            <w:top w:val="none" w:sz="0" w:space="0" w:color="auto"/>
            <w:left w:val="none" w:sz="0" w:space="0" w:color="auto"/>
            <w:bottom w:val="none" w:sz="0" w:space="0" w:color="auto"/>
            <w:right w:val="none" w:sz="0" w:space="0" w:color="auto"/>
          </w:divBdr>
        </w:div>
        <w:div w:id="336081158">
          <w:marLeft w:val="0"/>
          <w:marRight w:val="0"/>
          <w:marTop w:val="0"/>
          <w:marBottom w:val="0"/>
          <w:divBdr>
            <w:top w:val="none" w:sz="0" w:space="0" w:color="auto"/>
            <w:left w:val="none" w:sz="0" w:space="0" w:color="auto"/>
            <w:bottom w:val="none" w:sz="0" w:space="0" w:color="auto"/>
            <w:right w:val="none" w:sz="0" w:space="0" w:color="auto"/>
          </w:divBdr>
        </w:div>
        <w:div w:id="405348254">
          <w:marLeft w:val="0"/>
          <w:marRight w:val="0"/>
          <w:marTop w:val="0"/>
          <w:marBottom w:val="0"/>
          <w:divBdr>
            <w:top w:val="none" w:sz="0" w:space="0" w:color="auto"/>
            <w:left w:val="none" w:sz="0" w:space="0" w:color="auto"/>
            <w:bottom w:val="none" w:sz="0" w:space="0" w:color="auto"/>
            <w:right w:val="none" w:sz="0" w:space="0" w:color="auto"/>
          </w:divBdr>
        </w:div>
        <w:div w:id="409666160">
          <w:marLeft w:val="0"/>
          <w:marRight w:val="0"/>
          <w:marTop w:val="0"/>
          <w:marBottom w:val="0"/>
          <w:divBdr>
            <w:top w:val="none" w:sz="0" w:space="0" w:color="auto"/>
            <w:left w:val="none" w:sz="0" w:space="0" w:color="auto"/>
            <w:bottom w:val="none" w:sz="0" w:space="0" w:color="auto"/>
            <w:right w:val="none" w:sz="0" w:space="0" w:color="auto"/>
          </w:divBdr>
        </w:div>
        <w:div w:id="419252058">
          <w:marLeft w:val="0"/>
          <w:marRight w:val="0"/>
          <w:marTop w:val="0"/>
          <w:marBottom w:val="0"/>
          <w:divBdr>
            <w:top w:val="none" w:sz="0" w:space="0" w:color="auto"/>
            <w:left w:val="none" w:sz="0" w:space="0" w:color="auto"/>
            <w:bottom w:val="none" w:sz="0" w:space="0" w:color="auto"/>
            <w:right w:val="none" w:sz="0" w:space="0" w:color="auto"/>
          </w:divBdr>
        </w:div>
        <w:div w:id="504248361">
          <w:marLeft w:val="0"/>
          <w:marRight w:val="0"/>
          <w:marTop w:val="0"/>
          <w:marBottom w:val="0"/>
          <w:divBdr>
            <w:top w:val="none" w:sz="0" w:space="0" w:color="auto"/>
            <w:left w:val="none" w:sz="0" w:space="0" w:color="auto"/>
            <w:bottom w:val="none" w:sz="0" w:space="0" w:color="auto"/>
            <w:right w:val="none" w:sz="0" w:space="0" w:color="auto"/>
          </w:divBdr>
        </w:div>
        <w:div w:id="524100528">
          <w:marLeft w:val="0"/>
          <w:marRight w:val="0"/>
          <w:marTop w:val="0"/>
          <w:marBottom w:val="0"/>
          <w:divBdr>
            <w:top w:val="none" w:sz="0" w:space="0" w:color="auto"/>
            <w:left w:val="none" w:sz="0" w:space="0" w:color="auto"/>
            <w:bottom w:val="none" w:sz="0" w:space="0" w:color="auto"/>
            <w:right w:val="none" w:sz="0" w:space="0" w:color="auto"/>
          </w:divBdr>
        </w:div>
        <w:div w:id="579869726">
          <w:marLeft w:val="0"/>
          <w:marRight w:val="0"/>
          <w:marTop w:val="0"/>
          <w:marBottom w:val="0"/>
          <w:divBdr>
            <w:top w:val="none" w:sz="0" w:space="0" w:color="auto"/>
            <w:left w:val="none" w:sz="0" w:space="0" w:color="auto"/>
            <w:bottom w:val="none" w:sz="0" w:space="0" w:color="auto"/>
            <w:right w:val="none" w:sz="0" w:space="0" w:color="auto"/>
          </w:divBdr>
        </w:div>
        <w:div w:id="589240139">
          <w:marLeft w:val="0"/>
          <w:marRight w:val="0"/>
          <w:marTop w:val="0"/>
          <w:marBottom w:val="0"/>
          <w:divBdr>
            <w:top w:val="none" w:sz="0" w:space="0" w:color="auto"/>
            <w:left w:val="none" w:sz="0" w:space="0" w:color="auto"/>
            <w:bottom w:val="none" w:sz="0" w:space="0" w:color="auto"/>
            <w:right w:val="none" w:sz="0" w:space="0" w:color="auto"/>
          </w:divBdr>
        </w:div>
        <w:div w:id="596328685">
          <w:marLeft w:val="0"/>
          <w:marRight w:val="0"/>
          <w:marTop w:val="0"/>
          <w:marBottom w:val="0"/>
          <w:divBdr>
            <w:top w:val="none" w:sz="0" w:space="0" w:color="auto"/>
            <w:left w:val="none" w:sz="0" w:space="0" w:color="auto"/>
            <w:bottom w:val="none" w:sz="0" w:space="0" w:color="auto"/>
            <w:right w:val="none" w:sz="0" w:space="0" w:color="auto"/>
          </w:divBdr>
        </w:div>
        <w:div w:id="622922207">
          <w:marLeft w:val="0"/>
          <w:marRight w:val="0"/>
          <w:marTop w:val="0"/>
          <w:marBottom w:val="0"/>
          <w:divBdr>
            <w:top w:val="none" w:sz="0" w:space="0" w:color="auto"/>
            <w:left w:val="none" w:sz="0" w:space="0" w:color="auto"/>
            <w:bottom w:val="none" w:sz="0" w:space="0" w:color="auto"/>
            <w:right w:val="none" w:sz="0" w:space="0" w:color="auto"/>
          </w:divBdr>
        </w:div>
        <w:div w:id="651180243">
          <w:marLeft w:val="0"/>
          <w:marRight w:val="0"/>
          <w:marTop w:val="0"/>
          <w:marBottom w:val="0"/>
          <w:divBdr>
            <w:top w:val="none" w:sz="0" w:space="0" w:color="auto"/>
            <w:left w:val="none" w:sz="0" w:space="0" w:color="auto"/>
            <w:bottom w:val="none" w:sz="0" w:space="0" w:color="auto"/>
            <w:right w:val="none" w:sz="0" w:space="0" w:color="auto"/>
          </w:divBdr>
        </w:div>
        <w:div w:id="739447193">
          <w:marLeft w:val="0"/>
          <w:marRight w:val="0"/>
          <w:marTop w:val="0"/>
          <w:marBottom w:val="0"/>
          <w:divBdr>
            <w:top w:val="none" w:sz="0" w:space="0" w:color="auto"/>
            <w:left w:val="none" w:sz="0" w:space="0" w:color="auto"/>
            <w:bottom w:val="none" w:sz="0" w:space="0" w:color="auto"/>
            <w:right w:val="none" w:sz="0" w:space="0" w:color="auto"/>
          </w:divBdr>
        </w:div>
        <w:div w:id="878395359">
          <w:marLeft w:val="0"/>
          <w:marRight w:val="0"/>
          <w:marTop w:val="0"/>
          <w:marBottom w:val="0"/>
          <w:divBdr>
            <w:top w:val="none" w:sz="0" w:space="0" w:color="auto"/>
            <w:left w:val="none" w:sz="0" w:space="0" w:color="auto"/>
            <w:bottom w:val="none" w:sz="0" w:space="0" w:color="auto"/>
            <w:right w:val="none" w:sz="0" w:space="0" w:color="auto"/>
          </w:divBdr>
        </w:div>
        <w:div w:id="892618218">
          <w:marLeft w:val="0"/>
          <w:marRight w:val="0"/>
          <w:marTop w:val="0"/>
          <w:marBottom w:val="0"/>
          <w:divBdr>
            <w:top w:val="none" w:sz="0" w:space="0" w:color="auto"/>
            <w:left w:val="none" w:sz="0" w:space="0" w:color="auto"/>
            <w:bottom w:val="none" w:sz="0" w:space="0" w:color="auto"/>
            <w:right w:val="none" w:sz="0" w:space="0" w:color="auto"/>
          </w:divBdr>
        </w:div>
        <w:div w:id="896740980">
          <w:marLeft w:val="0"/>
          <w:marRight w:val="0"/>
          <w:marTop w:val="0"/>
          <w:marBottom w:val="0"/>
          <w:divBdr>
            <w:top w:val="none" w:sz="0" w:space="0" w:color="auto"/>
            <w:left w:val="none" w:sz="0" w:space="0" w:color="auto"/>
            <w:bottom w:val="none" w:sz="0" w:space="0" w:color="auto"/>
            <w:right w:val="none" w:sz="0" w:space="0" w:color="auto"/>
          </w:divBdr>
        </w:div>
        <w:div w:id="911308021">
          <w:marLeft w:val="0"/>
          <w:marRight w:val="0"/>
          <w:marTop w:val="0"/>
          <w:marBottom w:val="0"/>
          <w:divBdr>
            <w:top w:val="none" w:sz="0" w:space="0" w:color="auto"/>
            <w:left w:val="none" w:sz="0" w:space="0" w:color="auto"/>
            <w:bottom w:val="none" w:sz="0" w:space="0" w:color="auto"/>
            <w:right w:val="none" w:sz="0" w:space="0" w:color="auto"/>
          </w:divBdr>
        </w:div>
        <w:div w:id="918296959">
          <w:marLeft w:val="0"/>
          <w:marRight w:val="0"/>
          <w:marTop w:val="0"/>
          <w:marBottom w:val="0"/>
          <w:divBdr>
            <w:top w:val="none" w:sz="0" w:space="0" w:color="auto"/>
            <w:left w:val="none" w:sz="0" w:space="0" w:color="auto"/>
            <w:bottom w:val="none" w:sz="0" w:space="0" w:color="auto"/>
            <w:right w:val="none" w:sz="0" w:space="0" w:color="auto"/>
          </w:divBdr>
        </w:div>
        <w:div w:id="972053580">
          <w:marLeft w:val="0"/>
          <w:marRight w:val="0"/>
          <w:marTop w:val="0"/>
          <w:marBottom w:val="0"/>
          <w:divBdr>
            <w:top w:val="none" w:sz="0" w:space="0" w:color="auto"/>
            <w:left w:val="none" w:sz="0" w:space="0" w:color="auto"/>
            <w:bottom w:val="none" w:sz="0" w:space="0" w:color="auto"/>
            <w:right w:val="none" w:sz="0" w:space="0" w:color="auto"/>
          </w:divBdr>
        </w:div>
        <w:div w:id="972636432">
          <w:marLeft w:val="0"/>
          <w:marRight w:val="0"/>
          <w:marTop w:val="0"/>
          <w:marBottom w:val="0"/>
          <w:divBdr>
            <w:top w:val="none" w:sz="0" w:space="0" w:color="auto"/>
            <w:left w:val="none" w:sz="0" w:space="0" w:color="auto"/>
            <w:bottom w:val="none" w:sz="0" w:space="0" w:color="auto"/>
            <w:right w:val="none" w:sz="0" w:space="0" w:color="auto"/>
          </w:divBdr>
        </w:div>
        <w:div w:id="1010982421">
          <w:marLeft w:val="0"/>
          <w:marRight w:val="0"/>
          <w:marTop w:val="0"/>
          <w:marBottom w:val="0"/>
          <w:divBdr>
            <w:top w:val="none" w:sz="0" w:space="0" w:color="auto"/>
            <w:left w:val="none" w:sz="0" w:space="0" w:color="auto"/>
            <w:bottom w:val="none" w:sz="0" w:space="0" w:color="auto"/>
            <w:right w:val="none" w:sz="0" w:space="0" w:color="auto"/>
          </w:divBdr>
        </w:div>
        <w:div w:id="1033263534">
          <w:marLeft w:val="0"/>
          <w:marRight w:val="0"/>
          <w:marTop w:val="0"/>
          <w:marBottom w:val="0"/>
          <w:divBdr>
            <w:top w:val="none" w:sz="0" w:space="0" w:color="auto"/>
            <w:left w:val="none" w:sz="0" w:space="0" w:color="auto"/>
            <w:bottom w:val="none" w:sz="0" w:space="0" w:color="auto"/>
            <w:right w:val="none" w:sz="0" w:space="0" w:color="auto"/>
          </w:divBdr>
        </w:div>
        <w:div w:id="1051733626">
          <w:marLeft w:val="0"/>
          <w:marRight w:val="0"/>
          <w:marTop w:val="0"/>
          <w:marBottom w:val="0"/>
          <w:divBdr>
            <w:top w:val="none" w:sz="0" w:space="0" w:color="auto"/>
            <w:left w:val="none" w:sz="0" w:space="0" w:color="auto"/>
            <w:bottom w:val="none" w:sz="0" w:space="0" w:color="auto"/>
            <w:right w:val="none" w:sz="0" w:space="0" w:color="auto"/>
          </w:divBdr>
        </w:div>
        <w:div w:id="1119765040">
          <w:marLeft w:val="0"/>
          <w:marRight w:val="0"/>
          <w:marTop w:val="0"/>
          <w:marBottom w:val="0"/>
          <w:divBdr>
            <w:top w:val="none" w:sz="0" w:space="0" w:color="auto"/>
            <w:left w:val="none" w:sz="0" w:space="0" w:color="auto"/>
            <w:bottom w:val="none" w:sz="0" w:space="0" w:color="auto"/>
            <w:right w:val="none" w:sz="0" w:space="0" w:color="auto"/>
          </w:divBdr>
        </w:div>
        <w:div w:id="1157454119">
          <w:marLeft w:val="0"/>
          <w:marRight w:val="0"/>
          <w:marTop w:val="0"/>
          <w:marBottom w:val="0"/>
          <w:divBdr>
            <w:top w:val="none" w:sz="0" w:space="0" w:color="auto"/>
            <w:left w:val="none" w:sz="0" w:space="0" w:color="auto"/>
            <w:bottom w:val="none" w:sz="0" w:space="0" w:color="auto"/>
            <w:right w:val="none" w:sz="0" w:space="0" w:color="auto"/>
          </w:divBdr>
        </w:div>
        <w:div w:id="1204093779">
          <w:marLeft w:val="0"/>
          <w:marRight w:val="0"/>
          <w:marTop w:val="0"/>
          <w:marBottom w:val="0"/>
          <w:divBdr>
            <w:top w:val="none" w:sz="0" w:space="0" w:color="auto"/>
            <w:left w:val="none" w:sz="0" w:space="0" w:color="auto"/>
            <w:bottom w:val="none" w:sz="0" w:space="0" w:color="auto"/>
            <w:right w:val="none" w:sz="0" w:space="0" w:color="auto"/>
          </w:divBdr>
        </w:div>
        <w:div w:id="1223834822">
          <w:marLeft w:val="0"/>
          <w:marRight w:val="0"/>
          <w:marTop w:val="0"/>
          <w:marBottom w:val="0"/>
          <w:divBdr>
            <w:top w:val="none" w:sz="0" w:space="0" w:color="auto"/>
            <w:left w:val="none" w:sz="0" w:space="0" w:color="auto"/>
            <w:bottom w:val="none" w:sz="0" w:space="0" w:color="auto"/>
            <w:right w:val="none" w:sz="0" w:space="0" w:color="auto"/>
          </w:divBdr>
        </w:div>
        <w:div w:id="1232740358">
          <w:marLeft w:val="0"/>
          <w:marRight w:val="0"/>
          <w:marTop w:val="0"/>
          <w:marBottom w:val="0"/>
          <w:divBdr>
            <w:top w:val="none" w:sz="0" w:space="0" w:color="auto"/>
            <w:left w:val="none" w:sz="0" w:space="0" w:color="auto"/>
            <w:bottom w:val="none" w:sz="0" w:space="0" w:color="auto"/>
            <w:right w:val="none" w:sz="0" w:space="0" w:color="auto"/>
          </w:divBdr>
        </w:div>
        <w:div w:id="1282878453">
          <w:marLeft w:val="0"/>
          <w:marRight w:val="0"/>
          <w:marTop w:val="0"/>
          <w:marBottom w:val="0"/>
          <w:divBdr>
            <w:top w:val="none" w:sz="0" w:space="0" w:color="auto"/>
            <w:left w:val="none" w:sz="0" w:space="0" w:color="auto"/>
            <w:bottom w:val="none" w:sz="0" w:space="0" w:color="auto"/>
            <w:right w:val="none" w:sz="0" w:space="0" w:color="auto"/>
          </w:divBdr>
        </w:div>
        <w:div w:id="1299453551">
          <w:marLeft w:val="0"/>
          <w:marRight w:val="0"/>
          <w:marTop w:val="0"/>
          <w:marBottom w:val="0"/>
          <w:divBdr>
            <w:top w:val="none" w:sz="0" w:space="0" w:color="auto"/>
            <w:left w:val="none" w:sz="0" w:space="0" w:color="auto"/>
            <w:bottom w:val="none" w:sz="0" w:space="0" w:color="auto"/>
            <w:right w:val="none" w:sz="0" w:space="0" w:color="auto"/>
          </w:divBdr>
        </w:div>
        <w:div w:id="1357149340">
          <w:marLeft w:val="0"/>
          <w:marRight w:val="0"/>
          <w:marTop w:val="0"/>
          <w:marBottom w:val="0"/>
          <w:divBdr>
            <w:top w:val="none" w:sz="0" w:space="0" w:color="auto"/>
            <w:left w:val="none" w:sz="0" w:space="0" w:color="auto"/>
            <w:bottom w:val="none" w:sz="0" w:space="0" w:color="auto"/>
            <w:right w:val="none" w:sz="0" w:space="0" w:color="auto"/>
          </w:divBdr>
        </w:div>
        <w:div w:id="1439645471">
          <w:marLeft w:val="0"/>
          <w:marRight w:val="0"/>
          <w:marTop w:val="0"/>
          <w:marBottom w:val="0"/>
          <w:divBdr>
            <w:top w:val="none" w:sz="0" w:space="0" w:color="auto"/>
            <w:left w:val="none" w:sz="0" w:space="0" w:color="auto"/>
            <w:bottom w:val="none" w:sz="0" w:space="0" w:color="auto"/>
            <w:right w:val="none" w:sz="0" w:space="0" w:color="auto"/>
          </w:divBdr>
        </w:div>
        <w:div w:id="1470635346">
          <w:marLeft w:val="0"/>
          <w:marRight w:val="0"/>
          <w:marTop w:val="0"/>
          <w:marBottom w:val="0"/>
          <w:divBdr>
            <w:top w:val="none" w:sz="0" w:space="0" w:color="auto"/>
            <w:left w:val="none" w:sz="0" w:space="0" w:color="auto"/>
            <w:bottom w:val="none" w:sz="0" w:space="0" w:color="auto"/>
            <w:right w:val="none" w:sz="0" w:space="0" w:color="auto"/>
          </w:divBdr>
        </w:div>
        <w:div w:id="1494833626">
          <w:marLeft w:val="0"/>
          <w:marRight w:val="0"/>
          <w:marTop w:val="0"/>
          <w:marBottom w:val="0"/>
          <w:divBdr>
            <w:top w:val="none" w:sz="0" w:space="0" w:color="auto"/>
            <w:left w:val="none" w:sz="0" w:space="0" w:color="auto"/>
            <w:bottom w:val="none" w:sz="0" w:space="0" w:color="auto"/>
            <w:right w:val="none" w:sz="0" w:space="0" w:color="auto"/>
          </w:divBdr>
        </w:div>
        <w:div w:id="1634940198">
          <w:marLeft w:val="0"/>
          <w:marRight w:val="0"/>
          <w:marTop w:val="0"/>
          <w:marBottom w:val="0"/>
          <w:divBdr>
            <w:top w:val="none" w:sz="0" w:space="0" w:color="auto"/>
            <w:left w:val="none" w:sz="0" w:space="0" w:color="auto"/>
            <w:bottom w:val="none" w:sz="0" w:space="0" w:color="auto"/>
            <w:right w:val="none" w:sz="0" w:space="0" w:color="auto"/>
          </w:divBdr>
        </w:div>
        <w:div w:id="1649627542">
          <w:marLeft w:val="0"/>
          <w:marRight w:val="0"/>
          <w:marTop w:val="0"/>
          <w:marBottom w:val="0"/>
          <w:divBdr>
            <w:top w:val="none" w:sz="0" w:space="0" w:color="auto"/>
            <w:left w:val="none" w:sz="0" w:space="0" w:color="auto"/>
            <w:bottom w:val="none" w:sz="0" w:space="0" w:color="auto"/>
            <w:right w:val="none" w:sz="0" w:space="0" w:color="auto"/>
          </w:divBdr>
        </w:div>
        <w:div w:id="1688864653">
          <w:marLeft w:val="0"/>
          <w:marRight w:val="0"/>
          <w:marTop w:val="0"/>
          <w:marBottom w:val="0"/>
          <w:divBdr>
            <w:top w:val="none" w:sz="0" w:space="0" w:color="auto"/>
            <w:left w:val="none" w:sz="0" w:space="0" w:color="auto"/>
            <w:bottom w:val="none" w:sz="0" w:space="0" w:color="auto"/>
            <w:right w:val="none" w:sz="0" w:space="0" w:color="auto"/>
          </w:divBdr>
        </w:div>
        <w:div w:id="1693843782">
          <w:marLeft w:val="0"/>
          <w:marRight w:val="0"/>
          <w:marTop w:val="0"/>
          <w:marBottom w:val="0"/>
          <w:divBdr>
            <w:top w:val="none" w:sz="0" w:space="0" w:color="auto"/>
            <w:left w:val="none" w:sz="0" w:space="0" w:color="auto"/>
            <w:bottom w:val="none" w:sz="0" w:space="0" w:color="auto"/>
            <w:right w:val="none" w:sz="0" w:space="0" w:color="auto"/>
          </w:divBdr>
        </w:div>
        <w:div w:id="1729841672">
          <w:marLeft w:val="0"/>
          <w:marRight w:val="0"/>
          <w:marTop w:val="0"/>
          <w:marBottom w:val="0"/>
          <w:divBdr>
            <w:top w:val="none" w:sz="0" w:space="0" w:color="auto"/>
            <w:left w:val="none" w:sz="0" w:space="0" w:color="auto"/>
            <w:bottom w:val="none" w:sz="0" w:space="0" w:color="auto"/>
            <w:right w:val="none" w:sz="0" w:space="0" w:color="auto"/>
          </w:divBdr>
        </w:div>
        <w:div w:id="1815021250">
          <w:marLeft w:val="0"/>
          <w:marRight w:val="0"/>
          <w:marTop w:val="0"/>
          <w:marBottom w:val="0"/>
          <w:divBdr>
            <w:top w:val="none" w:sz="0" w:space="0" w:color="auto"/>
            <w:left w:val="none" w:sz="0" w:space="0" w:color="auto"/>
            <w:bottom w:val="none" w:sz="0" w:space="0" w:color="auto"/>
            <w:right w:val="none" w:sz="0" w:space="0" w:color="auto"/>
          </w:divBdr>
        </w:div>
        <w:div w:id="1863474769">
          <w:marLeft w:val="0"/>
          <w:marRight w:val="0"/>
          <w:marTop w:val="0"/>
          <w:marBottom w:val="0"/>
          <w:divBdr>
            <w:top w:val="none" w:sz="0" w:space="0" w:color="auto"/>
            <w:left w:val="none" w:sz="0" w:space="0" w:color="auto"/>
            <w:bottom w:val="none" w:sz="0" w:space="0" w:color="auto"/>
            <w:right w:val="none" w:sz="0" w:space="0" w:color="auto"/>
          </w:divBdr>
        </w:div>
        <w:div w:id="1920096548">
          <w:marLeft w:val="0"/>
          <w:marRight w:val="0"/>
          <w:marTop w:val="0"/>
          <w:marBottom w:val="0"/>
          <w:divBdr>
            <w:top w:val="none" w:sz="0" w:space="0" w:color="auto"/>
            <w:left w:val="none" w:sz="0" w:space="0" w:color="auto"/>
            <w:bottom w:val="none" w:sz="0" w:space="0" w:color="auto"/>
            <w:right w:val="none" w:sz="0" w:space="0" w:color="auto"/>
          </w:divBdr>
        </w:div>
        <w:div w:id="1974948198">
          <w:marLeft w:val="0"/>
          <w:marRight w:val="0"/>
          <w:marTop w:val="0"/>
          <w:marBottom w:val="0"/>
          <w:divBdr>
            <w:top w:val="none" w:sz="0" w:space="0" w:color="auto"/>
            <w:left w:val="none" w:sz="0" w:space="0" w:color="auto"/>
            <w:bottom w:val="none" w:sz="0" w:space="0" w:color="auto"/>
            <w:right w:val="none" w:sz="0" w:space="0" w:color="auto"/>
          </w:divBdr>
        </w:div>
        <w:div w:id="2004896924">
          <w:marLeft w:val="0"/>
          <w:marRight w:val="0"/>
          <w:marTop w:val="0"/>
          <w:marBottom w:val="0"/>
          <w:divBdr>
            <w:top w:val="none" w:sz="0" w:space="0" w:color="auto"/>
            <w:left w:val="none" w:sz="0" w:space="0" w:color="auto"/>
            <w:bottom w:val="none" w:sz="0" w:space="0" w:color="auto"/>
            <w:right w:val="none" w:sz="0" w:space="0" w:color="auto"/>
          </w:divBdr>
        </w:div>
        <w:div w:id="2025936039">
          <w:marLeft w:val="0"/>
          <w:marRight w:val="0"/>
          <w:marTop w:val="0"/>
          <w:marBottom w:val="0"/>
          <w:divBdr>
            <w:top w:val="none" w:sz="0" w:space="0" w:color="auto"/>
            <w:left w:val="none" w:sz="0" w:space="0" w:color="auto"/>
            <w:bottom w:val="none" w:sz="0" w:space="0" w:color="auto"/>
            <w:right w:val="none" w:sz="0" w:space="0" w:color="auto"/>
          </w:divBdr>
        </w:div>
        <w:div w:id="2103718464">
          <w:marLeft w:val="0"/>
          <w:marRight w:val="0"/>
          <w:marTop w:val="0"/>
          <w:marBottom w:val="0"/>
          <w:divBdr>
            <w:top w:val="none" w:sz="0" w:space="0" w:color="auto"/>
            <w:left w:val="none" w:sz="0" w:space="0" w:color="auto"/>
            <w:bottom w:val="none" w:sz="0" w:space="0" w:color="auto"/>
            <w:right w:val="none" w:sz="0" w:space="0" w:color="auto"/>
          </w:divBdr>
        </w:div>
      </w:divsChild>
    </w:div>
    <w:div w:id="17183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57DE7-5161-45B6-9F0B-92DEFD3F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17627</Words>
  <Characters>10048</Characters>
  <Application>Microsoft Office Word</Application>
  <DocSecurity>0</DocSecurity>
  <Lines>83</Lines>
  <Paragraphs>55</Paragraphs>
  <ScaleCrop>false</ScaleCrop>
  <HeadingPairs>
    <vt:vector size="2" baseType="variant">
      <vt:variant>
        <vt:lpstr>Pavadinimas</vt:lpstr>
      </vt:variant>
      <vt:variant>
        <vt:i4>1</vt:i4>
      </vt:variant>
    </vt:vector>
  </HeadingPairs>
  <TitlesOfParts>
    <vt:vector size="1" baseType="lpstr">
      <vt:lpstr>VILNIAUS MIESTO SAVIVALDYBĖS 2002 METŲ SAUSIO – LIEPOS MĖN</vt:lpstr>
    </vt:vector>
  </TitlesOfParts>
  <Company>VMSA</Company>
  <LinksUpToDate>false</LinksUpToDate>
  <CharactersWithSpaces>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MIESTO SAVIVALDYBĖS 2002 METŲ SAUSIO – LIEPOS MĖN</dc:title>
  <dc:subject/>
  <dc:creator>Inf.sk</dc:creator>
  <cp:keywords/>
  <cp:lastModifiedBy>Almantas Šimonis</cp:lastModifiedBy>
  <cp:revision>87</cp:revision>
  <cp:lastPrinted>2018-01-10T06:29:00Z</cp:lastPrinted>
  <dcterms:created xsi:type="dcterms:W3CDTF">2018-01-10T07:45:00Z</dcterms:created>
  <dcterms:modified xsi:type="dcterms:W3CDTF">2018-01-10T08:59:00Z</dcterms:modified>
</cp:coreProperties>
</file>