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Default="005A15F0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vIeŠosios</w:t>
      </w:r>
      <w:r w:rsidR="004F48A5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="004F48A5"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F37752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„SKALVIJOS“ kino centras 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>
        <w:rPr>
          <w:rFonts w:ascii="Times New Roman" w:hAnsi="Times New Roman" w:cs="Times New Roman"/>
          <w:b/>
          <w:caps/>
          <w:sz w:val="24"/>
          <w:szCs w:val="24"/>
          <w:lang w:val="en-GB"/>
        </w:rPr>
        <w:t>20</w:t>
      </w:r>
      <w:r w:rsidR="004F48A5"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752A4D" w:rsidRDefault="00752A4D">
      <w:pPr>
        <w:rPr>
          <w:lang w:val="lt-LT"/>
        </w:rPr>
      </w:pPr>
    </w:p>
    <w:p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10065" w:type="dxa"/>
        <w:tblInd w:w="-176" w:type="dxa"/>
        <w:tblLook w:val="04A0" w:firstRow="1" w:lastRow="0" w:firstColumn="1" w:lastColumn="0" w:noHBand="0" w:noVBand="1"/>
      </w:tblPr>
      <w:tblGrid>
        <w:gridCol w:w="1135"/>
        <w:gridCol w:w="8930"/>
      </w:tblGrid>
      <w:tr w:rsidR="00F5615B" w:rsidRPr="00752A4D" w:rsidTr="00140FED"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30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752A4D" w:rsidTr="00140FED">
        <w:tc>
          <w:tcPr>
            <w:tcW w:w="1135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30" w:type="dxa"/>
          </w:tcPr>
          <w:p w:rsidR="00752A4D" w:rsidRPr="00752A4D" w:rsidRDefault="00F3775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:rsidR="00752A4D" w:rsidRP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10065" w:type="dxa"/>
        <w:tblInd w:w="-176" w:type="dxa"/>
        <w:tblLook w:val="04A0" w:firstRow="1" w:lastRow="0" w:firstColumn="1" w:lastColumn="0" w:noHBand="0" w:noVBand="1"/>
      </w:tblPr>
      <w:tblGrid>
        <w:gridCol w:w="1135"/>
        <w:gridCol w:w="6974"/>
        <w:gridCol w:w="1956"/>
      </w:tblGrid>
      <w:tr w:rsidR="004F48A5" w:rsidRPr="00752A4D" w:rsidTr="00140FED">
        <w:tc>
          <w:tcPr>
            <w:tcW w:w="1135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AB02D9" w:rsidRPr="00752A4D" w:rsidTr="00140FED">
        <w:tc>
          <w:tcPr>
            <w:tcW w:w="1135" w:type="dxa"/>
          </w:tcPr>
          <w:p w:rsidR="00AB02D9" w:rsidRPr="005F1733" w:rsidRDefault="00AB02D9" w:rsidP="00AB02D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:rsidR="00AB02D9" w:rsidRPr="00752A4D" w:rsidRDefault="00AB02D9" w:rsidP="00AB02D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akademija</w:t>
            </w:r>
          </w:p>
        </w:tc>
        <w:tc>
          <w:tcPr>
            <w:tcW w:w="1956" w:type="dxa"/>
          </w:tcPr>
          <w:p w:rsidR="00AB02D9" w:rsidRPr="009307F3" w:rsidRDefault="00AB02D9" w:rsidP="00AB02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:rsidR="00516BA8" w:rsidRPr="00051CDF" w:rsidRDefault="00E32E09" w:rsidP="00516BA8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tbl>
      <w:tblPr>
        <w:tblStyle w:val="Lentelstinklelis"/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5528"/>
        <w:gridCol w:w="1276"/>
        <w:gridCol w:w="1276"/>
        <w:gridCol w:w="1417"/>
      </w:tblGrid>
      <w:tr w:rsidR="00516BA8" w:rsidRPr="00752A4D" w:rsidTr="00051CDF">
        <w:tc>
          <w:tcPr>
            <w:tcW w:w="568" w:type="dxa"/>
            <w:shd w:val="clear" w:color="auto" w:fill="D9D9D9" w:themeFill="background1" w:themeFillShade="D9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lang w:val="lt-LT"/>
              </w:rPr>
              <w:t>P</w:t>
            </w:r>
            <w:r w:rsidRPr="00C202EA">
              <w:rPr>
                <w:rFonts w:ascii="Times New Roman" w:hAnsi="Times New Roman"/>
                <w:bCs/>
                <w:sz w:val="24"/>
                <w:lang w:val="lt-LT"/>
              </w:rPr>
              <w:t>lanuojama bendradarbiauti su Prancūzų institutu rengiant prancūzų kino festivalį „Žiemos ekranai“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516BA8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Sausio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mėn.</w:t>
            </w:r>
          </w:p>
        </w:tc>
        <w:tc>
          <w:tcPr>
            <w:tcW w:w="1276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 w:val="restart"/>
            <w:vAlign w:val="center"/>
          </w:tcPr>
          <w:p w:rsidR="00516BA8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Suplanuota seansų </w:t>
            </w:r>
          </w:p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ir vaikams, ir jaunimui</w:t>
            </w: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P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 xml:space="preserve">lanuojama bendradarbiauti su UAB „Europos kinas“ rengiant </w:t>
            </w:r>
            <w:r w:rsidRPr="00C202EA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Tarptautinį Vilniaus k</w:t>
            </w: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ino festivalį „Kino pavasaris </w:t>
            </w:r>
            <w:r>
              <w:rPr>
                <w:rFonts w:ascii="Times New Roman" w:hAnsi="Times New Roman"/>
                <w:iCs/>
                <w:sz w:val="24"/>
                <w:szCs w:val="24"/>
                <w:lang w:val="en-GB"/>
              </w:rPr>
              <w:t>20</w:t>
            </w:r>
            <w:r w:rsidRPr="00C202EA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“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516BA8">
            <w:pPr>
              <w:ind w:left="-142" w:right="-102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Kovo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mėn.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lang w:val="lt-LT"/>
              </w:rPr>
              <w:t>Planuojama surengti Vilniaus LGBT festivalį „Kreivės“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Rugsėjo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mėn.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lang w:val="lt-LT"/>
              </w:rPr>
              <w:t>Bendradarbiaujant su VšĮ „Kino aljansas“ bus surengtas ankstyvojo kino festivalis „Pirmoji banga“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Rugsėjo mėn.</w:t>
            </w:r>
          </w:p>
        </w:tc>
        <w:tc>
          <w:tcPr>
            <w:tcW w:w="1276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V</w:t>
            </w: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yks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6-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asis</w:t>
            </w:r>
            <w:proofErr w:type="spellEnd"/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Vilniaus dokumentinių filmų festivalis</w:t>
            </w:r>
          </w:p>
        </w:tc>
        <w:tc>
          <w:tcPr>
            <w:tcW w:w="1276" w:type="dxa"/>
            <w:vAlign w:val="center"/>
          </w:tcPr>
          <w:p w:rsidR="00516BA8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Rugsėjo </w:t>
            </w:r>
          </w:p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20 – 30 d.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vaikams, ir jaunimui</w:t>
            </w: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endradarbiaujant su Žmogaus teisių centru planuojama surengti Tarptautinį dokumentinių filmų žmogaus teisių temomis festivalį „Nepatogus kinas“</w:t>
            </w:r>
          </w:p>
        </w:tc>
        <w:tc>
          <w:tcPr>
            <w:tcW w:w="1276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Spalio mėn.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Nemokamas</w:t>
            </w: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lang w:val="lt-LT"/>
              </w:rPr>
              <w:t>B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endradarbiaujant su Lenkijos institutu planuojama surengti lenkų kino festivalį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lang w:val="lt-LT"/>
              </w:rPr>
              <w:t>B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endradarbiaujant su</w:t>
            </w:r>
            <w:r w:rsidRPr="00C202EA">
              <w:rPr>
                <w:rFonts w:ascii="Times New Roman" w:hAnsi="Times New Roman"/>
                <w:b/>
                <w:sz w:val="24"/>
                <w:lang w:val="lt-LT"/>
              </w:rPr>
              <w:t xml:space="preserve"> </w:t>
            </w:r>
            <w:r w:rsidRPr="00C202EA">
              <w:rPr>
                <w:rFonts w:ascii="Times New Roman" w:hAnsi="Times New Roman"/>
                <w:sz w:val="24"/>
                <w:lang w:val="lt-LT"/>
              </w:rPr>
              <w:t>VšĮ „Kino aljansas“ bus surengtas Europos šalių kino forumas „Scanorama“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Lapkričio mėn.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rPr>
          <w:trHeight w:val="582"/>
        </w:trPr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savaitgaliais vyks specialūs seansai šeimoms „Karlsono kinas“</w:t>
            </w:r>
          </w:p>
        </w:tc>
        <w:tc>
          <w:tcPr>
            <w:tcW w:w="1276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Sausio – gruodžio mėn.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kiekvieną pirmadienį vyks specialūs seansai senjorams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1,5 eurų</w:t>
            </w:r>
          </w:p>
        </w:tc>
        <w:tc>
          <w:tcPr>
            <w:tcW w:w="1417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Visus metus (išskyrus vasaros mėnesius) kiekvieną sekmadienį bus rodomas pasaulinės kino klasikos kūrinys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528" w:type="dxa"/>
            <w:vAlign w:val="center"/>
          </w:tcPr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Per visas moksleivių atostogas dienos metu bus organizuojami vaikiškų filmų seansai „Atostogos kine“</w:t>
            </w: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  <w:vMerge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Vaikams ir jaunimui</w:t>
            </w:r>
          </w:p>
        </w:tc>
      </w:tr>
      <w:tr w:rsidR="00516BA8" w:rsidRPr="00752A4D" w:rsidTr="00051CDF">
        <w:tc>
          <w:tcPr>
            <w:tcW w:w="568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528" w:type="dxa"/>
            <w:vAlign w:val="center"/>
          </w:tcPr>
          <w:p w:rsidR="00516BA8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Kiekvieną dieną (išskyrus Kalėdas, Velykas ir liepos mėn.) vyks kino seansai; darbo dienomis – 3 repertuariniai seansai, savaitgaliais – 4-5 </w:t>
            </w:r>
          </w:p>
          <w:p w:rsidR="00516BA8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repertuariniai seansai. Darbo dienomis dieniniu </w:t>
            </w:r>
          </w:p>
          <w:p w:rsidR="00516BA8" w:rsidRPr="00C202EA" w:rsidRDefault="00516BA8" w:rsidP="003C7FF9">
            <w:pPr>
              <w:pStyle w:val="Betarp"/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laiku vyks užsakomieji edukaciniai kino seansai mokykloms.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Sausio – gruodžio mėn.</w:t>
            </w:r>
          </w:p>
        </w:tc>
        <w:tc>
          <w:tcPr>
            <w:tcW w:w="1276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Mokami</w:t>
            </w:r>
          </w:p>
        </w:tc>
        <w:tc>
          <w:tcPr>
            <w:tcW w:w="1417" w:type="dxa"/>
            <w:vAlign w:val="center"/>
          </w:tcPr>
          <w:p w:rsidR="00516BA8" w:rsidRPr="00C202EA" w:rsidRDefault="00516BA8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202EA">
              <w:rPr>
                <w:rFonts w:ascii="Times New Roman" w:hAnsi="Times New Roman"/>
                <w:sz w:val="24"/>
                <w:szCs w:val="24"/>
                <w:lang w:val="lt-LT"/>
              </w:rPr>
              <w:t>Suplanuota seansų ir vaikams ir jaunimui</w:t>
            </w:r>
          </w:p>
        </w:tc>
      </w:tr>
    </w:tbl>
    <w:p w:rsidR="007054E3" w:rsidRDefault="007054E3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7054E3" w:rsidRDefault="007054E3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lastRenderedPageBreak/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17"/>
        <w:gridCol w:w="6521"/>
        <w:gridCol w:w="850"/>
        <w:gridCol w:w="1418"/>
      </w:tblGrid>
      <w:tr w:rsidR="004F48A5" w:rsidRPr="00752A4D" w:rsidTr="00051CD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516BA8" w:rsidRPr="00752A4D" w:rsidTr="00051CDF">
        <w:tc>
          <w:tcPr>
            <w:tcW w:w="817" w:type="dxa"/>
          </w:tcPr>
          <w:p w:rsidR="00516BA8" w:rsidRPr="00BD08BD" w:rsidRDefault="00516BA8" w:rsidP="003C7F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:rsidR="00516BA8" w:rsidRPr="00B91A26" w:rsidRDefault="00516BA8" w:rsidP="003C7FF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„Skalvijos kino akademija“ – kino mokykla 14-18 m. moksleiviams (vaidybinio kino programa, dokumentinio kino programa, kino programų kuratorių programa)</w:t>
            </w:r>
          </w:p>
        </w:tc>
        <w:tc>
          <w:tcPr>
            <w:tcW w:w="850" w:type="dxa"/>
          </w:tcPr>
          <w:p w:rsidR="00516BA8" w:rsidRPr="00752A4D" w:rsidRDefault="00516BA8" w:rsidP="003C7F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16BA8" w:rsidRPr="00752A4D" w:rsidRDefault="00516BA8" w:rsidP="003C7F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x</w:t>
            </w:r>
          </w:p>
        </w:tc>
      </w:tr>
    </w:tbl>
    <w:p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:rsidR="003B500E" w:rsidRDefault="003B500E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34"/>
        <w:gridCol w:w="7938"/>
        <w:gridCol w:w="1156"/>
      </w:tblGrid>
      <w:tr w:rsidR="003B500E" w:rsidRPr="00752A4D" w:rsidTr="003C7FF9">
        <w:tc>
          <w:tcPr>
            <w:tcW w:w="534" w:type="dxa"/>
          </w:tcPr>
          <w:p w:rsidR="003B500E" w:rsidRPr="005F1733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938" w:type="dxa"/>
          </w:tcPr>
          <w:p w:rsidR="003B500E" w:rsidRPr="00B91A26" w:rsidRDefault="003B500E" w:rsidP="003C7FF9">
            <w:pPr>
              <w:ind w:left="-142" w:right="-102"/>
              <w:jc w:val="center"/>
              <w:rPr>
                <w:rFonts w:ascii="Times New Roman" w:hAnsi="Times New Roman"/>
                <w:bCs/>
                <w:sz w:val="24"/>
                <w:lang w:val="lt-LT"/>
              </w:rPr>
            </w:pPr>
            <w:r>
              <w:rPr>
                <w:rFonts w:ascii="Times New Roman" w:hAnsi="Times New Roman"/>
                <w:sz w:val="24"/>
                <w:lang w:val="lt-LT"/>
              </w:rPr>
              <w:t>2020</w:t>
            </w:r>
            <w:r w:rsidRPr="00B91A26">
              <w:rPr>
                <w:rFonts w:ascii="Times New Roman" w:hAnsi="Times New Roman"/>
                <w:sz w:val="24"/>
                <w:lang w:val="lt-LT"/>
              </w:rPr>
              <w:t xml:space="preserve"> m. bus toliau vykdomas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svarbiausias kino centro edukacinis projektas – </w:t>
            </w:r>
            <w:r w:rsidRPr="00B91A26">
              <w:rPr>
                <w:rFonts w:ascii="Times New Roman" w:hAnsi="Times New Roman"/>
                <w:b/>
                <w:bCs/>
                <w:sz w:val="24"/>
                <w:lang w:val="lt-LT"/>
              </w:rPr>
              <w:t>„Skalvijos“ kino akademija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. Mokslo metai Akademijoje trunka dvejus metus, jaunimas joje mokosi kino meno – kino istorijos, kino režisūros, operatoriaus,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apšvietėjo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 meno,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prodiuserystės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 xml:space="preserve">, montažo. Akademijoje dėsto kino profesionalai – režisieriai Akvilė Gelažiūtė, Marija </w:t>
            </w:r>
            <w:proofErr w:type="spellStart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Kavtaradzė</w:t>
            </w:r>
            <w:proofErr w:type="spellEnd"/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, Marija Stonytė,</w:t>
            </w:r>
            <w:r>
              <w:rPr>
                <w:rFonts w:ascii="Times New Roman" w:hAnsi="Times New Roman"/>
                <w:bCs/>
                <w:sz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lt-LT"/>
              </w:rPr>
              <w:t>Klementas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lt-L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lang w:val="lt-LT"/>
              </w:rPr>
              <w:t>Davydavičius</w:t>
            </w:r>
            <w:proofErr w:type="spellEnd"/>
            <w:r>
              <w:rPr>
                <w:rFonts w:ascii="Times New Roman" w:hAnsi="Times New Roman"/>
                <w:bCs/>
                <w:sz w:val="24"/>
                <w:lang w:val="lt-LT"/>
              </w:rPr>
              <w:t>, kino kritikas Narius Kairys ir kt</w:t>
            </w:r>
            <w:r w:rsidRPr="00B91A26">
              <w:rPr>
                <w:rFonts w:ascii="Times New Roman" w:hAnsi="Times New Roman"/>
                <w:bCs/>
                <w:sz w:val="24"/>
                <w:lang w:val="lt-LT"/>
              </w:rPr>
              <w:t>. „Skalvijos“ kino akademija - tai tęstinis projektas, kuriame nuo 2013 m. rudens kasmet dalyvauja 50 Vilniaus moksleivių. „Skalvijos“ kino akademiją papildo per moksleivių atostogas rengiamos kino stovyklos. Stovyklos – tai vienos savaitės trukmės užsiėmimai, kuriuose moksleiviai, padedami kino profesionalų kuria trumpo metro filmus.</w:t>
            </w:r>
          </w:p>
        </w:tc>
        <w:tc>
          <w:tcPr>
            <w:tcW w:w="1156" w:type="dxa"/>
          </w:tcPr>
          <w:p w:rsidR="003B500E" w:rsidRPr="00752A4D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B500E" w:rsidRPr="00752A4D" w:rsidTr="003C7FF9">
        <w:tc>
          <w:tcPr>
            <w:tcW w:w="534" w:type="dxa"/>
          </w:tcPr>
          <w:p w:rsidR="003B500E" w:rsidRPr="005F1733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938" w:type="dxa"/>
          </w:tcPr>
          <w:p w:rsidR="003B500E" w:rsidRPr="00B91A26" w:rsidRDefault="003B500E" w:rsidP="00675022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2020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„Skalvijos“ kino centras tęs bendradarbiavimą su bendrojo lavinimo mokyklomis. Ir toliau vykdys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bendrojo lavinimo mokykloms skirtą projektą 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„Mokausi iš kino“. 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Projekto veiklos: filmų rodymas ir aptarimas, kūrybinės kino kūrimo dirbtuvės. 2015 m. projektas tapo respublikiniu </w:t>
            </w:r>
            <w:r>
              <w:rPr>
                <w:rFonts w:ascii="Times New Roman" w:hAnsi="Times New Roman"/>
                <w:sz w:val="24"/>
                <w:szCs w:val="24"/>
                <w:lang w:val="lt-LT" w:eastAsia="lt-LT"/>
              </w:rPr>
              <w:t>–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 </w:t>
            </w:r>
            <w:r w:rsidRPr="00B91A26">
              <w:rPr>
                <w:rFonts w:ascii="Times New Roman" w:hAnsi="Times New Roman"/>
                <w:b/>
                <w:sz w:val="24"/>
                <w:szCs w:val="24"/>
                <w:lang w:val="lt-LT" w:eastAsia="lt-LT"/>
              </w:rPr>
              <w:t>„Mokausi iš kino“</w:t>
            </w:r>
            <w:r w:rsidRPr="00B91A26">
              <w:rPr>
                <w:rFonts w:ascii="Times New Roman" w:hAnsi="Times New Roman"/>
                <w:sz w:val="24"/>
                <w:szCs w:val="24"/>
                <w:lang w:val="lt-LT" w:eastAsia="lt-LT"/>
              </w:rPr>
              <w:t xml:space="preserve"> filmų programa rodoma Kaune, Panevėžyje, Klaipėdoje, Varėnoje, Gargžduose, Utenoje, Mažeikiuose. </w:t>
            </w:r>
            <w:r w:rsidRPr="00B91A26">
              <w:rPr>
                <w:rFonts w:ascii="Times New Roman" w:hAnsi="Times New Roman"/>
                <w:i/>
                <w:sz w:val="24"/>
                <w:szCs w:val="24"/>
                <w:lang w:val="lt-LT"/>
              </w:rPr>
              <w:t>Filmų rodymas ir aptarimas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Filmų programą sudaro įvairaus amžiaus jaunimui skirti, išliekamąją meninę vertę turintys filmai iš įvairių Europos šalių.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F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>ilmą lydi profesionalų specialiai paruošta metodinė filmo aptarimo medžiaga, kurią pedagogai gali naudoti organizuod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ami diskusijas. M</w:t>
            </w:r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okykloms taip pat siūloma sudalyvauti </w:t>
            </w:r>
            <w:r w:rsidR="00675022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kino dirbtuvėse - </w:t>
            </w:r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programoje „Paversk žodžius vaizdais“</w:t>
            </w:r>
            <w:r w:rsidR="00675022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, „Aplink mus“</w:t>
            </w:r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(filmavimo mobiliaisiais telefonais dirbtuvės)</w:t>
            </w:r>
            <w:r w:rsidR="00675022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, animacinių filmų kūrimo dirbtuvėse</w:t>
            </w:r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.</w:t>
            </w:r>
          </w:p>
        </w:tc>
        <w:tc>
          <w:tcPr>
            <w:tcW w:w="1156" w:type="dxa"/>
          </w:tcPr>
          <w:p w:rsidR="003B500E" w:rsidRPr="00752A4D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B500E" w:rsidRPr="00752A4D" w:rsidTr="003C7FF9">
        <w:tc>
          <w:tcPr>
            <w:tcW w:w="534" w:type="dxa"/>
          </w:tcPr>
          <w:p w:rsidR="003B500E" w:rsidRPr="005F1733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938" w:type="dxa"/>
          </w:tcPr>
          <w:p w:rsidR="003B500E" w:rsidRPr="00B91A26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2020</w:t>
            </w:r>
            <w:r w:rsidR="00E1721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bookmarkStart w:id="0" w:name="_GoBack"/>
            <w:bookmarkEnd w:id="0"/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„Skalvijos“ kino centras tęs 2009 m. inicijuotą projektą, skirtą šeimoms su mažais vaikais. </w:t>
            </w:r>
            <w:r w:rsidRPr="00B91A2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„Karlsono kino“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seansai vyks savaitgaliais, juose bus rodomi Europos kūrėjų darbai. Kartą per mėnesį bus organizuojamos animacijos dirbtuvės, skirtos vaikus supažindinti su skirtingo</w:t>
            </w:r>
            <w:r w:rsidR="002B4F23">
              <w:rPr>
                <w:rFonts w:ascii="Times New Roman" w:hAnsi="Times New Roman"/>
                <w:sz w:val="24"/>
                <w:szCs w:val="24"/>
                <w:lang w:val="lt-LT"/>
              </w:rPr>
              <w:t>mis animacijos technikomis. 2020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bus atnaujintos ir sukurtos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edukacinės programos: </w:t>
            </w:r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kūrybinės animacijos dirbtuvės „Sustabdytas kadras“ ir „Pažink animaciją“, k</w:t>
            </w:r>
            <w:r w:rsidRPr="00B91A26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oliažo animacijos kūrybinės dirbtuvės, </w:t>
            </w:r>
            <w:proofErr w:type="spellStart"/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plastelininės</w:t>
            </w:r>
            <w:proofErr w:type="spellEnd"/>
            <w:r w:rsidRPr="00B91A26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 xml:space="preserve"> animacijos ir plokščiųjų marionečių technikos kūrybinės dirbtuvės, senosios animacijos technikos dirbtuvės.</w:t>
            </w:r>
          </w:p>
        </w:tc>
        <w:tc>
          <w:tcPr>
            <w:tcW w:w="1156" w:type="dxa"/>
          </w:tcPr>
          <w:p w:rsidR="003B500E" w:rsidRPr="00752A4D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3B500E" w:rsidRPr="00752A4D" w:rsidTr="003C7FF9">
        <w:tc>
          <w:tcPr>
            <w:tcW w:w="534" w:type="dxa"/>
          </w:tcPr>
          <w:p w:rsidR="003B500E" w:rsidRPr="00A238CF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:rsidR="003B500E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2020 m. „Skalvijos“ kino centras dalyvaus LR Kultūros ministerijos inicijuotoje kultūrinės edukacijos priemonėje </w:t>
            </w:r>
            <w:r w:rsidRPr="00683146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„Kultūros pasas“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 Moksleiviai turės galimybę dalyvauti filmų peržiūrose, susitikti su kino kūrėjais, pagal kino edukacijos profesionalų paruoštą metodinę medžiagą (pedagogams) ir pratybas (moksleiviams) tęsti filmo analizę ir aptarimą klasėje.</w:t>
            </w:r>
          </w:p>
        </w:tc>
        <w:tc>
          <w:tcPr>
            <w:tcW w:w="1156" w:type="dxa"/>
          </w:tcPr>
          <w:p w:rsidR="003B500E" w:rsidRPr="00752A4D" w:rsidRDefault="003B500E" w:rsidP="003C7FF9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2B4F2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Rinkos tyrimai neplanuojami</w:t>
            </w:r>
          </w:p>
        </w:tc>
      </w:tr>
    </w:tbl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lastRenderedPageBreak/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6C0B48" w:rsidRPr="00752A4D" w:rsidTr="00E4626B">
        <w:tc>
          <w:tcPr>
            <w:tcW w:w="959" w:type="dxa"/>
          </w:tcPr>
          <w:p w:rsidR="006C0B48" w:rsidRPr="005F1733" w:rsidRDefault="006C0B48" w:rsidP="006C0B4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6C0B48" w:rsidRPr="00752A4D" w:rsidRDefault="006C0B48" w:rsidP="006C0B4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Nekomercinio kino rodytojų asociacijos narys</w:t>
            </w:r>
          </w:p>
        </w:tc>
      </w:tr>
      <w:tr w:rsidR="006C0B48" w:rsidRPr="00752A4D" w:rsidTr="00E4626B">
        <w:tc>
          <w:tcPr>
            <w:tcW w:w="959" w:type="dxa"/>
          </w:tcPr>
          <w:p w:rsidR="006C0B48" w:rsidRPr="005F1733" w:rsidRDefault="006C0B48" w:rsidP="006C0B4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:rsidR="006C0B48" w:rsidRPr="00752A4D" w:rsidRDefault="006C0B48" w:rsidP="006C0B4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Lietuvos kino platintojų asociacijos narys</w:t>
            </w:r>
          </w:p>
        </w:tc>
      </w:tr>
    </w:tbl>
    <w:p w:rsidR="00E4626B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6C0B48" w:rsidRPr="00752A4D" w:rsidTr="003C7FF9">
        <w:tc>
          <w:tcPr>
            <w:tcW w:w="959" w:type="dxa"/>
          </w:tcPr>
          <w:p w:rsidR="006C0B48" w:rsidRPr="005F1733" w:rsidRDefault="006C0B48" w:rsidP="003C7F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6C0B48" w:rsidRPr="00752A4D" w:rsidRDefault="006C0B48" w:rsidP="003C7F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tarptautinio kino teatrų tinklo „Europa Cinemas“ narys</w:t>
            </w:r>
          </w:p>
        </w:tc>
      </w:tr>
      <w:tr w:rsidR="006C0B48" w:rsidRPr="00752A4D" w:rsidTr="003C7FF9">
        <w:tc>
          <w:tcPr>
            <w:tcW w:w="959" w:type="dxa"/>
          </w:tcPr>
          <w:p w:rsidR="006C0B48" w:rsidRPr="005F1733" w:rsidRDefault="006C0B48" w:rsidP="003C7F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:rsidR="006C0B48" w:rsidRPr="00752A4D" w:rsidRDefault="006C0B48" w:rsidP="003C7F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„Skalvijos“ kino centras yra tarptautinės kino konfederacijos CICEA narys</w:t>
            </w:r>
          </w:p>
        </w:tc>
      </w:tr>
    </w:tbl>
    <w:p w:rsidR="004F48A5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E4626B" w:rsidRPr="00752A4D" w:rsidRDefault="00E4626B">
      <w:pPr>
        <w:rPr>
          <w:rFonts w:ascii="Times New Roman" w:hAnsi="Times New Roman"/>
          <w:sz w:val="24"/>
          <w:szCs w:val="24"/>
          <w:lang w:val="lt-LT"/>
        </w:rPr>
      </w:pPr>
    </w:p>
    <w:p w:rsidR="00CC3624" w:rsidRPr="007054E3" w:rsidRDefault="00CC3624" w:rsidP="00CC362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1172CD">
        <w:rPr>
          <w:rFonts w:ascii="Times New Roman" w:hAnsi="Times New Roman"/>
          <w:sz w:val="24"/>
          <w:szCs w:val="24"/>
          <w:lang w:val="en-GB"/>
        </w:rPr>
        <w:t>2020.01.24.</w:t>
      </w: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:rsidR="00CC3624" w:rsidRDefault="0064170C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Direktorė                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                               __________________                         </w:t>
      </w:r>
      <w:r w:rsidR="00872FB4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Vilma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Levickaitė</w:t>
      </w:r>
      <w:proofErr w:type="spellEnd"/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Įstaigos vadovas                                             (parašas)                                        (vardas, pavardė)</w:t>
      </w:r>
    </w:p>
    <w:p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752A4D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A5"/>
    <w:rsid w:val="00051CDF"/>
    <w:rsid w:val="000C2467"/>
    <w:rsid w:val="001172CD"/>
    <w:rsid w:val="00140FED"/>
    <w:rsid w:val="002A0C8C"/>
    <w:rsid w:val="002B4F23"/>
    <w:rsid w:val="002F2C25"/>
    <w:rsid w:val="003B500E"/>
    <w:rsid w:val="004F48A5"/>
    <w:rsid w:val="00516BA8"/>
    <w:rsid w:val="005A15F0"/>
    <w:rsid w:val="00622077"/>
    <w:rsid w:val="0064170C"/>
    <w:rsid w:val="00675022"/>
    <w:rsid w:val="006C0B48"/>
    <w:rsid w:val="007054E3"/>
    <w:rsid w:val="00752A4D"/>
    <w:rsid w:val="0079414B"/>
    <w:rsid w:val="007C4182"/>
    <w:rsid w:val="0086506F"/>
    <w:rsid w:val="00872FB4"/>
    <w:rsid w:val="009423D6"/>
    <w:rsid w:val="009977BC"/>
    <w:rsid w:val="009F2AA4"/>
    <w:rsid w:val="00AB02D9"/>
    <w:rsid w:val="00C647FA"/>
    <w:rsid w:val="00CB57A5"/>
    <w:rsid w:val="00CC3624"/>
    <w:rsid w:val="00E1721D"/>
    <w:rsid w:val="00E32E09"/>
    <w:rsid w:val="00E4626B"/>
    <w:rsid w:val="00E83F88"/>
    <w:rsid w:val="00F37752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3947</Words>
  <Characters>2251</Characters>
  <Application>Microsoft Office Word</Application>
  <DocSecurity>0</DocSecurity>
  <Lines>18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Vilma</cp:lastModifiedBy>
  <cp:revision>30</cp:revision>
  <cp:lastPrinted>2020-01-24T09:18:00Z</cp:lastPrinted>
  <dcterms:created xsi:type="dcterms:W3CDTF">2017-05-11T06:58:00Z</dcterms:created>
  <dcterms:modified xsi:type="dcterms:W3CDTF">2020-04-23T17:23:00Z</dcterms:modified>
</cp:coreProperties>
</file>