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FA1C27">
        <w:t>-11-15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136F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2136F2" w:rsidRDefault="002136F2" w:rsidP="002136F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2136F2"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0944FD" w:rsidRDefault="000944FD" w:rsidP="002136F2">
            <w:pPr>
              <w:spacing w:line="276" w:lineRule="auto"/>
              <w:rPr>
                <w:i/>
                <w:noProof/>
                <w:lang w:val="de-DE"/>
              </w:rPr>
            </w:pPr>
            <w:r w:rsidRPr="000944FD">
              <w:rPr>
                <w:i/>
                <w:noProof/>
                <w:lang w:val="de-DE"/>
              </w:rPr>
              <w:t>Ukmergės g. 234; Laisvės pr. 65A; Laisvės pr. 51; Dūkštų g. 9; Ozo g. 22; Gelvonų g. 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CB1775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2136F2" w:rsidP="002136F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2136F2">
              <w:rPr>
                <w:i/>
                <w:noProof/>
                <w:lang w:val="de-DE"/>
              </w:rPr>
              <w:t>2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0944FD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Laisvės pr. 65A; Musninkų g. 12; Gelvonų g. 32; Gelvonų g. 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944FD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1C27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F768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B0F32-88BC-480B-B2E9-EC94333D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2017-11-15T08:00:00Z</dcterms:modified>
  <cp:revision>84</cp:revision>
</cp:coreProperties>
</file>