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NAUJAMIESČIO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Odminių g. 3, LT-01122 Vilnius, tel. 211 2900, 211 2907, el. p. naujamiescio.seniunija@vilnius.lt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NAUJAMIESČIO SENIŪNIJOS TERITORIJOJE ESANČIŲ PROBLEMŲ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2017-12-21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A121-29005/17(2.1.15-S7)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Vilniaus miesto savivaldybės administracijos Naujamiesčio seniūnija atsakydama į  2017-12-05 tarnybinį raštą Nr. 28-609/17(1.2.13-T1) ,,SUSITIKIMO SU NAUJAMIESČIO SENIŪNIJOS BENDRUOMENE PROTOKOLAS“, informuoja dėl Seniūnijos teritorijoje esančių problemų. Reikalingų atlikti darbų ir probleminių vietų sąrašas/aprašas pateiktas prieduose.</w:t>
              <w:t/>
              <w:t/>
              <w:t/>
              <w:t/>
              <w:t/>
              <w:t/>
              <w:t/>
              <w:t/>
              <w:t/>
              <w:t/>
              <w:cr/>
              <w:t/>
              <w:cr/>
              <w:t>Pridedama: Probleminių komunalinių atliekų ir antrinių žaliavų aikštelių sąrašas, reikalingų atlikti asfaltavimo, skverų projektavimo darbų sąrašas.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Vladimiras Bieliauskas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