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 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MEDŽIŲ APGENĖJIMO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2018-04-06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A121-8126/18(2.1.15-S7)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Naujamiesčio seniūnija gavo UAB "Manoaplinka" prašymą: "Sveiki, gyventojai prašo suorganizuoti obelių genėjimą vidiniame kieme.</w:t>
              <w:t/>
              <w:t/>
              <w:t/>
              <w:t/>
              <w:t/>
              <w:t/>
              <w:cr/>
              <w:t>MA neturi galimybės tai padaryti.</w:t>
              <w:cr/>
              <w:t>Prašau sureaguoti ??</w:t>
              <w:cr/>
              <w:t> </w:t>
              <w:cr/>
              <w:t>Namo pirmininko kontaktas: Romas  tel. 868732050"</w:t>
              <w:cr/>
              <w:t/>
              <w:cr/>
              <w:t>Priedai: 2 nuotraukos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 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