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departamento Susisiekimo komunikacijų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ŠIAURĖS GATVĖS SUTVARKYMO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2017-09-20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A121-20793/17(2.1.15-S9)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Vadovaujantis mero susitikimo  su Naujosios Vilnios seniūnijos bendruomene 2016-07-01 protokolu Nr. 28-390/16, teikiame užklausą dėl Šiaurės g. įvažiavimo link Šiaurės g. 8A namo, pravažiavimo prie Šiaurės g. 12 ir 14 namų, ar šiose vietose numatyta remontuoti kelio dangą (nuotraukos pridedamos).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