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Saugaus miesto departamento Viešosios tvarkos 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NEPRIŽIŪRIMO SKLYPO JUODASIS K, 34, VILNIUS</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2017-10-20</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A121-23492/17(2.1.15-S9)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Informuojame, kad Juodasis k. 34, Vilnius sklypas priklausantis UAB "Nekilnojimo turto valdymas" reg. Nr. 300145575 yra neprižiūrimas. Sklype pradėta statyba ir jau ilgą laiką jokie darbai nevykdomi. Sklypo tvoros skydai išlūžinėję ir todėl į sklypo teritoriją yra laisvas praėjimas. Sklypo teritorijoje daug buitinių ir statybinių atliekų. Dėl netvarkos sklype tel. 8604 10177 buvo bendrauta su UAB "Nekilnojimo turto valdymas" direktoriumi Raimundu Balčiūnu, pastarasis pažadėjo iki 2017 m. birželio 6 d. sklypą sutvarkyti, bet iki šiol sklypas netvarkomas ir situacija sklype tik blogėja. Šiuo metu susisiekti su Raimundu Balčiūnu nepavyksta. Prašome dėl Švaros ir tvarkymo taisyklių pažeidimų  imtis priemonių, apie priimtus sprendimus informuoti seniūniją.</w:t>
              <w:t/>
              <w:t/>
              <w:t/>
              <w:cr/>
              <w:t>PRIDEDAMA. sklypo nuotraukos.</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