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MEDŽIO KIRTIMO PARKO G. 19, VILNIUS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2017-11-24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A121-26530/17(2.1.15-S9)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informuojame, kad šalia Parko g. 19, Vilnius namo stovi  išdžiuvęs su puviniu 32 cm skersmens medis (pridedame nuotraukas).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