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Saugaus miesto departamento Viešosios tvarkos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APLEISTO PASTATO DŪMŲ G. 3,VILNIUJE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2017-12-27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A121-29260/17(2.1.15-S9)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persiunčiame Jums nagrinėti surinktą medžiagą pagal 2017-12-04 LR Aplinkos ministerijos Vilniaus regiono aplinkos apsaugos departamento Vilniaus miesto prašymą reg. Nr. A50-38867/17 dėl Dūmų g. 3 pastato nepriežiūros. Patikrinimo metu buvo nustatyta, kad neprižiūrėto pastato savininkas UAB "Antrasis Užupis" (direktorius Tomas Miežis tel. 8614 49196). Pridedama.</w:t>
              <w:t/>
              <w:t/>
              <w:t/>
              <w:t/>
              <w:t/>
              <w:t/>
              <w:t/>
              <w:t/>
              <w:t/>
              <w:cr/>
              <w:t>1. Prašymas;</w:t>
              <w:cr/>
              <w:t>2. Žemėlapis;</w:t>
              <w:cr/>
              <w:t>3. Nuotraukos.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