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D84BC5">
        <w:t xml:space="preserve">                          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>
                  <w:r w:rsidRPr="00987F17">
                    <w:t xml:space="preserve">2017 m. </w:t>
                  </w:r>
                  <w:r>
                    <w:t xml:space="preserve">gegužės 31 d. </w:t>
                  </w:r>
                </w:p>
                <w:p w:rsidR="00D84BC5" w:rsidRPr="00987F17" w:rsidRDefault="00D84BC5" w:rsidP="00266176">
                  <w:r>
                    <w:t>įsakymu Nr.A15-1369/17(2.1.4-UK)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8E4433">
        <w:t xml:space="preserve">8 m. kovo </w:t>
      </w:r>
      <w:r w:rsidR="000A0C49">
        <w:t xml:space="preserve">   </w:t>
      </w:r>
      <w:r w:rsidR="00D84BC5">
        <w:t xml:space="preserve">  </w:t>
      </w:r>
      <w:r w:rsidR="007A573F">
        <w:t xml:space="preserve"> </w:t>
      </w:r>
      <w:r w:rsidR="00FA0891">
        <w:t xml:space="preserve">  </w:t>
      </w:r>
      <w:bookmarkStart w:id="0" w:name="_GoBack"/>
      <w:bookmarkEnd w:id="0"/>
      <w:r w:rsidR="00AC6B42">
        <w:t>Nr.</w:t>
      </w:r>
      <w:r w:rsidR="0044150B">
        <w:t xml:space="preserve"> </w:t>
      </w:r>
      <w:r w:rsidR="00071456">
        <w:t>A32-           /18</w:t>
      </w:r>
      <w:r w:rsidR="000B497C">
        <w:t>(2.1.15-S14)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84BC5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Senamiesčio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>
        <w:rPr>
          <w:sz w:val="22"/>
          <w:szCs w:val="22"/>
        </w:rPr>
        <w:t xml:space="preserve"> Raimundas Rimašius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>Senamiesčio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C830EC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Priešais Vrublevskių biblioteką, Universiteto, Šventaragio, Šiltadaržio, Bernardinų, </w:t>
            </w:r>
            <w:r>
              <w:rPr>
                <w:noProof/>
              </w:rPr>
              <w:t>Šv. Mykolo,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>A. Volano</w:t>
            </w:r>
            <w:r>
              <w:rPr>
                <w:noProof/>
              </w:rPr>
              <w:t xml:space="preserve">, </w:t>
            </w:r>
            <w:r w:rsidR="00A03422">
              <w:rPr>
                <w:noProof/>
              </w:rPr>
              <w:t xml:space="preserve">Augustijonų, Šv. Kazimiero, Paupio, Polocko, Karaliaus Mindaugo tiltas, </w:t>
            </w:r>
            <w:r w:rsidR="00DF4A66">
              <w:rPr>
                <w:noProof/>
              </w:rPr>
              <w:t>Baltasis skg. Islandijos (dv</w:t>
            </w:r>
            <w:r w:rsidR="002032E0">
              <w:rPr>
                <w:noProof/>
              </w:rPr>
              <w:t>iračių takas).</w:t>
            </w:r>
            <w:r w:rsidR="00DF4A66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032E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2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8E4433" w:rsidP="00DF4A66">
            <w:pPr>
              <w:spacing w:line="276" w:lineRule="auto"/>
              <w:ind w:left="34"/>
              <w:jc w:val="both"/>
              <w:rPr>
                <w:noProof/>
              </w:rPr>
            </w:pPr>
            <w:r>
              <w:rPr>
                <w:noProof/>
              </w:rPr>
              <w:t xml:space="preserve">Šv. Jurgio (neišvalyta pilnu pločiu), </w:t>
            </w:r>
            <w:r w:rsidR="00C830EC">
              <w:rPr>
                <w:noProof/>
              </w:rPr>
              <w:t xml:space="preserve">Ž. Liauksmino </w:t>
            </w:r>
            <w:r w:rsidR="00C830EC">
              <w:rPr>
                <w:noProof/>
              </w:rPr>
              <w:t>(neišvalyta pilnu pločiu)</w:t>
            </w:r>
            <w:r w:rsidR="00C830EC">
              <w:rPr>
                <w:noProof/>
              </w:rPr>
              <w:t xml:space="preserve">, Tilto </w:t>
            </w:r>
            <w:r w:rsidR="00C830EC">
              <w:rPr>
                <w:noProof/>
              </w:rPr>
              <w:t>(neišvalyta pilnu pločiu)</w:t>
            </w:r>
            <w:r w:rsidR="00C830EC">
              <w:rPr>
                <w:noProof/>
              </w:rPr>
              <w:t xml:space="preserve">, Universiteto </w:t>
            </w:r>
            <w:r w:rsidR="00C830EC">
              <w:rPr>
                <w:noProof/>
              </w:rPr>
              <w:t>(neišvalyta pilnu pločiu)</w:t>
            </w:r>
            <w:r w:rsidR="00C830EC">
              <w:rPr>
                <w:noProof/>
              </w:rPr>
              <w:t xml:space="preserve">, Šventaragio </w:t>
            </w:r>
            <w:r w:rsidR="00C830EC">
              <w:rPr>
                <w:noProof/>
              </w:rPr>
              <w:t>(neišvalyta pilnu pločiu),</w:t>
            </w:r>
            <w:r w:rsidR="00C830EC">
              <w:rPr>
                <w:noProof/>
              </w:rPr>
              <w:t xml:space="preserve"> B. Radvilaitės </w:t>
            </w:r>
            <w:r w:rsidR="00C830EC">
              <w:rPr>
                <w:noProof/>
              </w:rPr>
              <w:t>(neišvalyta pilnu pločiu),</w:t>
            </w:r>
            <w:r w:rsidR="00C830EC">
              <w:rPr>
                <w:noProof/>
              </w:rPr>
              <w:t xml:space="preserve"> Šiltadaržio, Bernardinų, A. Volano (viena pusė), Šv. Mykolo, Šv. Jono</w:t>
            </w:r>
            <w:r w:rsidR="009941A8">
              <w:rPr>
                <w:noProof/>
              </w:rPr>
              <w:t xml:space="preserve"> </w:t>
            </w:r>
            <w:r w:rsidR="009941A8">
              <w:rPr>
                <w:noProof/>
              </w:rPr>
              <w:t>(neišvalyta pilnu pločiu),</w:t>
            </w:r>
            <w:r w:rsidR="009941A8">
              <w:rPr>
                <w:noProof/>
              </w:rPr>
              <w:t xml:space="preserve"> Švarco </w:t>
            </w:r>
            <w:r w:rsidR="009941A8">
              <w:rPr>
                <w:noProof/>
              </w:rPr>
              <w:t xml:space="preserve">(neišvalyta pilnu pločiu), </w:t>
            </w:r>
            <w:r w:rsidR="009941A8">
              <w:rPr>
                <w:noProof/>
              </w:rPr>
              <w:t xml:space="preserve">Didžioji kelios atkarpos </w:t>
            </w:r>
            <w:r w:rsidR="009941A8">
              <w:rPr>
                <w:noProof/>
              </w:rPr>
              <w:t xml:space="preserve">(neišvalyta pilnu pločiu), </w:t>
            </w:r>
            <w:r w:rsidR="008346A0">
              <w:rPr>
                <w:noProof/>
              </w:rPr>
              <w:t xml:space="preserve">Savičiaus </w:t>
            </w:r>
            <w:r w:rsidR="008346A0">
              <w:rPr>
                <w:noProof/>
              </w:rPr>
              <w:t>(neišvalyta pilnu pločiu),</w:t>
            </w:r>
            <w:r w:rsidR="00A03422">
              <w:rPr>
                <w:noProof/>
              </w:rPr>
              <w:t xml:space="preserve"> Bokšto </w:t>
            </w:r>
            <w:r w:rsidR="00A03422">
              <w:rPr>
                <w:noProof/>
              </w:rPr>
              <w:t>(neišvalyta pilnu pločiu),</w:t>
            </w:r>
            <w:r w:rsidR="00A03422">
              <w:rPr>
                <w:noProof/>
              </w:rPr>
              <w:t xml:space="preserve"> Onos Šimaitės, Paupio, Užupio, Polocko </w:t>
            </w:r>
            <w:r w:rsidR="00A03422">
              <w:rPr>
                <w:noProof/>
              </w:rPr>
              <w:t>(neišvalyta pilnu pločiu),</w:t>
            </w:r>
            <w:r w:rsidR="00DF4A66">
              <w:rPr>
                <w:noProof/>
              </w:rPr>
              <w:t xml:space="preserve"> Arsenalo g. viena atkarpa esanti prieš tiltą per Vilnelę, Maironio (</w:t>
            </w:r>
            <w:r w:rsidR="00DF4A66">
              <w:rPr>
                <w:noProof/>
              </w:rPr>
              <w:t>neišvalyta pilnu pločiu),</w:t>
            </w:r>
            <w:r w:rsidR="00DF4A66">
              <w:rPr>
                <w:noProof/>
              </w:rPr>
              <w:t xml:space="preserve"> Žygimantų </w:t>
            </w:r>
            <w:r w:rsidR="00DF4A66">
              <w:rPr>
                <w:noProof/>
              </w:rPr>
              <w:t>(neišvalyta pilnu pločiu),</w:t>
            </w:r>
            <w:r w:rsidR="00DF4A66">
              <w:rPr>
                <w:noProof/>
              </w:rPr>
              <w:t xml:space="preserve"> Vilniaus </w:t>
            </w:r>
            <w:r w:rsidR="00DF4A66">
              <w:rPr>
                <w:noProof/>
              </w:rPr>
              <w:t>(neišvalyta pilnu pločiu),</w:t>
            </w:r>
            <w:r w:rsidR="00DF4A66">
              <w:rPr>
                <w:noProof/>
              </w:rPr>
              <w:t xml:space="preserve"> K. Kalinausko</w:t>
            </w:r>
            <w:r w:rsidR="002032E0">
              <w:rPr>
                <w:noProof/>
              </w:rPr>
              <w:t xml:space="preserve"> </w:t>
            </w:r>
            <w:r w:rsidR="002032E0">
              <w:rPr>
                <w:noProof/>
              </w:rPr>
              <w:t>(neišvalyta pilnu pločiu</w:t>
            </w:r>
            <w:r w:rsidR="002032E0">
              <w:rPr>
                <w:noProof/>
              </w:rPr>
              <w:t xml:space="preserve">), Teatro </w:t>
            </w:r>
            <w:r w:rsidR="002032E0">
              <w:rPr>
                <w:noProof/>
              </w:rPr>
              <w:t>(neišvalyta pilnu pločiu</w:t>
            </w:r>
            <w:r w:rsidR="002032E0">
              <w:rPr>
                <w:noProof/>
              </w:rPr>
              <w:t xml:space="preserve">).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2032E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3</w:t>
            </w:r>
            <w:r w:rsidR="00F764E8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A03422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T.Kosčiuškos g. tiltas per Vil</w:t>
            </w:r>
            <w:r w:rsidR="002032E0">
              <w:rPr>
                <w:noProof/>
              </w:rPr>
              <w:t>nelę (viena pusė).</w:t>
            </w:r>
            <w:r w:rsidR="00DF4A66">
              <w:rPr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2032E0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4</w:t>
            </w:r>
            <w:r w:rsidR="00AD770D" w:rsidRPr="00D95CD7">
              <w:rPr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D95CD7" w:rsidRDefault="008E4433" w:rsidP="00DF4A66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V. Kudirkos paminklo pjedestalas nevalytas,  </w:t>
            </w:r>
            <w:r w:rsidR="00DF4A66">
              <w:rPr>
                <w:noProof/>
                <w:color w:val="000000"/>
              </w:rPr>
              <w:t>nenuvalyti laiptai Polocko g. 26, Palangos g. (dviračių takas nepilnu pločiu</w:t>
            </w:r>
            <w:r w:rsidR="002032E0">
              <w:rPr>
                <w:noProof/>
                <w:color w:val="000000"/>
              </w:rPr>
              <w:t xml:space="preserve">), ties T. Vrublevskio-Arsenalo g. sankirtą teritorijų tvarkytojai krūvuoja sniegą prie medžių ir apšvietimo stulpų. </w:t>
            </w:r>
            <w:r w:rsidR="00DF4A66">
              <w:rPr>
                <w:noProof/>
                <w:color w:val="000000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AD770D" w:rsidP="00AD770D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84BC5" w:rsidP="00517A9A">
      <w:pPr>
        <w:jc w:val="both"/>
        <w:rPr>
          <w:bCs/>
          <w:noProof/>
        </w:rPr>
      </w:pPr>
      <w:r>
        <w:rPr>
          <w:bCs/>
          <w:noProof/>
        </w:rPr>
        <w:t>Raimundas Rimašius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456"/>
    <w:rsid w:val="000807A9"/>
    <w:rsid w:val="00082640"/>
    <w:rsid w:val="00083212"/>
    <w:rsid w:val="000911B4"/>
    <w:rsid w:val="000A0C49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32E0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46A0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E4433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941A8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3422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30EC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4A66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0891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BA180-91E4-4EA9-AAE6-0D7E02DE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2017-06-01T06:37:00Z</dcterms:created>
  <dc:creator>Marytė Misevičienė</dc:creator>
  <cp:lastModifiedBy>Raimundas Rimašius</cp:lastModifiedBy>
  <cp:lastPrinted>2018-03-02T12:31:00Z</cp:lastPrinted>
  <dcterms:modified xsi:type="dcterms:W3CDTF">2018-03-02T12:34:00Z</dcterms:modified>
  <cp:revision>17</cp:revision>
</cp:coreProperties>
</file>