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FINANSŲ DEPARTAMENTO TURTO VALDYMO SKYRIUS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E. miesto departamento Informacinių technologijų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DUOMENŲ ATNAUJINIMO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2016-09-30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A121-19080/16(2.1.19-FN9)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Siunčiame atnaujintus nekilnojamojo turto domenis į internetinį puslapį http://atviras.vilnius.lt.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Laima Sokienė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Modestas Rudys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