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  <w:r>
        <w:rPr>
          <w:rFonts w:ascii="Aptos" w:hAnsi="Aptos"/>
          <w:b/>
          <w:color w:val="2A8C82"/>
          <w:sz w:val="32"/>
        </w:rPr>
        <w:t>KADARN</w:t>
      </w:r>
    </w:p>
    <w:p>
      <w:pPr>
        <w:pStyle w:val="Title"/>
      </w:pPr>
      <w:r>
        <w:t>Constitución Arquitectónica v2.0</w:t>
      </w:r>
    </w:p>
    <w:p>
      <w:pPr>
        <w:pStyle w:val="Subtitle"/>
      </w:pPr>
      <w:r>
        <w:t>Documento rector de producto, conocimiento, dominio y decisiones</w:t>
      </w:r>
    </w:p>
    <w:p>
      <w:pPr>
        <w:spacing w:before="480"/>
      </w:pPr>
      <w:r>
        <w:rPr>
          <w:rFonts w:ascii="Aptos" w:hAnsi="Aptos"/>
          <w:b/>
          <w:color w:val="236A8D"/>
          <w:sz w:val="22"/>
        </w:rPr>
        <w:t>Versión 2.0</w:t>
      </w:r>
    </w:p>
    <w:p>
      <w:r>
        <w:rPr>
          <w:rFonts w:ascii="Aptos" w:hAnsi="Aptos"/>
          <w:color w:val="5B6570"/>
          <w:sz w:val="20"/>
        </w:rPr>
        <w:t>Normativa arquitectónica</w:t>
      </w:r>
    </w:p>
    <w:p>
      <w:pPr>
        <w:spacing w:before="1000"/>
        <w:shd w:fill="EAF2F6"/>
      </w:pPr>
      <w:r>
        <w:rPr>
          <w:rFonts w:ascii="Aptos" w:hAnsi="Aptos"/>
          <w:b/>
          <w:color w:val="2A8C82"/>
          <w:sz w:val="20"/>
        </w:rPr>
        <w:t>Decisión fundacional</w:t>
      </w:r>
    </w:p>
    <w:p>
      <w:pPr>
        <w:ind w:left="317" w:right="317"/>
      </w:pPr>
      <w:r>
        <w:rPr>
          <w:rFonts w:ascii="Aptos" w:hAnsi="Aptos"/>
          <w:b/>
          <w:color w:val="17324D"/>
          <w:sz w:val="26"/>
        </w:rPr>
        <w:t>KADARN deja de organizar documentos y respuestas aisladas. Su núcleo pasa a capturar, verificar, preservar y reutilizar conocimiento institucional para producir evaluaciones explicables sobre la capacidad real de ejecutar investigación clínica.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6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Propietario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E2933"/>
                <w:sz w:val="19"/>
              </w:rPr>
              <w:t>KADARN Architecture &amp; Engineering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6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Estado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E2933"/>
                <w:sz w:val="19"/>
              </w:rPr>
              <w:t>Rector / obligatorio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6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Base de decisión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E2933"/>
                <w:sz w:val="19"/>
              </w:rPr>
              <w:t>Consenso estratégico julio 2026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6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Revisión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E2933"/>
                <w:sz w:val="19"/>
              </w:rPr>
              <w:t>Ante cambios de dominio, no por calendario</w:t>
            </w:r>
          </w:p>
        </w:tc>
      </w:tr>
    </w:tbl>
    <w:p/>
    <w:p>
      <w:pPr>
        <w:pStyle w:val="Heading1"/>
      </w:pPr>
      <w:r>
        <w:t>Contenido</w:t>
      </w:r>
    </w:p>
    <w:p>
      <w:r>
        <w:rPr>
          <w:rFonts w:ascii="Aptos" w:hAnsi="Aptos"/>
          <w:i/>
          <w:color w:val="5B6570"/>
          <w:sz w:val="19"/>
        </w:rPr>
        <w:t>Este documento usa encabezados jerárquicos compatibles con la tabla de contenido automática de Microsoft Word.</w:t>
      </w:r>
    </w:p>
    <w:p>
      <w:pPr>
        <w:pStyle w:val="Heading1"/>
      </w:pPr>
      <w:r>
        <w:t>1. Propósito y autoridad del documento</w:t>
      </w:r>
    </w:p>
    <w:p>
      <w:r>
        <w:t>Esta Constitución reemplaza la interpretación de KADARN como repositorio documental, sistema de formularios, directorio de sitios o generador de perfiles. Define el propósito del producto, los límites del dominio, los principios que gobiernan la adquisición y conservación del conocimiento, y las condiciones que toda implementación debe respetar.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150" w:type="dxa"/>
              <w:start w:w="180" w:type="dxa"/>
              <w:bottom w:w="150" w:type="dxa"/>
              <w:end w:w="180" w:type="dxa"/>
            </w:tcMar>
            <w:shd w:fill="EAF2F6"/>
          </w:tcPr>
          <w:p>
            <w:r>
              <w:rPr>
                <w:rFonts w:ascii="Aptos" w:hAnsi="Aptos"/>
                <w:b/>
                <w:color w:val="2A8C82"/>
                <w:sz w:val="20"/>
              </w:rPr>
              <w:t>Regla de autoridad</w:t>
              <w:br/>
            </w:r>
            <w:r>
              <w:rPr>
                <w:rFonts w:ascii="Aptos" w:hAnsi="Aptos"/>
                <w:b/>
                <w:color w:val="17324D"/>
                <w:sz w:val="21"/>
              </w:rPr>
              <w:t>Cuando una decisión de producto, una historia de usuario o una implementación contradiga este documento, debe modificarse la implementación o aprobarse formalmente una enmienda arquitectónica.</w:t>
            </w:r>
          </w:p>
        </w:tc>
      </w:tr>
    </w:tbl>
    <w:p>
      <w:pPr>
        <w:spacing w:after="20"/>
      </w:pPr>
    </w:p>
    <w:p>
      <w:pPr>
        <w:pStyle w:val="Heading1"/>
      </w:pPr>
      <w:r>
        <w:t>2. Cambio de paradigma</w:t>
      </w:r>
    </w:p>
    <w:p>
      <w:r>
        <w:t>La arquitectura inicial permitió construir un núcleo de Institution, Person, Location, Membership, Role, Capability, Claim, Evidence, Review, Passport, Package y Share Grant. Ese núcleo sigue siendo válido, pero su interpretación cambia: los documentos dejan de ser el objeto central y pasan a ser una de múltiples fuentes capaces de producir evidencia.</w:t>
      </w:r>
    </w:p>
    <w:p>
      <w:pPr>
        <w:pStyle w:val="CodeBlock"/>
        <w:shd w:fill="F3F6F8"/>
      </w:pPr>
      <w:r>
        <w:t>Realidad operacional</w:t>
      </w:r>
    </w:p>
    <w:p>
      <w:pPr>
        <w:pStyle w:val="CodeBlock"/>
        <w:shd w:fill="F3F6F8"/>
      </w:pPr>
      <w:r>
        <w:t>→ Evento o actividad</w:t>
      </w:r>
    </w:p>
    <w:p>
      <w:pPr>
        <w:pStyle w:val="CodeBlock"/>
        <w:shd w:fill="F3F6F8"/>
      </w:pPr>
      <w:r>
        <w:t>→ Fuente y registro de origen</w:t>
      </w:r>
    </w:p>
    <w:p>
      <w:pPr>
        <w:pStyle w:val="CodeBlock"/>
        <w:shd w:fill="F3F6F8"/>
      </w:pPr>
      <w:r>
        <w:t>→ Observación extraída</w:t>
      </w:r>
    </w:p>
    <w:p>
      <w:pPr>
        <w:pStyle w:val="CodeBlock"/>
        <w:shd w:fill="F3F6F8"/>
      </w:pPr>
      <w:r>
        <w:t>→ Evidencia normalizada</w:t>
      </w:r>
    </w:p>
    <w:p>
      <w:pPr>
        <w:pStyle w:val="CodeBlock"/>
        <w:shd w:fill="F3F6F8"/>
      </w:pPr>
      <w:r>
        <w:t>→ Claim contextual y temporal</w:t>
      </w:r>
    </w:p>
    <w:p>
      <w:pPr>
        <w:pStyle w:val="CodeBlock"/>
        <w:shd w:fill="F3F6F8"/>
      </w:pPr>
      <w:r>
        <w:t>→ Capacidad institucional</w:t>
      </w:r>
    </w:p>
    <w:p>
      <w:pPr>
        <w:pStyle w:val="CodeBlock"/>
        <w:shd w:fill="F3F6F8"/>
      </w:pPr>
      <w:r>
        <w:t>→ Assessment contextual</w:t>
      </w:r>
    </w:p>
    <w:p>
      <w:pPr>
        <w:pStyle w:val="CodeBlock"/>
        <w:shd w:fill="F3F6F8"/>
      </w:pPr>
      <w:r>
        <w:t>→ Recomendación y decisión</w:t>
      </w:r>
    </w:p>
    <w:p>
      <w:pPr>
        <w:pStyle w:val="CodeBlock"/>
        <w:shd w:fill="F3F6F8"/>
      </w:pPr>
      <w:r>
        <w:t>→ Resultado y aprendizaje</w:t>
      </w:r>
    </w:p>
    <w:p>
      <w:pPr>
        <w:pStyle w:val="Heading1"/>
      </w:pPr>
      <w:r>
        <w:t>3. Definición oficial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150" w:type="dxa"/>
              <w:start w:w="180" w:type="dxa"/>
              <w:bottom w:w="150" w:type="dxa"/>
              <w:end w:w="180" w:type="dxa"/>
            </w:tcMar>
            <w:shd w:fill="EAF2F6"/>
          </w:tcPr>
          <w:p>
            <w:r>
              <w:rPr>
                <w:rFonts w:ascii="Aptos" w:hAnsi="Aptos"/>
                <w:b/>
                <w:color w:val="2A8C82"/>
                <w:sz w:val="20"/>
              </w:rPr>
              <w:t>Definición operativa</w:t>
              <w:br/>
            </w:r>
            <w:r>
              <w:rPr>
                <w:rFonts w:ascii="Aptos" w:hAnsi="Aptos"/>
                <w:b/>
                <w:color w:val="17324D"/>
                <w:sz w:val="21"/>
              </w:rPr>
              <w:t>KADARN es la infraestructura de conocimiento y capacidad institucional para investigación clínica. Convierte datos y evidencia dispersos en conocimiento verificable, vigente y reutilizable; transforma ese conocimiento en evaluaciones explicables; y permite compartirlo de forma controlada para soportar decisiones de factibilidad, selección, preparación y colaboración.</w:t>
            </w:r>
          </w:p>
        </w:tc>
      </w:tr>
    </w:tbl>
    <w:p>
      <w:pPr>
        <w:spacing w:after="20"/>
      </w:pPr>
    </w:p>
    <w:p>
      <w:r>
        <w:t>La pregunta rectora es: ¿Puede esta institución ejecutar este protocolo, bajo qué condiciones, por qué lo creemos, qué incertidumbres permanecen y qué evidencia vigente sostiene la conclusión?</w:t>
      </w:r>
    </w:p>
    <w:p>
      <w:pPr>
        <w:pStyle w:val="Heading1"/>
      </w:pPr>
      <w:r>
        <w:t>4. Qué es y qué no es KADARN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752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KADARN es</w:t>
            </w:r>
          </w:p>
        </w:tc>
        <w:tc>
          <w:tcPr>
            <w:tcW w:type="dxa" w:w="5040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KADARN no es</w:t>
            </w:r>
          </w:p>
        </w:tc>
      </w:tr>
      <w:tr>
        <w:tc>
          <w:tcPr>
            <w:tcW w:type="dxa" w:w="47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Capa de inteligencia institucional entre sistemas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Un sustituto de CTMS, EDC, EMR, eISF, IRB o Veeva</w:t>
            </w:r>
          </w:p>
        </w:tc>
      </w:tr>
      <w:tr>
        <w:tc>
          <w:tcPr>
            <w:tcW w:type="dxa" w:w="47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Memoria institucional verificable y temporal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Un depósito indiscriminado de archivos</w:t>
            </w:r>
          </w:p>
        </w:tc>
      </w:tr>
      <w:tr>
        <w:tc>
          <w:tcPr>
            <w:tcW w:type="dxa" w:w="47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Grafo de claims, evidencia, capacidad y evaluaciones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Un conjunto de formularios desconectados</w:t>
            </w:r>
          </w:p>
        </w:tc>
      </w:tr>
      <w:tr>
        <w:tc>
          <w:tcPr>
            <w:tcW w:type="dxa" w:w="47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Motor de evaluaciones contextualizadas por protocolo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Un ranking universal de sitios</w:t>
            </w:r>
          </w:p>
        </w:tc>
      </w:tr>
      <w:tr>
        <w:tc>
          <w:tcPr>
            <w:tcW w:type="dxa" w:w="47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Sistema de procedencia, confianza y contradicción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Una caja negra de IA</w:t>
            </w:r>
          </w:p>
        </w:tc>
      </w:tr>
      <w:tr>
        <w:tc>
          <w:tcPr>
            <w:tcW w:type="dxa" w:w="47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Infraestructura de publicación y acceso controlado</w:t>
            </w:r>
          </w:p>
        </w:tc>
        <w:tc>
          <w:tcPr>
            <w:tcW w:type="dxa" w:w="50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Un marketplace abierto en Fase I</w:t>
            </w:r>
          </w:p>
        </w:tc>
      </w:tr>
    </w:tbl>
    <w:p>
      <w:pPr>
        <w:spacing w:after="40"/>
      </w:pPr>
    </w:p>
    <w:p>
      <w:pPr>
        <w:pStyle w:val="Heading1"/>
      </w:pPr>
      <w:r>
        <w:t>5. Principios no negociables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150" w:type="dxa"/>
              <w:start w:w="180" w:type="dxa"/>
              <w:bottom w:w="150" w:type="dxa"/>
              <w:end w:w="180" w:type="dxa"/>
            </w:tcMar>
            <w:shd w:fill="EAF2F6"/>
          </w:tcPr>
          <w:p>
            <w:r>
              <w:rPr>
                <w:rFonts w:ascii="Aptos" w:hAnsi="Aptos"/>
                <w:b/>
                <w:color w:val="2A8C82"/>
                <w:sz w:val="20"/>
              </w:rPr>
              <w:t>Golden Source</w:t>
              <w:br/>
            </w:r>
            <w:r>
              <w:rPr>
                <w:rFonts w:ascii="Aptos" w:hAnsi="Aptos"/>
                <w:b/>
                <w:color w:val="17324D"/>
                <w:sz w:val="21"/>
              </w:rPr>
              <w:t>Cada atributo canónico declara fuente preferida, alternativas, autoridad, vigencia, adquisición y procedencia.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150" w:type="dxa"/>
              <w:start w:w="180" w:type="dxa"/>
              <w:bottom w:w="150" w:type="dxa"/>
              <w:end w:w="180" w:type="dxa"/>
            </w:tcMar>
            <w:shd w:fill="EAF2F6"/>
          </w:tcPr>
          <w:p>
            <w:r>
              <w:rPr>
                <w:rFonts w:ascii="Aptos" w:hAnsi="Aptos"/>
                <w:b/>
                <w:color w:val="2A8C82"/>
                <w:sz w:val="20"/>
              </w:rPr>
              <w:t>Knowledge Conservation</w:t>
              <w:br/>
            </w:r>
            <w:r>
              <w:rPr>
                <w:rFonts w:ascii="Aptos" w:hAnsi="Aptos"/>
                <w:b/>
                <w:color w:val="17324D"/>
                <w:sz w:val="21"/>
              </w:rPr>
              <w:t>Cada estudio debe aumentar la memoria institucional; el conocimiento útil no desaparece al cerrar el sistema fuente.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150" w:type="dxa"/>
              <w:start w:w="180" w:type="dxa"/>
              <w:bottom w:w="150" w:type="dxa"/>
              <w:end w:w="180" w:type="dxa"/>
            </w:tcMar>
            <w:shd w:fill="EAF2F6"/>
          </w:tcPr>
          <w:p>
            <w:r>
              <w:rPr>
                <w:rFonts w:ascii="Aptos" w:hAnsi="Aptos"/>
                <w:b/>
                <w:color w:val="2A8C82"/>
                <w:sz w:val="20"/>
              </w:rPr>
              <w:t>Acquire Once, Verify Once, Reuse Many Times</w:t>
              <w:br/>
            </w:r>
            <w:r>
              <w:rPr>
                <w:rFonts w:ascii="Aptos" w:hAnsi="Aptos"/>
                <w:b/>
                <w:color w:val="17324D"/>
                <w:sz w:val="21"/>
              </w:rPr>
              <w:t>La repetición de cuestionarios debe resolverse mediante reutilización gobernada, no mediante copiar respuestas.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150" w:type="dxa"/>
              <w:start w:w="180" w:type="dxa"/>
              <w:bottom w:w="150" w:type="dxa"/>
              <w:end w:w="180" w:type="dxa"/>
            </w:tcMar>
            <w:shd w:fill="EAF2F6"/>
          </w:tcPr>
          <w:p>
            <w:r>
              <w:rPr>
                <w:rFonts w:ascii="Aptos" w:hAnsi="Aptos"/>
                <w:b/>
                <w:color w:val="2A8C82"/>
                <w:sz w:val="20"/>
              </w:rPr>
              <w:t>Claims over Forms</w:t>
              <w:br/>
            </w:r>
            <w:r>
              <w:rPr>
                <w:rFonts w:ascii="Aptos" w:hAnsi="Aptos"/>
                <w:b/>
                <w:color w:val="17324D"/>
                <w:sz w:val="21"/>
              </w:rPr>
              <w:t>Los formularios son proyecciones o instrumentos de captura; el estado persistente son claims respaldados y contextualizados.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150" w:type="dxa"/>
              <w:start w:w="180" w:type="dxa"/>
              <w:bottom w:w="150" w:type="dxa"/>
              <w:end w:w="180" w:type="dxa"/>
            </w:tcMar>
            <w:shd w:fill="EAF2F6"/>
          </w:tcPr>
          <w:p>
            <w:r>
              <w:rPr>
                <w:rFonts w:ascii="Aptos" w:hAnsi="Aptos"/>
                <w:b/>
                <w:color w:val="2A8C82"/>
                <w:sz w:val="20"/>
              </w:rPr>
              <w:t>Sources before Manual Entry</w:t>
              <w:br/>
            </w:r>
            <w:r>
              <w:rPr>
                <w:rFonts w:ascii="Aptos" w:hAnsi="Aptos"/>
                <w:b/>
                <w:color w:val="17324D"/>
                <w:sz w:val="21"/>
              </w:rPr>
              <w:t>La entrada manual es el último recurso y siempre declara productor, fecha, alcance y nivel de autoridad.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150" w:type="dxa"/>
              <w:start w:w="180" w:type="dxa"/>
              <w:bottom w:w="150" w:type="dxa"/>
              <w:end w:w="180" w:type="dxa"/>
            </w:tcMar>
            <w:shd w:fill="EAF2F6"/>
          </w:tcPr>
          <w:p>
            <w:r>
              <w:rPr>
                <w:rFonts w:ascii="Aptos" w:hAnsi="Aptos"/>
                <w:b/>
                <w:color w:val="2A8C82"/>
                <w:sz w:val="20"/>
              </w:rPr>
              <w:t>Explainable Confidence</w:t>
              <w:br/>
            </w:r>
            <w:r>
              <w:rPr>
                <w:rFonts w:ascii="Aptos" w:hAnsi="Aptos"/>
                <w:b/>
                <w:color w:val="17324D"/>
                <w:sz w:val="21"/>
              </w:rPr>
              <w:t>Toda confianza debe descomponerse en autoridad, identidad, extracción, frescura, corroboración, consistencia, completitud y revisión.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150" w:type="dxa"/>
              <w:start w:w="180" w:type="dxa"/>
              <w:bottom w:w="150" w:type="dxa"/>
              <w:end w:w="180" w:type="dxa"/>
            </w:tcMar>
            <w:shd w:fill="EAF2F6"/>
          </w:tcPr>
          <w:p>
            <w:r>
              <w:rPr>
                <w:rFonts w:ascii="Aptos" w:hAnsi="Aptos"/>
                <w:b/>
                <w:color w:val="2A8C82"/>
                <w:sz w:val="20"/>
              </w:rPr>
              <w:t>Temporal Truth</w:t>
              <w:br/>
            </w:r>
            <w:r>
              <w:rPr>
                <w:rFonts w:ascii="Aptos" w:hAnsi="Aptos"/>
                <w:b/>
                <w:color w:val="17324D"/>
                <w:sz w:val="21"/>
              </w:rPr>
              <w:t>Una afirmación puede haber sido verdadera y dejar de serlo. Validez, observación, adquisición y verificación son tiempos distintos.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150" w:type="dxa"/>
              <w:start w:w="180" w:type="dxa"/>
              <w:bottom w:w="150" w:type="dxa"/>
              <w:end w:w="180" w:type="dxa"/>
            </w:tcMar>
            <w:shd w:fill="EAF2F6"/>
          </w:tcPr>
          <w:p>
            <w:r>
              <w:rPr>
                <w:rFonts w:ascii="Aptos" w:hAnsi="Aptos"/>
                <w:b/>
                <w:color w:val="2A8C82"/>
                <w:sz w:val="20"/>
              </w:rPr>
              <w:t>No Universal Site Score</w:t>
              <w:br/>
            </w:r>
            <w:r>
              <w:rPr>
                <w:rFonts w:ascii="Aptos" w:hAnsi="Aptos"/>
                <w:b/>
                <w:color w:val="17324D"/>
                <w:sz w:val="21"/>
              </w:rPr>
              <w:t>La idoneidad se evalúa contra un protocolo, una versión, un momento y condiciones operativas concretas.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150" w:type="dxa"/>
              <w:start w:w="180" w:type="dxa"/>
              <w:bottom w:w="150" w:type="dxa"/>
              <w:end w:w="180" w:type="dxa"/>
            </w:tcMar>
            <w:shd w:fill="EAF2F6"/>
          </w:tcPr>
          <w:p>
            <w:r>
              <w:rPr>
                <w:rFonts w:ascii="Aptos" w:hAnsi="Aptos"/>
                <w:b/>
                <w:color w:val="2A8C82"/>
                <w:sz w:val="20"/>
              </w:rPr>
              <w:t>Contradictions are Data</w:t>
              <w:br/>
            </w:r>
            <w:r>
              <w:rPr>
                <w:rFonts w:ascii="Aptos" w:hAnsi="Aptos"/>
                <w:b/>
                <w:color w:val="17324D"/>
                <w:sz w:val="21"/>
              </w:rPr>
              <w:t>La contradicción se conserva, se investiga y se resuelve; nunca se borra para fabricar consistencia.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150" w:type="dxa"/>
              <w:start w:w="180" w:type="dxa"/>
              <w:bottom w:w="150" w:type="dxa"/>
              <w:end w:w="180" w:type="dxa"/>
            </w:tcMar>
            <w:shd w:fill="EAF2F6"/>
          </w:tcPr>
          <w:p>
            <w:r>
              <w:rPr>
                <w:rFonts w:ascii="Aptos" w:hAnsi="Aptos"/>
                <w:b/>
                <w:color w:val="2A8C82"/>
                <w:sz w:val="20"/>
              </w:rPr>
              <w:t>Human Accountability</w:t>
              <w:br/>
            </w:r>
            <w:r>
              <w:rPr>
                <w:rFonts w:ascii="Aptos" w:hAnsi="Aptos"/>
                <w:b/>
                <w:color w:val="17324D"/>
                <w:sz w:val="21"/>
              </w:rPr>
              <w:t>La automatización puede extraer, sugerir e inferir; la autoridad de publicación y decisiones sensibles permanece atribuida.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150" w:type="dxa"/>
              <w:start w:w="180" w:type="dxa"/>
              <w:bottom w:w="150" w:type="dxa"/>
              <w:end w:w="180" w:type="dxa"/>
            </w:tcMar>
            <w:shd w:fill="EAF2F6"/>
          </w:tcPr>
          <w:p>
            <w:r>
              <w:rPr>
                <w:rFonts w:ascii="Aptos" w:hAnsi="Aptos"/>
                <w:b/>
                <w:color w:val="2A8C82"/>
                <w:sz w:val="20"/>
              </w:rPr>
              <w:t>Minimum Necessary Sharing</w:t>
              <w:br/>
            </w:r>
            <w:r>
              <w:rPr>
                <w:rFonts w:ascii="Aptos" w:hAnsi="Aptos"/>
                <w:b/>
                <w:color w:val="17324D"/>
                <w:sz w:val="21"/>
              </w:rPr>
              <w:t>Los paquetes y pasaportes exponen solo lo autorizado, necesario y vigente.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150" w:type="dxa"/>
              <w:start w:w="180" w:type="dxa"/>
              <w:bottom w:w="150" w:type="dxa"/>
              <w:end w:w="180" w:type="dxa"/>
            </w:tcMar>
            <w:shd w:fill="EAF2F6"/>
          </w:tcPr>
          <w:p>
            <w:r>
              <w:rPr>
                <w:rFonts w:ascii="Aptos" w:hAnsi="Aptos"/>
                <w:b/>
                <w:color w:val="2A8C82"/>
                <w:sz w:val="20"/>
              </w:rPr>
              <w:t>Capability before Presentation</w:t>
              <w:br/>
            </w:r>
            <w:r>
              <w:rPr>
                <w:rFonts w:ascii="Aptos" w:hAnsi="Aptos"/>
                <w:b/>
                <w:color w:val="17324D"/>
                <w:sz w:val="21"/>
              </w:rPr>
              <w:t>La UI no debe convertirse en fuente de verdad. Passport, dashboards y questionnaires son proyecciones del grafo.</w:t>
            </w:r>
          </w:p>
        </w:tc>
      </w:tr>
    </w:tbl>
    <w:p>
      <w:pPr>
        <w:spacing w:after="20"/>
      </w:pPr>
    </w:p>
    <w:p>
      <w:pPr>
        <w:pStyle w:val="Heading1"/>
      </w:pPr>
      <w:r>
        <w:t>6. Modelo canónico del conocimiento</w:t>
      </w:r>
    </w:p>
    <w:p>
      <w:r>
        <w:t>KADARN diferencia capas epistemológicas para impedir que una inferencia, una declaración humana y una observación directa reciban el mismo tratamiento.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800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Concepto</w:t>
            </w:r>
          </w:p>
        </w:tc>
        <w:tc>
          <w:tcPr>
            <w:tcW w:type="dxa" w:w="4536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Definición</w:t>
            </w:r>
          </w:p>
        </w:tc>
        <w:tc>
          <w:tcPr>
            <w:tcW w:type="dxa" w:w="3384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Puede sostener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Source</w:t>
            </w:r>
          </w:p>
        </w:tc>
        <w:tc>
          <w:tcPr>
            <w:tcW w:type="dxa" w:w="4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Productor o sistema con identidad y autoridad conocidas</w:t>
            </w:r>
          </w:p>
        </w:tc>
        <w:tc>
          <w:tcPr>
            <w:tcW w:type="dxa" w:w="33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SourceRecord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SourceRecord</w:t>
            </w:r>
          </w:p>
        </w:tc>
        <w:tc>
          <w:tcPr>
            <w:tcW w:type="dxa" w:w="4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Registro inmutable o versionado adquirido desde una fuente</w:t>
            </w:r>
          </w:p>
        </w:tc>
        <w:tc>
          <w:tcPr>
            <w:tcW w:type="dxa" w:w="33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Observation / Evidence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Observation</w:t>
            </w:r>
          </w:p>
        </w:tc>
        <w:tc>
          <w:tcPr>
            <w:tcW w:type="dxa" w:w="4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Dato extraído o leído, aún no convertido en verdad institucional</w:t>
            </w:r>
          </w:p>
        </w:tc>
        <w:tc>
          <w:tcPr>
            <w:tcW w:type="dxa" w:w="33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Claim candidato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Evidence</w:t>
            </w:r>
          </w:p>
        </w:tc>
        <w:tc>
          <w:tcPr>
            <w:tcW w:type="dxa" w:w="4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Objeto normalizado que preserva contenido, procedencia y alcance</w:t>
            </w:r>
          </w:p>
        </w:tc>
        <w:tc>
          <w:tcPr>
            <w:tcW w:type="dxa" w:w="33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Uno o varios Claims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Claim</w:t>
            </w:r>
          </w:p>
        </w:tc>
        <w:tc>
          <w:tcPr>
            <w:tcW w:type="dxa" w:w="4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Afirmación explícita sobre una entidad, contexto y periodo</w:t>
            </w:r>
          </w:p>
        </w:tc>
        <w:tc>
          <w:tcPr>
            <w:tcW w:type="dxa" w:w="33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Capability / Assessment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Derived Claim</w:t>
            </w:r>
          </w:p>
        </w:tc>
        <w:tc>
          <w:tcPr>
            <w:tcW w:type="dxa" w:w="4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Afirmación producida por regla determinística sobre claims existentes</w:t>
            </w:r>
          </w:p>
        </w:tc>
        <w:tc>
          <w:tcPr>
            <w:tcW w:type="dxa" w:w="33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Capability / Metric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Inference</w:t>
            </w:r>
          </w:p>
        </w:tc>
        <w:tc>
          <w:tcPr>
            <w:tcW w:type="dxa" w:w="4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Hipótesis producida por modelo o heurística, siempre identificada</w:t>
            </w:r>
          </w:p>
        </w:tc>
        <w:tc>
          <w:tcPr>
            <w:tcW w:type="dxa" w:w="33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Review / candidato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Capability</w:t>
            </w:r>
          </w:p>
        </w:tc>
        <w:tc>
          <w:tcPr>
            <w:tcW w:type="dxa" w:w="4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Capacidad institucional contextual, localizada, temporal y condicionada</w:t>
            </w:r>
          </w:p>
        </w:tc>
        <w:tc>
          <w:tcPr>
            <w:tcW w:type="dxa" w:w="33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Assessment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Assessment</w:t>
            </w:r>
          </w:p>
        </w:tc>
        <w:tc>
          <w:tcPr>
            <w:tcW w:type="dxa" w:w="4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Evaluación reproducible contra requisitos, evidencia y reglas</w:t>
            </w:r>
          </w:p>
        </w:tc>
        <w:tc>
          <w:tcPr>
            <w:tcW w:type="dxa" w:w="33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Recommendation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Recommendation</w:t>
            </w:r>
          </w:p>
        </w:tc>
        <w:tc>
          <w:tcPr>
            <w:tcW w:type="dxa" w:w="4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Sugerencia explicable con riesgos, brechas y mitigaciones</w:t>
            </w:r>
          </w:p>
        </w:tc>
        <w:tc>
          <w:tcPr>
            <w:tcW w:type="dxa" w:w="33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Decision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Decision</w:t>
            </w:r>
          </w:p>
        </w:tc>
        <w:tc>
          <w:tcPr>
            <w:tcW w:type="dxa" w:w="4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Resolución humana o autorizada y su fundamento</w:t>
            </w:r>
          </w:p>
        </w:tc>
        <w:tc>
          <w:tcPr>
            <w:tcW w:type="dxa" w:w="33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Outcome / Learning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Outcome</w:t>
            </w:r>
          </w:p>
        </w:tc>
        <w:tc>
          <w:tcPr>
            <w:tcW w:type="dxa" w:w="4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Resultado posterior que retroalimenta el conocimiento</w:t>
            </w:r>
          </w:p>
        </w:tc>
        <w:tc>
          <w:tcPr>
            <w:tcW w:type="dxa" w:w="33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Calibración y mejora</w:t>
            </w:r>
          </w:p>
        </w:tc>
      </w:tr>
    </w:tbl>
    <w:p>
      <w:pPr>
        <w:spacing w:after="40"/>
      </w:pPr>
    </w:p>
    <w:p>
      <w:pPr>
        <w:pStyle w:val="Heading1"/>
      </w:pPr>
      <w:r>
        <w:t>7. Modelo de Capability</w:t>
      </w:r>
    </w:p>
    <w:p>
      <w:r>
        <w:t>Capability se convierte en el principal subdominio de negocio. No significa solamente que una institución “tiene” algo. Debe expresar entidad propietaria, ubicación, periodo, estado, condiciones, disponibilidad, capacidad cuantitativa, restricciones y evidencia.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160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Dimensión</w:t>
            </w:r>
          </w:p>
        </w:tc>
        <w:tc>
          <w:tcPr>
            <w:tcW w:type="dxa" w:w="7560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Valores o preguntas</w:t>
            </w:r>
          </w:p>
        </w:tc>
      </w:tr>
      <w:tr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Tipo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estructural, clínica, operacional, regulatoria, tecnológica, histórica</w:t>
            </w:r>
          </w:p>
        </w:tc>
      </w:tr>
      <w:tr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Estado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candidate, observed, verified, active, constrained, unavailable, expired, superseded</w:t>
            </w:r>
          </w:p>
        </w:tc>
      </w:tr>
      <w:tr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Alcance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institution, location, person, team, equipment, service</w:t>
            </w:r>
          </w:p>
        </w:tc>
      </w:tr>
      <w:tr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Tiempo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valid_from, valid_until, observed_at, verified_at</w:t>
            </w:r>
          </w:p>
        </w:tc>
      </w:tr>
      <w:tr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Disponibilidad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actual, reservada, estacional, condicional, proyectada</w:t>
            </w:r>
          </w:p>
        </w:tc>
      </w:tr>
      <w:tr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Condiciones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población, horarios, PI, equipo, licencia, sponsor, protocolo</w:t>
            </w:r>
          </w:p>
        </w:tc>
      </w:tr>
      <w:tr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Cantidad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capacidad, unidad, ventana, frecuencia, tolerancia</w:t>
            </w:r>
          </w:p>
        </w:tc>
      </w:tr>
      <w:tr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Fundamento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claims, evidencia, revisiones, conflictos y excepciones</w:t>
            </w:r>
          </w:p>
        </w:tc>
      </w:tr>
    </w:tbl>
    <w:p>
      <w:pPr>
        <w:spacing w:after="40"/>
      </w:pPr>
    </w:p>
    <w:p>
      <w:pPr>
        <w:pStyle w:val="Heading1"/>
      </w:pPr>
      <w:r>
        <w:t>8. Evidence Source Intelligence</w:t>
      </w:r>
    </w:p>
    <w:p>
      <w:r>
        <w:t>Una fuente no es sinónimo de archivo. Puede ser registro público, persona, sistema, dispositivo, documento, API, exportación, evento o servicio externo. La arquitectura debe modelar explícitamente EvidenceSource, EvidenceProducer, SourceRecord, AcquisitionMethod, ExtractionRun, FreshnessPolicy y ProvenanceRecord.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448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Nivel de autoridad</w:t>
            </w:r>
          </w:p>
        </w:tc>
        <w:tc>
          <w:tcPr>
            <w:tcW w:type="dxa" w:w="3888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Ejemplos</w:t>
            </w:r>
          </w:p>
        </w:tc>
        <w:tc>
          <w:tcPr>
            <w:tcW w:type="dxa" w:w="3384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T1 — regulatoria / pública independiente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State Board, NPPES, CLIA, OIG, SAM.gov</w:t>
            </w:r>
          </w:p>
        </w:tc>
        <w:tc>
          <w:tcPr>
            <w:tcW w:type="dxa" w:w="33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Identidad, credenciales, estatus regulatorio</w:t>
            </w:r>
          </w:p>
        </w:tc>
      </w:tr>
      <w:tr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T2 — transaccional / sistema de ejecución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EDC, CTMS, eISF, LIMS, LMS</w:t>
            </w:r>
          </w:p>
        </w:tc>
        <w:tc>
          <w:tcPr>
            <w:tcW w:type="dxa" w:w="33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Actividad y desempeño operacional</w:t>
            </w:r>
          </w:p>
        </w:tc>
      </w:tr>
      <w:tr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T3 — institucional documental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CV, DOA, Continuing Review, calibración, SOP</w:t>
            </w:r>
          </w:p>
        </w:tc>
        <w:tc>
          <w:tcPr>
            <w:tcW w:type="dxa" w:w="33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Capacidad y contexto institucional</w:t>
            </w:r>
          </w:p>
        </w:tc>
      </w:tr>
      <w:tr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T4 — declaración humana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confirmación de sitio, experto, usuario autorizado</w:t>
            </w:r>
          </w:p>
        </w:tc>
        <w:tc>
          <w:tcPr>
            <w:tcW w:type="dxa" w:w="33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Brechas no cubiertas; requiere vigencia y revisión</w:t>
            </w:r>
          </w:p>
        </w:tc>
      </w:tr>
    </w:tbl>
    <w:p>
      <w:pPr>
        <w:spacing w:after="40"/>
      </w:pPr>
    </w:p>
    <w:p>
      <w:pPr>
        <w:pStyle w:val="Heading1"/>
      </w:pPr>
      <w:r>
        <w:t>9. Provenance y temporalidad</w:t>
      </w:r>
    </w:p>
    <w:p>
      <w:pPr>
        <w:pStyle w:val="ListBullet"/>
        <w:spacing w:after="40"/>
      </w:pPr>
      <w:r>
        <w:t>Toda evidencia debe identificar source_id y source_record_id.</w:t>
      </w:r>
    </w:p>
    <w:p>
      <w:pPr>
        <w:pStyle w:val="ListBullet"/>
        <w:spacing w:after="40"/>
      </w:pPr>
      <w:r>
        <w:t>Toda extracción debe registrar parser/modelo, versión, parámetros, timestamp, hash y confianza.</w:t>
      </w:r>
    </w:p>
    <w:p>
      <w:pPr>
        <w:pStyle w:val="ListBullet"/>
        <w:spacing w:after="40"/>
      </w:pPr>
      <w:r>
        <w:t>Toda verificación debe registrar actor, decisión, fecha y alcance.</w:t>
      </w:r>
    </w:p>
    <w:p>
      <w:pPr>
        <w:pStyle w:val="ListBullet"/>
        <w:spacing w:after="40"/>
      </w:pPr>
      <w:r>
        <w:t>Valid time y transaction time se conservan por separado.</w:t>
      </w:r>
    </w:p>
    <w:p>
      <w:pPr>
        <w:pStyle w:val="ListBullet"/>
        <w:spacing w:after="40"/>
      </w:pPr>
      <w:r>
        <w:t>Una corrección crea una nueva versión o relación supersedes; no reescribe el pasado.</w:t>
      </w:r>
    </w:p>
    <w:p>
      <w:pPr>
        <w:pStyle w:val="ListBullet"/>
        <w:spacing w:after="40"/>
      </w:pPr>
      <w:r>
        <w:t>Los paquetes publicados fijan una instantánea reproducible de claims y evidencia autorizados.</w:t>
      </w:r>
    </w:p>
    <w:p>
      <w:pPr>
        <w:pStyle w:val="Heading1"/>
      </w:pPr>
      <w:r>
        <w:t>10. Confianza explicable</w:t>
      </w:r>
    </w:p>
    <w:p>
      <w:r>
        <w:t>La confianza es un estado emergente de un subgrafo y no una propiedad arbitraria de una institución. El sistema puede calcular una puntuación interna, pero toda salida debe acompañarse de dimensiones y razones.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592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Dimensión</w:t>
            </w:r>
          </w:p>
        </w:tc>
        <w:tc>
          <w:tcPr>
            <w:tcW w:type="dxa" w:w="7128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Pregunta</w:t>
            </w:r>
          </w:p>
        </w:tc>
      </w:tr>
      <w:tr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Source authority</w:t>
            </w:r>
          </w:p>
        </w:tc>
        <w:tc>
          <w:tcPr>
            <w:tcW w:type="dxa" w:w="71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¿Qué autoridad tiene el productor para afirmar esto?</w:t>
            </w:r>
          </w:p>
        </w:tc>
      </w:tr>
      <w:tr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Identity confidence</w:t>
            </w:r>
          </w:p>
        </w:tc>
        <w:tc>
          <w:tcPr>
            <w:tcW w:type="dxa" w:w="71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¿La fuente corresponde inequívocamente a la entidad?</w:t>
            </w:r>
          </w:p>
        </w:tc>
      </w:tr>
      <w:tr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Extraction confidence</w:t>
            </w:r>
          </w:p>
        </w:tc>
        <w:tc>
          <w:tcPr>
            <w:tcW w:type="dxa" w:w="71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¿Qué tan confiable fue la extracción?</w:t>
            </w:r>
          </w:p>
        </w:tc>
      </w:tr>
      <w:tr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Freshness</w:t>
            </w:r>
          </w:p>
        </w:tc>
        <w:tc>
          <w:tcPr>
            <w:tcW w:type="dxa" w:w="71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¿Sigue siendo vigente según su política?</w:t>
            </w:r>
          </w:p>
        </w:tc>
      </w:tr>
      <w:tr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Completeness</w:t>
            </w:r>
          </w:p>
        </w:tc>
        <w:tc>
          <w:tcPr>
            <w:tcW w:type="dxa" w:w="71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¿Cubre el claim completo o solo una parte?</w:t>
            </w:r>
          </w:p>
        </w:tc>
      </w:tr>
      <w:tr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Corroboration</w:t>
            </w:r>
          </w:p>
        </w:tc>
        <w:tc>
          <w:tcPr>
            <w:tcW w:type="dxa" w:w="71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¿Existen fuentes independientes concordantes?</w:t>
            </w:r>
          </w:p>
        </w:tc>
      </w:tr>
      <w:tr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Consistency</w:t>
            </w:r>
          </w:p>
        </w:tc>
        <w:tc>
          <w:tcPr>
            <w:tcW w:type="dxa" w:w="71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¿Hay conflictos internos o temporales?</w:t>
            </w:r>
          </w:p>
        </w:tc>
      </w:tr>
      <w:tr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Human verification</w:t>
            </w:r>
          </w:p>
        </w:tc>
        <w:tc>
          <w:tcPr>
            <w:tcW w:type="dxa" w:w="71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¿Qué revisión autorizada recibió?</w:t>
            </w:r>
          </w:p>
        </w:tc>
      </w:tr>
    </w:tbl>
    <w:p>
      <w:pPr>
        <w:spacing w:after="40"/>
      </w:pPr>
    </w:p>
    <w:p>
      <w:pPr>
        <w:pStyle w:val="Heading1"/>
      </w:pPr>
      <w:r>
        <w:t>11. Protocol Intelligence y Assessment</w:t>
      </w:r>
    </w:p>
    <w:p>
      <w:r>
        <w:t>Protocol Intelligence representa protocolo, versión, requisitos, criticidad, evidencia esperada, reglas de matching y alternativas. Assessment aplica esos requisitos al conocimiento institucional de un momento específico.</w:t>
      </w:r>
    </w:p>
    <w:p>
      <w:pPr>
        <w:pStyle w:val="CodeBlock"/>
        <w:shd w:fill="F3F6F8"/>
      </w:pPr>
      <w:r>
        <w:t>ProtocolVersion</w:t>
      </w:r>
    </w:p>
    <w:p>
      <w:pPr>
        <w:pStyle w:val="CodeBlock"/>
        <w:shd w:fill="F3F6F8"/>
      </w:pPr>
      <w:r>
        <w:t xml:space="preserve">  └─ RequirementGroup</w:t>
      </w:r>
    </w:p>
    <w:p>
      <w:pPr>
        <w:pStyle w:val="CodeBlock"/>
        <w:shd w:fill="F3F6F8"/>
      </w:pPr>
      <w:r>
        <w:t xml:space="preserve">       └─ Requirement</w:t>
      </w:r>
    </w:p>
    <w:p>
      <w:pPr>
        <w:pStyle w:val="CodeBlock"/>
        <w:shd w:fill="F3F6F8"/>
      </w:pPr>
      <w:r>
        <w:t xml:space="preserve">            ├─ criticality</w:t>
      </w:r>
    </w:p>
    <w:p>
      <w:pPr>
        <w:pStyle w:val="CodeBlock"/>
        <w:shd w:fill="F3F6F8"/>
      </w:pPr>
      <w:r>
        <w:t xml:space="preserve">            ├─ applicability</w:t>
      </w:r>
    </w:p>
    <w:p>
      <w:pPr>
        <w:pStyle w:val="CodeBlock"/>
        <w:shd w:fill="F3F6F8"/>
      </w:pPr>
      <w:r>
        <w:t xml:space="preserve">            ├─ required_evidence</w:t>
      </w:r>
    </w:p>
    <w:p>
      <w:pPr>
        <w:pStyle w:val="CodeBlock"/>
        <w:shd w:fill="F3F6F8"/>
      </w:pPr>
      <w:r>
        <w:t xml:space="preserve">            ├─ matching_rule</w:t>
      </w:r>
    </w:p>
    <w:p>
      <w:pPr>
        <w:pStyle w:val="CodeBlock"/>
        <w:shd w:fill="F3F6F8"/>
      </w:pPr>
      <w:r>
        <w:t xml:space="preserve">            └─ mitigation_policy</w:t>
      </w:r>
    </w:p>
    <w:p>
      <w:pPr>
        <w:pStyle w:val="CodeBlock"/>
        <w:shd w:fill="F3F6F8"/>
      </w:pPr>
      <w:r/>
    </w:p>
    <w:p>
      <w:pPr>
        <w:pStyle w:val="CodeBlock"/>
        <w:shd w:fill="F3F6F8"/>
      </w:pPr>
      <w:r>
        <w:t>Assessment</w:t>
      </w:r>
    </w:p>
    <w:p>
      <w:pPr>
        <w:pStyle w:val="CodeBlock"/>
        <w:shd w:fill="F3F6F8"/>
      </w:pPr>
      <w:r>
        <w:t xml:space="preserve">  ├─ requirement_results</w:t>
      </w:r>
    </w:p>
    <w:p>
      <w:pPr>
        <w:pStyle w:val="CodeBlock"/>
        <w:shd w:fill="F3F6F8"/>
      </w:pPr>
      <w:r>
        <w:t xml:space="preserve">  ├─ matched_capabilities</w:t>
      </w:r>
    </w:p>
    <w:p>
      <w:pPr>
        <w:pStyle w:val="CodeBlock"/>
        <w:shd w:fill="F3F6F8"/>
      </w:pPr>
      <w:r>
        <w:t xml:space="preserve">  ├─ evidence_snapshot</w:t>
      </w:r>
    </w:p>
    <w:p>
      <w:pPr>
        <w:pStyle w:val="CodeBlock"/>
        <w:shd w:fill="F3F6F8"/>
      </w:pPr>
      <w:r>
        <w:t xml:space="preserve">  ├─ gaps and conflicts</w:t>
      </w:r>
    </w:p>
    <w:p>
      <w:pPr>
        <w:pStyle w:val="CodeBlock"/>
        <w:shd w:fill="F3F6F8"/>
      </w:pPr>
      <w:r>
        <w:t xml:space="preserve">  ├─ mitigations</w:t>
      </w:r>
    </w:p>
    <w:p>
      <w:pPr>
        <w:pStyle w:val="CodeBlock"/>
        <w:shd w:fill="F3F6F8"/>
      </w:pPr>
      <w:r>
        <w:t xml:space="preserve">  ├─ confidence explanation</w:t>
      </w:r>
    </w:p>
    <w:p>
      <w:pPr>
        <w:pStyle w:val="CodeBlock"/>
        <w:shd w:fill="F3F6F8"/>
      </w:pPr>
      <w:r>
        <w:t xml:space="preserve">  └─ authorized conclusion</w:t>
      </w:r>
    </w:p>
    <w:p>
      <w:pPr>
        <w:pStyle w:val="Heading1"/>
      </w:pPr>
      <w:r>
        <w:t>12. Passport, Package y Share Grant</w:t>
      </w:r>
    </w:p>
    <w:p>
      <w:r>
        <w:t>Passport deja de ser la base de datos del perfil. Es una proyección legible y versionada. Package es una selección de conocimiento para una finalidad concreta. Share Grant es la autorización revocable que define destinatario, alcance, periodo, propósito y acciones permitidas.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150" w:type="dxa"/>
              <w:start w:w="180" w:type="dxa"/>
              <w:bottom w:w="150" w:type="dxa"/>
              <w:end w:w="180" w:type="dxa"/>
            </w:tcMar>
            <w:shd w:fill="EAF2F6"/>
          </w:tcPr>
          <w:p>
            <w:r>
              <w:rPr>
                <w:rFonts w:ascii="Aptos" w:hAnsi="Aptos"/>
                <w:b/>
                <w:color w:val="2A8C82"/>
                <w:sz w:val="20"/>
              </w:rPr>
              <w:t>Regla de publicación</w:t>
              <w:br/>
            </w:r>
            <w:r>
              <w:rPr>
                <w:rFonts w:ascii="Aptos" w:hAnsi="Aptos"/>
                <w:b/>
                <w:color w:val="17324D"/>
                <w:sz w:val="21"/>
              </w:rPr>
              <w:t>Ningún Passport o Package puede contener un campo editable cuya fuente de verdad no exista en el grafo canónico. Las correcciones se realizan en claims, evidencia o revisiones, y luego se regenera la proyección.</w:t>
            </w:r>
          </w:p>
        </w:tc>
      </w:tr>
    </w:tbl>
    <w:p>
      <w:pPr>
        <w:spacing w:after="20"/>
      </w:pPr>
    </w:p>
    <w:p>
      <w:pPr>
        <w:pStyle w:val="Heading1"/>
      </w:pPr>
      <w:r>
        <w:t>13. Bounded contexts aprobados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232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Contexto</w:t>
            </w:r>
          </w:p>
        </w:tc>
        <w:tc>
          <w:tcPr>
            <w:tcW w:type="dxa" w:w="3672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Responsabilidad</w:t>
            </w:r>
          </w:p>
        </w:tc>
        <w:tc>
          <w:tcPr>
            <w:tcW w:type="dxa" w:w="3816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Propiedad exclusiva</w:t>
            </w:r>
          </w:p>
        </w:tc>
      </w:tr>
      <w:t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Identity Registry</w:t>
            </w:r>
          </w:p>
        </w:tc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Resolver entidades, aliases, merges y membresías</w:t>
            </w:r>
          </w:p>
        </w:tc>
        <w:tc>
          <w:tcPr>
            <w:tcW w:type="dxa" w:w="38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Institution, Location, Person, Membership, Role</w:t>
            </w:r>
          </w:p>
        </w:tc>
      </w:tr>
      <w:t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Source Intelligence</w:t>
            </w:r>
          </w:p>
        </w:tc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Registrar fuentes, adquisición y registros de origen</w:t>
            </w:r>
          </w:p>
        </w:tc>
        <w:tc>
          <w:tcPr>
            <w:tcW w:type="dxa" w:w="38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EvidenceSource, Producer, SourceRecord, ExtractionRun</w:t>
            </w:r>
          </w:p>
        </w:tc>
      </w:tr>
      <w:t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Evidence &amp; Provenance</w:t>
            </w:r>
          </w:p>
        </w:tc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Normalizar evidencia y preservar trazabilidad</w:t>
            </w:r>
          </w:p>
        </w:tc>
        <w:tc>
          <w:tcPr>
            <w:tcW w:type="dxa" w:w="38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Evidence, ProvenanceRecord, EvidenceLink</w:t>
            </w:r>
          </w:p>
        </w:tc>
      </w:tr>
      <w:t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Claims &amp; Knowledge</w:t>
            </w:r>
          </w:p>
        </w:tc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Gestionar claims, versiones, conflicto y revisión</w:t>
            </w:r>
          </w:p>
        </w:tc>
        <w:tc>
          <w:tcPr>
            <w:tcW w:type="dxa" w:w="38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Claim, ClaimVersion, Review, Conflict</w:t>
            </w:r>
          </w:p>
        </w:tc>
      </w:tr>
      <w:t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Capability Intelligence</w:t>
            </w:r>
          </w:p>
        </w:tc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Componer y mantener capacidades</w:t>
            </w:r>
          </w:p>
        </w:tc>
        <w:tc>
          <w:tcPr>
            <w:tcW w:type="dxa" w:w="38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Capability, CapabilityState, Availability</w:t>
            </w:r>
          </w:p>
        </w:tc>
      </w:tr>
      <w:t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Protocol Intelligence</w:t>
            </w:r>
          </w:p>
        </w:tc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Modelar protocolos y requisitos</w:t>
            </w:r>
          </w:p>
        </w:tc>
        <w:tc>
          <w:tcPr>
            <w:tcW w:type="dxa" w:w="38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Protocol, ProtocolVersion, Requirement</w:t>
            </w:r>
          </w:p>
        </w:tc>
      </w:tr>
      <w:t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Assessment Engine</w:t>
            </w:r>
          </w:p>
        </w:tc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Ejecutar evaluaciones reproducibles</w:t>
            </w:r>
          </w:p>
        </w:tc>
        <w:tc>
          <w:tcPr>
            <w:tcW w:type="dxa" w:w="38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Assessment, RequirementResult, Gap, Mitigation</w:t>
            </w:r>
          </w:p>
        </w:tc>
      </w:tr>
      <w:t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Publication &amp; Sharing</w:t>
            </w:r>
          </w:p>
        </w:tc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Generar proyecciones y controlar acceso</w:t>
            </w:r>
          </w:p>
        </w:tc>
        <w:tc>
          <w:tcPr>
            <w:tcW w:type="dxa" w:w="38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Passport, Package, ShareGrant, Snapshot</w:t>
            </w:r>
          </w:p>
        </w:tc>
      </w:tr>
      <w:t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Governance &amp; Audit</w:t>
            </w:r>
          </w:p>
        </w:tc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Políticas, autorización y registro inmutable</w:t>
            </w:r>
          </w:p>
        </w:tc>
        <w:tc>
          <w:tcPr>
            <w:tcW w:type="dxa" w:w="38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Policy, AuditEvent, RetentionRule</w:t>
            </w:r>
          </w:p>
        </w:tc>
      </w:tr>
    </w:tbl>
    <w:p>
      <w:pPr>
        <w:spacing w:after="40"/>
      </w:pPr>
    </w:p>
    <w:p>
      <w:pPr>
        <w:pStyle w:val="Heading1"/>
      </w:pPr>
      <w:r>
        <w:t>14. Eventos de dominio rectores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3168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Evento</w:t>
            </w:r>
          </w:p>
        </w:tc>
        <w:tc>
          <w:tcPr>
            <w:tcW w:type="dxa" w:w="6552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Significado</w:t>
            </w:r>
          </w:p>
        </w:tc>
      </w:tr>
      <w:tr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SourceRecordAcquired</w:t>
            </w:r>
          </w:p>
        </w:tc>
        <w:tc>
          <w:tcPr>
            <w:tcW w:type="dxa" w:w="65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Se preservó un registro de origen.</w:t>
            </w:r>
          </w:p>
        </w:tc>
      </w:tr>
      <w:tr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ExtractionCompleted</w:t>
            </w:r>
          </w:p>
        </w:tc>
        <w:tc>
          <w:tcPr>
            <w:tcW w:type="dxa" w:w="65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Una ejecución produjo observaciones candidatas.</w:t>
            </w:r>
          </w:p>
        </w:tc>
      </w:tr>
      <w:tr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EvidenceAccepted</w:t>
            </w:r>
          </w:p>
        </w:tc>
        <w:tc>
          <w:tcPr>
            <w:tcW w:type="dxa" w:w="65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Una evidencia normalizada superó validación.</w:t>
            </w:r>
          </w:p>
        </w:tc>
      </w:tr>
      <w:tr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ClaimAsserted</w:t>
            </w:r>
          </w:p>
        </w:tc>
        <w:tc>
          <w:tcPr>
            <w:tcW w:type="dxa" w:w="65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Se creó una afirmación con contexto y fundamento.</w:t>
            </w:r>
          </w:p>
        </w:tc>
      </w:tr>
      <w:tr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ClaimVerified</w:t>
            </w:r>
          </w:p>
        </w:tc>
        <w:tc>
          <w:tcPr>
            <w:tcW w:type="dxa" w:w="65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Un actor autorizado verificó alcance y vigencia.</w:t>
            </w:r>
          </w:p>
        </w:tc>
      </w:tr>
      <w:tr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ClaimConflicted</w:t>
            </w:r>
          </w:p>
        </w:tc>
        <w:tc>
          <w:tcPr>
            <w:tcW w:type="dxa" w:w="65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Evidencia nueva contradijo conocimiento vigente.</w:t>
            </w:r>
          </w:p>
        </w:tc>
      </w:tr>
      <w:tr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CapabilityChanged</w:t>
            </w:r>
          </w:p>
        </w:tc>
        <w:tc>
          <w:tcPr>
            <w:tcW w:type="dxa" w:w="65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Cambió estado, disponibilidad o condiciones.</w:t>
            </w:r>
          </w:p>
        </w:tc>
      </w:tr>
      <w:tr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AssessmentCompleted</w:t>
            </w:r>
          </w:p>
        </w:tc>
        <w:tc>
          <w:tcPr>
            <w:tcW w:type="dxa" w:w="65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Se produjo una evaluación reproducible.</w:t>
            </w:r>
          </w:p>
        </w:tc>
      </w:tr>
      <w:tr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PackagePublished</w:t>
            </w:r>
          </w:p>
        </w:tc>
        <w:tc>
          <w:tcPr>
            <w:tcW w:type="dxa" w:w="65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Se congeló una instantánea autorizada.</w:t>
            </w:r>
          </w:p>
        </w:tc>
      </w:tr>
      <w:tr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ShareGrantRevoked</w:t>
            </w:r>
          </w:p>
        </w:tc>
        <w:tc>
          <w:tcPr>
            <w:tcW w:type="dxa" w:w="65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El acceso dejó de estar autorizado.</w:t>
            </w:r>
          </w:p>
        </w:tc>
      </w:tr>
      <w:tr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OutcomeRecorded</w:t>
            </w:r>
          </w:p>
        </w:tc>
        <w:tc>
          <w:tcPr>
            <w:tcW w:type="dxa" w:w="65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Se registró un resultado que puede recalibrar reglas.</w:t>
            </w:r>
          </w:p>
        </w:tc>
      </w:tr>
    </w:tbl>
    <w:p>
      <w:pPr>
        <w:spacing w:after="40"/>
      </w:pPr>
    </w:p>
    <w:p>
      <w:pPr>
        <w:pStyle w:val="Heading1"/>
      </w:pPr>
      <w:r>
        <w:t>15. Restricciones estratégicas de Fase I</w:t>
      </w:r>
    </w:p>
    <w:p>
      <w:pPr>
        <w:pStyle w:val="ListBullet"/>
        <w:spacing w:after="40"/>
      </w:pPr>
      <w:r>
        <w:t>No construir marketplace abierto.</w:t>
      </w:r>
    </w:p>
    <w:p>
      <w:pPr>
        <w:pStyle w:val="ListBullet"/>
        <w:spacing w:after="40"/>
      </w:pPr>
      <w:r>
        <w:t>No intentar reemplazar CTMS/eReg/EDC/EMR.</w:t>
      </w:r>
    </w:p>
    <w:p>
      <w:pPr>
        <w:pStyle w:val="ListBullet"/>
        <w:spacing w:after="40"/>
      </w:pPr>
      <w:r>
        <w:t>No crear scoring universal de sitios.</w:t>
      </w:r>
    </w:p>
    <w:p>
      <w:pPr>
        <w:pStyle w:val="ListBullet"/>
        <w:spacing w:after="40"/>
      </w:pPr>
      <w:r>
        <w:t>No integrar masivamente sistemas antes de demostrar valor decisional.</w:t>
      </w:r>
    </w:p>
    <w:p>
      <w:pPr>
        <w:pStyle w:val="ListBullet"/>
        <w:spacing w:after="40"/>
      </w:pPr>
      <w:r>
        <w:t>No permitir que la IA publique claims sensibles sin revisión gobernada.</w:t>
      </w:r>
    </w:p>
    <w:p>
      <w:pPr>
        <w:pStyle w:val="ListBullet"/>
        <w:spacing w:after="40"/>
      </w:pPr>
      <w:r>
        <w:t>No optimizar dashboards antes de cerrar el modelo canónico y los vertical slices.</w:t>
      </w:r>
    </w:p>
    <w:p>
      <w:pPr>
        <w:pStyle w:val="ListBullet"/>
        <w:spacing w:after="40"/>
      </w:pPr>
      <w:r>
        <w:t>No dividir prematuramente en microservicios; modular monolith primero.</w:t>
      </w:r>
    </w:p>
    <w:p>
      <w:pPr>
        <w:pStyle w:val="Heading1"/>
      </w:pPr>
      <w:r>
        <w:t>16. Criterios de conformidad</w:t>
      </w:r>
    </w:p>
    <w:p>
      <w:pPr>
        <w:pStyle w:val="ListNumber"/>
        <w:spacing w:after="40"/>
      </w:pPr>
      <w:r>
        <w:t>Todo atributo nuevo está registrado en el Canonical Attribute Catalog.</w:t>
      </w:r>
    </w:p>
    <w:p>
      <w:pPr>
        <w:pStyle w:val="ListNumber"/>
        <w:spacing w:after="40"/>
      </w:pPr>
      <w:r>
        <w:t>Toda fuente tiene autoridad, adquisición, vigencia y propietario definidos.</w:t>
      </w:r>
    </w:p>
    <w:p>
      <w:pPr>
        <w:pStyle w:val="ListNumber"/>
        <w:spacing w:after="40"/>
      </w:pPr>
      <w:r>
        <w:t>Todo claim es rastreable a evidencia y registros de origen.</w:t>
      </w:r>
    </w:p>
    <w:p>
      <w:pPr>
        <w:pStyle w:val="ListNumber"/>
        <w:spacing w:after="40"/>
      </w:pPr>
      <w:r>
        <w:t>Toda inferencia se distingue de observación, claim directo y derivación determinística.</w:t>
      </w:r>
    </w:p>
    <w:p>
      <w:pPr>
        <w:pStyle w:val="ListNumber"/>
        <w:spacing w:after="40"/>
      </w:pPr>
      <w:r>
        <w:t>Toda capacidad declara alcance, tiempo, condiciones y disponibilidad.</w:t>
      </w:r>
    </w:p>
    <w:p>
      <w:pPr>
        <w:pStyle w:val="ListNumber"/>
        <w:spacing w:after="40"/>
      </w:pPr>
      <w:r>
        <w:t>Toda evaluación fija protocolo, versión, instante y reglas utilizadas.</w:t>
      </w:r>
    </w:p>
    <w:p>
      <w:pPr>
        <w:pStyle w:val="ListNumber"/>
        <w:spacing w:after="40"/>
      </w:pPr>
      <w:r>
        <w:t>Toda publicación es una proyección reproducible y autorizada.</w:t>
      </w:r>
    </w:p>
    <w:p>
      <w:pPr>
        <w:pStyle w:val="ListNumber"/>
        <w:spacing w:after="40"/>
      </w:pPr>
      <w:r>
        <w:t>Todo conflicto permanece auditable.</w:t>
      </w:r>
    </w:p>
    <w:p>
      <w:pPr>
        <w:pStyle w:val="ListNumber"/>
        <w:spacing w:after="40"/>
      </w:pPr>
      <w:r>
        <w:t>Toda decisión automática relevante es explicable y revisable.</w:t>
      </w:r>
    </w:p>
    <w:p>
      <w:pPr>
        <w:pStyle w:val="ListNumber"/>
        <w:spacing w:after="40"/>
      </w:pPr>
      <w:r>
        <w:t>Toda historia de usuario demuestra cómo aumenta conocimiento o mejora una decisión.</w:t>
      </w:r>
    </w:p>
    <w:p>
      <w:pPr>
        <w:pStyle w:val="Heading1"/>
      </w:pPr>
      <w:r>
        <w:t>17. Gobernanza de cambios</w:t>
      </w:r>
    </w:p>
    <w:p>
      <w:r>
        <w:t>Los cambios fundacionales requieren ADR y actualización coordinada de esta Constitución, del Lexicon, del modelo de referencia y del Implementation Blueprint. Los cambios locales pueden implementarse sin enmienda si respetan los invariantes.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3456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Cambio</w:t>
            </w:r>
          </w:p>
        </w:tc>
        <w:tc>
          <w:tcPr>
            <w:tcW w:type="dxa" w:w="6264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Instrumento</w:t>
            </w:r>
          </w:p>
        </w:tc>
      </w:tr>
      <w:tr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Nueva entidad o frontera de contexto</w:t>
            </w:r>
          </w:p>
        </w:tc>
        <w:tc>
          <w:tcPr>
            <w:tcW w:type="dxa" w:w="62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ADR + actualización de Blueprint</w:t>
            </w:r>
          </w:p>
        </w:tc>
      </w:tr>
      <w:tr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Cambio de significado de Claim/Evidence/Capability</w:t>
            </w:r>
          </w:p>
        </w:tc>
        <w:tc>
          <w:tcPr>
            <w:tcW w:type="dxa" w:w="62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Enmienda constitucional</w:t>
            </w:r>
          </w:p>
        </w:tc>
      </w:tr>
      <w:tr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Nueva fuente o parser</w:t>
            </w:r>
          </w:p>
        </w:tc>
        <w:tc>
          <w:tcPr>
            <w:tcW w:type="dxa" w:w="62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Source Catalog + contrato de adquisición</w:t>
            </w:r>
          </w:p>
        </w:tc>
      </w:tr>
      <w:tr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Nueva regla de evaluación</w:t>
            </w:r>
          </w:p>
        </w:tc>
        <w:tc>
          <w:tcPr>
            <w:tcW w:type="dxa" w:w="62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Rule version + pruebas de golden cases</w:t>
            </w:r>
          </w:p>
        </w:tc>
      </w:tr>
      <w:tr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Nueva proyección o UI</w:t>
            </w:r>
          </w:p>
        </w:tc>
        <w:tc>
          <w:tcPr>
            <w:tcW w:type="dxa" w:w="62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Contrato de lectura; sin nueva fuente de verdad</w:t>
            </w:r>
          </w:p>
        </w:tc>
      </w:tr>
      <w:tr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Excepción temporal</w:t>
            </w:r>
          </w:p>
        </w:tc>
        <w:tc>
          <w:tcPr>
            <w:tcW w:type="dxa" w:w="62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Decision log con fecha de expiración</w:t>
            </w:r>
          </w:p>
        </w:tc>
      </w:tr>
    </w:tbl>
    <w:p>
      <w:pPr>
        <w:spacing w:after="40"/>
      </w:pPr>
    </w:p>
    <w:p>
      <w:pPr>
        <w:pStyle w:val="Heading1"/>
      </w:pPr>
      <w:r>
        <w:t>18. Decisión final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150" w:type="dxa"/>
              <w:start w:w="180" w:type="dxa"/>
              <w:bottom w:w="150" w:type="dxa"/>
              <w:end w:w="180" w:type="dxa"/>
            </w:tcMar>
            <w:shd w:fill="EAF2F6"/>
          </w:tcPr>
          <w:p>
            <w:r>
              <w:rPr>
                <w:rFonts w:ascii="Aptos" w:hAnsi="Aptos"/>
                <w:b/>
                <w:color w:val="2A8C82"/>
                <w:sz w:val="20"/>
              </w:rPr>
              <w:t>Nueva secuencia estratégica</w:t>
              <w:br/>
            </w:r>
            <w:r>
              <w:rPr>
                <w:rFonts w:ascii="Aptos" w:hAnsi="Aptos"/>
                <w:b/>
                <w:color w:val="17324D"/>
                <w:sz w:val="21"/>
              </w:rPr>
              <w:t>Data → Evidence → Authority → Meaning → Capability → Assessment → Decision Intelligence → Learning</w:t>
            </w:r>
          </w:p>
        </w:tc>
      </w:tr>
    </w:tbl>
    <w:p>
      <w:pPr>
        <w:spacing w:after="20"/>
      </w:pPr>
    </w:p>
    <w:p>
      <w:r>
        <w:t>La prioridad inmediata es alinear la arquitectura existente con este modelo y demostrarla en vertical slices reales. El primer caso será Historical Site Performance from Continuing Review; el segundo, PI Identity and Experience Resolution; y el tercero, Protocol Matching mínimo con un protocolo real de Vilo Research Group.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979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8064"/>
      <w:gridCol w:w="1872"/>
    </w:tblGrid>
    <w:tr>
      <w:tc>
        <w:tcPr>
          <w:tcW w:type="dxa" w:w="4968"/>
        </w:tcPr>
        <w:p>
          <w:r>
            <w:rPr>
              <w:rFonts w:ascii="Aptos" w:hAnsi="Aptos"/>
              <w:color w:val="5B6570"/>
              <w:sz w:val="16"/>
            </w:rPr>
            <w:t>Versión 2.0 · Normativa arquitectónica</w:t>
          </w:r>
        </w:p>
      </w:tc>
      <w:tc>
        <w:tcPr>
          <w:tcW w:type="dxa" w:w="4968"/>
        </w:tcPr>
        <w:p>
          <w:pPr>
            <w:jc w:val="right"/>
          </w:pPr>
          <w:r>
            <w:rPr>
              <w:rFonts w:ascii="Aptos" w:hAnsi="Aptos"/>
              <w:color w:val="5B6570"/>
              <w:sz w:val="18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B6570"/>
        <w:sz w:val="16"/>
      </w:rPr>
      <w:t>KADARN  ·  INSTITUTIONAL CAPABILITY INTELLIGENCE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1E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36A8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8C8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8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40" w:after="100"/>
    </w:pPr>
    <w:rPr>
      <w:rFonts w:asciiTheme="majorHAnsi" w:eastAsiaTheme="majorEastAsia" w:hAnsiTheme="majorHAnsi" w:cstheme="majorBidi" w:ascii="Aptos" w:hAnsi="Aptos"/>
      <w:b w:val="0"/>
      <w:i/>
      <w:iCs/>
      <w:color w:val="2A8C82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/>
      <w:ind w:left="259" w:right="259"/>
    </w:pPr>
    <w:rPr>
      <w:rFonts w:ascii="Consolas" w:hAnsi="Consolas"/>
      <w:color w:val="1E29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