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0"/>
      </w:pPr>
      <w:r>
        <w:rPr>
          <w:rFonts w:ascii="Aptos" w:hAnsi="Aptos"/>
          <w:b/>
          <w:color w:val="2A8C82"/>
          <w:sz w:val="32"/>
        </w:rPr>
        <w:t>KADARN</w:t>
      </w:r>
    </w:p>
    <w:p>
      <w:pPr>
        <w:pStyle w:val="Title"/>
      </w:pPr>
      <w:r>
        <w:t>Implementation Blueprint v2.0</w:t>
      </w:r>
    </w:p>
    <w:p>
      <w:pPr>
        <w:pStyle w:val="Subtitle"/>
      </w:pPr>
      <w:r>
        <w:t>Arquitectura de código, datos, contratos y vertical slices</w:t>
      </w:r>
    </w:p>
    <w:p>
      <w:pPr>
        <w:spacing w:before="480"/>
      </w:pPr>
      <w:r>
        <w:rPr>
          <w:rFonts w:ascii="Aptos" w:hAnsi="Aptos"/>
          <w:b/>
          <w:color w:val="236A8D"/>
          <w:sz w:val="22"/>
        </w:rPr>
        <w:t>Versión 2.0</w:t>
      </w:r>
    </w:p>
    <w:p>
      <w:r>
        <w:rPr>
          <w:rFonts w:ascii="Aptos" w:hAnsi="Aptos"/>
          <w:color w:val="5B6570"/>
          <w:sz w:val="20"/>
        </w:rPr>
        <w:t>Especificación técnica</w:t>
      </w:r>
    </w:p>
    <w:p>
      <w:pPr>
        <w:spacing w:before="1000"/>
        <w:shd w:fill="EAF2F6"/>
      </w:pPr>
      <w:r>
        <w:rPr>
          <w:rFonts w:ascii="Aptos" w:hAnsi="Aptos"/>
          <w:b/>
          <w:color w:val="2A8C82"/>
          <w:sz w:val="20"/>
        </w:rPr>
        <w:t>Decisión fundacional</w:t>
      </w:r>
    </w:p>
    <w:p>
      <w:pPr>
        <w:ind w:left="317" w:right="317"/>
      </w:pPr>
      <w:r>
        <w:rPr>
          <w:rFonts w:ascii="Aptos" w:hAnsi="Aptos"/>
          <w:b/>
          <w:color w:val="17324D"/>
          <w:sz w:val="26"/>
        </w:rPr>
        <w:t>KADARN deja de organizar documentos y respuestas aisladas. Su núcleo pasa a capturar, verificar, preservar y reutilizar conocimiento institucional para producir evaluaciones explicables sobre la capacidad real de ejecutar investigación clínica.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6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Propietario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E2933"/>
                <w:sz w:val="19"/>
              </w:rPr>
              <w:t>KADARN Architecture &amp; Engineering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6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Estado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E2933"/>
                <w:sz w:val="19"/>
              </w:rPr>
              <w:t>Rector / obligatorio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6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Base de decisión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E2933"/>
                <w:sz w:val="19"/>
              </w:rPr>
              <w:t>Consenso estratégico julio 2026</w:t>
            </w:r>
          </w:p>
        </w:tc>
      </w:tr>
      <w:tr>
        <w:tc>
          <w:tcPr>
            <w:tcW w:type="dxa" w:w="2520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  <w:shd w:fill="EAF2F6"/>
          </w:tcPr>
          <w:p>
            <w:r>
              <w:rPr>
                <w:rFonts w:ascii="Aptos" w:hAnsi="Aptos"/>
                <w:b/>
                <w:color w:val="17324D"/>
                <w:sz w:val="19"/>
              </w:rPr>
              <w:t>Revisión</w:t>
            </w:r>
          </w:p>
        </w:tc>
        <w:tc>
          <w:tcPr>
            <w:tcW w:type="dxa" w:w="7128"/>
            <w:tcMar>
              <w:top w:w="100" w:type="dxa"/>
              <w:start w:w="120" w:type="dxa"/>
              <w:bottom w:w="100" w:type="dxa"/>
              <w:end w:w="120" w:type="dxa"/>
            </w:tcMar>
            <w:vAlign w:val="center"/>
          </w:tcPr>
          <w:p>
            <w:r>
              <w:rPr>
                <w:rFonts w:ascii="Aptos" w:hAnsi="Aptos"/>
                <w:b w:val="0"/>
                <w:color w:val="1E2933"/>
                <w:sz w:val="19"/>
              </w:rPr>
              <w:t>Ante cambios de dominio, no por calendario</w:t>
            </w:r>
          </w:p>
        </w:tc>
      </w:tr>
    </w:tbl>
    <w:p/>
    <w:p>
      <w:pPr>
        <w:pStyle w:val="Heading1"/>
      </w:pPr>
      <w:r>
        <w:t>Contenido</w:t>
      </w:r>
    </w:p>
    <w:p>
      <w:r>
        <w:rPr>
          <w:rFonts w:ascii="Aptos" w:hAnsi="Aptos"/>
          <w:i/>
          <w:color w:val="5B6570"/>
          <w:sz w:val="19"/>
        </w:rPr>
        <w:t>Este documento usa encabezados jerárquicos compatibles con la tabla de contenido automática de Microsoft Word.</w:t>
      </w:r>
    </w:p>
    <w:p>
      <w:pPr>
        <w:pStyle w:val="Heading1"/>
      </w:pPr>
      <w:r>
        <w:t>1. Objetivo técnico</w:t>
      </w:r>
    </w:p>
    <w:p>
      <w:r>
        <w:t>Este blueprint traduce la Constitución en una arquitectura implementable sobre el stack actual de KADARN. La estrategia recomendada es modular monolith con límites de dominio explícitos, Postgres/Supabase como sistema transaccional, APIs Next.js y proyecciones de lectura separadas. El grafo es inicialmente lógico y relacional; una base de grafos solo se introduce cuando una consulta medida lo justifique.</w:t>
      </w:r>
    </w:p>
    <w:p>
      <w:pPr>
        <w:pStyle w:val="Heading1"/>
      </w:pPr>
      <w:r>
        <w:t>2. Invariantes de implementación</w:t>
      </w:r>
    </w:p>
    <w:p>
      <w:pPr>
        <w:pStyle w:val="ListBullet"/>
        <w:spacing w:after="40"/>
      </w:pPr>
      <w:r>
        <w:t>Los módulos no escriben tablas propiedad de otro bounded context.</w:t>
      </w:r>
    </w:p>
    <w:p>
      <w:pPr>
        <w:pStyle w:val="ListBullet"/>
        <w:spacing w:after="40"/>
      </w:pPr>
      <w:r>
        <w:t>Las referencias entre contextos se realizan por identificadores estables y servicios de aplicación.</w:t>
      </w:r>
    </w:p>
    <w:p>
      <w:pPr>
        <w:pStyle w:val="ListBullet"/>
        <w:spacing w:after="40"/>
      </w:pPr>
      <w:r>
        <w:t>Las proyecciones pueden reconstruirse desde datos canónicos y eventos.</w:t>
      </w:r>
    </w:p>
    <w:p>
      <w:pPr>
        <w:pStyle w:val="ListBullet"/>
        <w:spacing w:after="40"/>
      </w:pPr>
      <w:r>
        <w:t>Los cálculos de confianza y assessment son versionados y determinísticos cuando usan reglas.</w:t>
      </w:r>
    </w:p>
    <w:p>
      <w:pPr>
        <w:pStyle w:val="ListBullet"/>
        <w:spacing w:after="40"/>
      </w:pPr>
      <w:r>
        <w:t>Los LLM producen candidatos y metadatos; no mutan directamente conocimiento publicado.</w:t>
      </w:r>
    </w:p>
    <w:p>
      <w:pPr>
        <w:pStyle w:val="ListBullet"/>
        <w:spacing w:after="40"/>
      </w:pPr>
      <w:r>
        <w:t>La autorización se aplica a recursos canónicos y a snapshots, no solamente a pantallas.</w:t>
      </w:r>
    </w:p>
    <w:p>
      <w:pPr>
        <w:pStyle w:val="Heading1"/>
      </w:pPr>
      <w:r>
        <w:t>3. Estructura recomendada del repositorio</w:t>
      </w:r>
    </w:p>
    <w:p>
      <w:pPr>
        <w:pStyle w:val="CodeBlock"/>
        <w:shd w:fill="F3F6F8"/>
      </w:pPr>
      <w:r>
        <w:t>apps/</w:t>
      </w:r>
    </w:p>
    <w:p>
      <w:pPr>
        <w:pStyle w:val="CodeBlock"/>
        <w:shd w:fill="F3F6F8"/>
      </w:pPr>
      <w:r>
        <w:t xml:space="preserve">  web/                         # UI institucional, review, passport, assessment</w:t>
      </w:r>
    </w:p>
    <w:p>
      <w:pPr>
        <w:pStyle w:val="CodeBlock"/>
        <w:shd w:fill="F3F6F8"/>
      </w:pPr>
      <w:r>
        <w:t xml:space="preserve">  api/src/app/api/v1/          # Route handlers y endpoints externos</w:t>
      </w:r>
    </w:p>
    <w:p>
      <w:pPr>
        <w:pStyle w:val="CodeBlock"/>
        <w:shd w:fill="F3F6F8"/>
      </w:pPr>
      <w:r>
        <w:t>packages/</w:t>
      </w:r>
    </w:p>
    <w:p>
      <w:pPr>
        <w:pStyle w:val="CodeBlock"/>
        <w:shd w:fill="F3F6F8"/>
      </w:pPr>
      <w:r>
        <w:t xml:space="preserve">  domain/</w:t>
      </w:r>
    </w:p>
    <w:p>
      <w:pPr>
        <w:pStyle w:val="CodeBlock"/>
        <w:shd w:fill="F3F6F8"/>
      </w:pPr>
      <w:r>
        <w:t xml:space="preserve">    identity/</w:t>
      </w:r>
    </w:p>
    <w:p>
      <w:pPr>
        <w:pStyle w:val="CodeBlock"/>
        <w:shd w:fill="F3F6F8"/>
      </w:pPr>
      <w:r>
        <w:t xml:space="preserve">    sources/</w:t>
      </w:r>
    </w:p>
    <w:p>
      <w:pPr>
        <w:pStyle w:val="CodeBlock"/>
        <w:shd w:fill="F3F6F8"/>
      </w:pPr>
      <w:r>
        <w:t xml:space="preserve">    evidence/</w:t>
      </w:r>
    </w:p>
    <w:p>
      <w:pPr>
        <w:pStyle w:val="CodeBlock"/>
        <w:shd w:fill="F3F6F8"/>
      </w:pPr>
      <w:r>
        <w:t xml:space="preserve">    claims/</w:t>
      </w:r>
    </w:p>
    <w:p>
      <w:pPr>
        <w:pStyle w:val="CodeBlock"/>
        <w:shd w:fill="F3F6F8"/>
      </w:pPr>
      <w:r>
        <w:t xml:space="preserve">    capabilities/</w:t>
      </w:r>
    </w:p>
    <w:p>
      <w:pPr>
        <w:pStyle w:val="CodeBlock"/>
        <w:shd w:fill="F3F6F8"/>
      </w:pPr>
      <w:r>
        <w:t xml:space="preserve">    protocols/</w:t>
      </w:r>
    </w:p>
    <w:p>
      <w:pPr>
        <w:pStyle w:val="CodeBlock"/>
        <w:shd w:fill="F3F6F8"/>
      </w:pPr>
      <w:r>
        <w:t xml:space="preserve">    assessments/</w:t>
      </w:r>
    </w:p>
    <w:p>
      <w:pPr>
        <w:pStyle w:val="CodeBlock"/>
        <w:shd w:fill="F3F6F8"/>
      </w:pPr>
      <w:r>
        <w:t xml:space="preserve">    publication/</w:t>
      </w:r>
    </w:p>
    <w:p>
      <w:pPr>
        <w:pStyle w:val="CodeBlock"/>
        <w:shd w:fill="F3F6F8"/>
      </w:pPr>
      <w:r>
        <w:t xml:space="preserve">    governance/</w:t>
      </w:r>
    </w:p>
    <w:p>
      <w:pPr>
        <w:pStyle w:val="CodeBlock"/>
        <w:shd w:fill="F3F6F8"/>
      </w:pPr>
      <w:r>
        <w:t xml:space="preserve">  application/</w:t>
      </w:r>
    </w:p>
    <w:p>
      <w:pPr>
        <w:pStyle w:val="CodeBlock"/>
        <w:shd w:fill="F3F6F8"/>
      </w:pPr>
      <w:r>
        <w:t xml:space="preserve">    commands/</w:t>
      </w:r>
    </w:p>
    <w:p>
      <w:pPr>
        <w:pStyle w:val="CodeBlock"/>
        <w:shd w:fill="F3F6F8"/>
      </w:pPr>
      <w:r>
        <w:t xml:space="preserve">    queries/</w:t>
      </w:r>
    </w:p>
    <w:p>
      <w:pPr>
        <w:pStyle w:val="CodeBlock"/>
        <w:shd w:fill="F3F6F8"/>
      </w:pPr>
      <w:r>
        <w:t xml:space="preserve">    workflows/</w:t>
      </w:r>
    </w:p>
    <w:p>
      <w:pPr>
        <w:pStyle w:val="CodeBlock"/>
        <w:shd w:fill="F3F6F8"/>
      </w:pPr>
      <w:r>
        <w:t xml:space="preserve">  infrastructure/</w:t>
      </w:r>
    </w:p>
    <w:p>
      <w:pPr>
        <w:pStyle w:val="CodeBlock"/>
        <w:shd w:fill="F3F6F8"/>
      </w:pPr>
      <w:r>
        <w:t xml:space="preserve">    db/</w:t>
      </w:r>
    </w:p>
    <w:p>
      <w:pPr>
        <w:pStyle w:val="CodeBlock"/>
        <w:shd w:fill="F3F6F8"/>
      </w:pPr>
      <w:r>
        <w:t xml:space="preserve">    storage/</w:t>
      </w:r>
    </w:p>
    <w:p>
      <w:pPr>
        <w:pStyle w:val="CodeBlock"/>
        <w:shd w:fill="F3F6F8"/>
      </w:pPr>
      <w:r>
        <w:t xml:space="preserve">    connectors/</w:t>
      </w:r>
    </w:p>
    <w:p>
      <w:pPr>
        <w:pStyle w:val="CodeBlock"/>
        <w:shd w:fill="F3F6F8"/>
      </w:pPr>
      <w:r>
        <w:t xml:space="preserve">    extraction/</w:t>
      </w:r>
    </w:p>
    <w:p>
      <w:pPr>
        <w:pStyle w:val="CodeBlock"/>
        <w:shd w:fill="F3F6F8"/>
      </w:pPr>
      <w:r>
        <w:t xml:space="preserve">    queue/</w:t>
      </w:r>
    </w:p>
    <w:p>
      <w:pPr>
        <w:pStyle w:val="CodeBlock"/>
        <w:shd w:fill="F3F6F8"/>
      </w:pPr>
      <w:r>
        <w:t xml:space="preserve">  contracts/</w:t>
      </w:r>
    </w:p>
    <w:p>
      <w:pPr>
        <w:pStyle w:val="CodeBlock"/>
        <w:shd w:fill="F3F6F8"/>
      </w:pPr>
      <w:r>
        <w:t xml:space="preserve">    api/</w:t>
      </w:r>
    </w:p>
    <w:p>
      <w:pPr>
        <w:pStyle w:val="CodeBlock"/>
        <w:shd w:fill="F3F6F8"/>
      </w:pPr>
      <w:r>
        <w:t xml:space="preserve">    events/</w:t>
      </w:r>
    </w:p>
    <w:p>
      <w:pPr>
        <w:pStyle w:val="CodeBlock"/>
        <w:shd w:fill="F3F6F8"/>
      </w:pPr>
      <w:r>
        <w:t xml:space="preserve">    schemas/</w:t>
      </w:r>
    </w:p>
    <w:p>
      <w:pPr>
        <w:pStyle w:val="CodeBlock"/>
        <w:shd w:fill="F3F6F8"/>
      </w:pPr>
      <w:r>
        <w:t xml:space="preserve">  types/                       # tipos públicos estables</w:t>
      </w:r>
    </w:p>
    <w:p>
      <w:pPr>
        <w:pStyle w:val="CodeBlock"/>
        <w:shd w:fill="F3F6F8"/>
      </w:pPr>
      <w:r>
        <w:t xml:space="preserve">  testing/</w:t>
      </w:r>
    </w:p>
    <w:p>
      <w:pPr>
        <w:pStyle w:val="CodeBlock"/>
        <w:shd w:fill="F3F6F8"/>
      </w:pPr>
      <w:r>
        <w:t xml:space="preserve">    factories/</w:t>
      </w:r>
    </w:p>
    <w:p>
      <w:pPr>
        <w:pStyle w:val="CodeBlock"/>
        <w:shd w:fill="F3F6F8"/>
      </w:pPr>
      <w:r>
        <w:t xml:space="preserve">    golden-cases/</w:t>
      </w:r>
    </w:p>
    <w:p>
      <w:pPr>
        <w:pStyle w:val="CodeBlock"/>
        <w:shd w:fill="F3F6F8"/>
      </w:pPr>
      <w:r>
        <w:t xml:space="preserve">    fixtures/</w:t>
      </w:r>
    </w:p>
    <w:p>
      <w:pPr>
        <w:pStyle w:val="CodeBlock"/>
        <w:shd w:fill="F3F6F8"/>
      </w:pPr>
      <w:r>
        <w:t>database/</w:t>
      </w:r>
    </w:p>
    <w:p>
      <w:pPr>
        <w:pStyle w:val="CodeBlock"/>
        <w:shd w:fill="F3F6F8"/>
      </w:pPr>
      <w:r>
        <w:t xml:space="preserve">  migrations/</w:t>
      </w:r>
    </w:p>
    <w:p>
      <w:pPr>
        <w:pStyle w:val="CodeBlock"/>
        <w:shd w:fill="F3F6F8"/>
      </w:pPr>
      <w:r>
        <w:t xml:space="preserve">  functions/</w:t>
      </w:r>
    </w:p>
    <w:p>
      <w:pPr>
        <w:pStyle w:val="CodeBlock"/>
        <w:shd w:fill="F3F6F8"/>
      </w:pPr>
      <w:r>
        <w:t xml:space="preserve">  policies/</w:t>
      </w:r>
    </w:p>
    <w:p>
      <w:pPr>
        <w:pStyle w:val="CodeBlock"/>
        <w:shd w:fill="F3F6F8"/>
      </w:pPr>
      <w:r>
        <w:t xml:space="preserve">  seeds/</w:t>
      </w:r>
    </w:p>
    <w:p>
      <w:pPr>
        <w:pStyle w:val="CodeBlock"/>
        <w:shd w:fill="F3F6F8"/>
      </w:pPr>
      <w:r>
        <w:t>foundation/</w:t>
      </w:r>
    </w:p>
    <w:p>
      <w:pPr>
        <w:pStyle w:val="CodeBlock"/>
        <w:shd w:fill="F3F6F8"/>
      </w:pPr>
      <w:r>
        <w:t xml:space="preserve">  00_CONSTITUTION/</w:t>
      </w:r>
    </w:p>
    <w:p>
      <w:pPr>
        <w:pStyle w:val="CodeBlock"/>
        <w:shd w:fill="F3F6F8"/>
      </w:pPr>
      <w:r>
        <w:t xml:space="preserve">  01_DOMAIN/</w:t>
      </w:r>
    </w:p>
    <w:p>
      <w:pPr>
        <w:pStyle w:val="CodeBlock"/>
        <w:shd w:fill="F3F6F8"/>
      </w:pPr>
      <w:r>
        <w:t xml:space="preserve">  02_ADR/</w:t>
      </w:r>
    </w:p>
    <w:p>
      <w:pPr>
        <w:pStyle w:val="CodeBlock"/>
        <w:shd w:fill="F3F6F8"/>
      </w:pPr>
      <w:r>
        <w:t xml:space="preserve">  03_CONTRACTS/</w:t>
      </w:r>
    </w:p>
    <w:p>
      <w:pPr>
        <w:pStyle w:val="CodeBlock"/>
        <w:shd w:fill="F3F6F8"/>
      </w:pPr>
      <w:r>
        <w:t xml:space="preserve">  04_VERTICAL_SLICES/</w:t>
      </w:r>
    </w:p>
    <w:p>
      <w:pPr>
        <w:pStyle w:val="CodeBlock"/>
        <w:shd w:fill="F3F6F8"/>
      </w:pPr>
      <w:r>
        <w:t xml:space="preserve">  05_ENGINEERING/</w:t>
      </w:r>
    </w:p>
    <w:p>
      <w:pPr>
        <w:pStyle w:val="Heading1"/>
      </w:pPr>
      <w:r>
        <w:t>4. Dependencias permitidas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87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Capa</w:t>
            </w:r>
          </w:p>
        </w:tc>
        <w:tc>
          <w:tcPr>
            <w:tcW w:type="dxa" w:w="3744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Puede depender de</w:t>
            </w:r>
          </w:p>
        </w:tc>
        <w:tc>
          <w:tcPr>
            <w:tcW w:type="dxa" w:w="4104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No puede depender de</w:t>
            </w:r>
          </w:p>
        </w:tc>
      </w:tr>
      <w:t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Domain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Tipos primitivos y contratos propios</w:t>
            </w:r>
          </w:p>
        </w:tc>
        <w:tc>
          <w:tcPr>
            <w:tcW w:type="dxa" w:w="41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Next.js, Supabase client, HTTP, UI</w:t>
            </w:r>
          </w:p>
        </w:tc>
      </w:tr>
      <w:t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Application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Domain, puertos/repositories</w:t>
            </w:r>
          </w:p>
        </w:tc>
        <w:tc>
          <w:tcPr>
            <w:tcW w:type="dxa" w:w="41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Implementaciones concretas de DB o conectores</w:t>
            </w:r>
          </w:p>
        </w:tc>
      </w:tr>
      <w:t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Infrastructure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Domain contracts, application ports</w:t>
            </w:r>
          </w:p>
        </w:tc>
        <w:tc>
          <w:tcPr>
            <w:tcW w:type="dxa" w:w="41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Componentes UI</w:t>
            </w:r>
          </w:p>
        </w:tc>
      </w:tr>
      <w:t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API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Application, contracts, auth</w:t>
            </w:r>
          </w:p>
        </w:tc>
        <w:tc>
          <w:tcPr>
            <w:tcW w:type="dxa" w:w="41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SQL directo disperso</w:t>
            </w:r>
          </w:p>
        </w:tc>
      </w:tr>
      <w:t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Web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Read contracts, commands</w:t>
            </w:r>
          </w:p>
        </w:tc>
        <w:tc>
          <w:tcPr>
            <w:tcW w:type="dxa" w:w="41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Tablas o reglas de dominio</w:t>
            </w:r>
          </w:p>
        </w:tc>
      </w:tr>
      <w:tr>
        <w:tc>
          <w:tcPr>
            <w:tcW w:type="dxa" w:w="187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Projection workers</w:t>
            </w:r>
          </w:p>
        </w:tc>
        <w:tc>
          <w:tcPr>
            <w:tcW w:type="dxa" w:w="374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Eventos y read-model stores</w:t>
            </w:r>
          </w:p>
        </w:tc>
        <w:tc>
          <w:tcPr>
            <w:tcW w:type="dxa" w:w="41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Escritura arbitraria en agregados</w:t>
            </w:r>
          </w:p>
        </w:tc>
      </w:tr>
    </w:tbl>
    <w:p>
      <w:pPr>
        <w:spacing w:after="40"/>
      </w:pPr>
    </w:p>
    <w:p>
      <w:pPr>
        <w:pStyle w:val="Heading1"/>
      </w:pPr>
      <w:r>
        <w:t>5. Modelo físico propuesto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09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Tabla</w:t>
            </w:r>
          </w:p>
        </w:tc>
        <w:tc>
          <w:tcPr>
            <w:tcW w:type="dxa" w:w="6624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Responsabilidad</w:t>
            </w:r>
          </w:p>
        </w:tc>
      </w:tr>
      <w:tr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evidence_sources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Fuente lógica, autoridad, propietario y políticas.</w:t>
            </w:r>
          </w:p>
        </w:tc>
      </w:tr>
      <w:tr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evidence_producers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Persona, organismo, sistema o dispositivo productor.</w:t>
            </w:r>
          </w:p>
        </w:tc>
      </w:tr>
      <w:tr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source_records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Registro adquirido, URI, hash, versión, timestamps y retención.</w:t>
            </w:r>
          </w:p>
        </w:tc>
      </w:tr>
      <w:tr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acquisition_runs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Ejecución de conector, importación o carga.</w:t>
            </w:r>
          </w:p>
        </w:tc>
      </w:tr>
      <w:tr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extraction_runs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Parser/modelo, versión, parámetros, output y confianza.</w:t>
            </w:r>
          </w:p>
        </w:tc>
      </w:tr>
      <w:tr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observations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Valores extraídos antes de afirmarse como conocimiento.</w:t>
            </w:r>
          </w:p>
        </w:tc>
      </w:tr>
      <w:tr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evidence_objects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Evidencia normalizada con tipo, alcance y sensibilidad.</w:t>
            </w:r>
          </w:p>
        </w:tc>
      </w:tr>
      <w:tr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provenance_records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Cadena source → record → extraction → review.</w:t>
            </w:r>
          </w:p>
        </w:tc>
      </w:tr>
      <w:tr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claims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Identidad estable de la afirmación.</w:t>
            </w:r>
          </w:p>
        </w:tc>
      </w:tr>
      <w:tr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claim_versions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Valor, contexto, validez, estado y fundamento versionado.</w:t>
            </w:r>
          </w:p>
        </w:tc>
      </w:tr>
      <w:tr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claim_evidence_links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Relación con rol: supports, contradicts, qualifies, supersedes.</w:t>
            </w:r>
          </w:p>
        </w:tc>
      </w:tr>
      <w:tr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claim_conflicts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Conflicto abierto/resuelto y decisión.</w:t>
            </w:r>
          </w:p>
        </w:tc>
      </w:tr>
      <w:tr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capabilities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Identidad canónica de una capacidad.</w:t>
            </w:r>
          </w:p>
        </w:tc>
      </w:tr>
      <w:tr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capability_states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Estado temporal, condiciones, cantidad y disponibilidad.</w:t>
            </w:r>
          </w:p>
        </w:tc>
      </w:tr>
      <w:tr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capability_claim_links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Claims que componen la capacidad.</w:t>
            </w:r>
          </w:p>
        </w:tc>
      </w:tr>
      <w:tr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protocols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Identidad del protocolo.</w:t>
            </w:r>
          </w:p>
        </w:tc>
      </w:tr>
      <w:tr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protocol_versions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Versión, vigencia, hash y estado.</w:t>
            </w:r>
          </w:p>
        </w:tc>
      </w:tr>
      <w:tr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requirements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Requisito normalizado y criticidad.</w:t>
            </w:r>
          </w:p>
        </w:tc>
      </w:tr>
      <w:tr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requirement_rules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Reglas versionadas de matching.</w:t>
            </w:r>
          </w:p>
        </w:tc>
      </w:tr>
      <w:tr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assessments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Ejecución fija contra protocolo y snapshot institucional.</w:t>
            </w:r>
          </w:p>
        </w:tc>
      </w:tr>
      <w:tr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assessment_results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Resultado por requisito.</w:t>
            </w:r>
          </w:p>
        </w:tc>
      </w:tr>
      <w:tr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gaps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Brecha, severidad, evidencia faltante.</w:t>
            </w:r>
          </w:p>
        </w:tc>
      </w:tr>
      <w:tr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mitigations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Acción propuesta, responsable, plazo y efecto.</w:t>
            </w:r>
          </w:p>
        </w:tc>
      </w:tr>
      <w:tr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knowledge_snapshots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Conjunto inmutable de versiones incluidas.</w:t>
            </w:r>
          </w:p>
        </w:tc>
      </w:tr>
      <w:tr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passports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Definición de proyección y snapshot actual.</w:t>
            </w:r>
          </w:p>
        </w:tc>
      </w:tr>
      <w:tr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packages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Propósito y selección de conocimiento.</w:t>
            </w:r>
          </w:p>
        </w:tc>
      </w:tr>
      <w:tr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share_grants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Destinatario, scope, expiry, permissions.</w:t>
            </w:r>
          </w:p>
        </w:tc>
      </w:tr>
      <w:tr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audit_events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Registro inmutable de acciones relevantes.</w:t>
            </w:r>
          </w:p>
        </w:tc>
      </w:tr>
    </w:tbl>
    <w:p>
      <w:pPr>
        <w:spacing w:after="40"/>
      </w:pPr>
    </w:p>
    <w:p>
      <w:pPr>
        <w:pStyle w:val="Heading1"/>
      </w:pPr>
      <w:r>
        <w:t>6. Campos esenciales por agregado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304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Agregado</w:t>
            </w:r>
          </w:p>
        </w:tc>
        <w:tc>
          <w:tcPr>
            <w:tcW w:type="dxa" w:w="741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Campos obligatorios</w:t>
            </w:r>
          </w:p>
        </w:tc>
      </w:tr>
      <w:t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SourceRecord</w:t>
            </w:r>
          </w:p>
        </w:tc>
        <w:tc>
          <w:tcPr>
            <w:tcW w:type="dxa" w:w="74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id, source_id, external_id, acquired_at, effective_at, content_hash, storage_uri, mime_type, schema_version, status</w:t>
            </w:r>
          </w:p>
        </w:tc>
      </w:tr>
      <w:t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Evidence</w:t>
            </w:r>
          </w:p>
        </w:tc>
        <w:tc>
          <w:tcPr>
            <w:tcW w:type="dxa" w:w="74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id, evidence_type, subject_type/id, scope, sensitivity, observed_at, valid_from/until, provenance_id, review_status</w:t>
            </w:r>
          </w:p>
        </w:tc>
      </w:tr>
      <w:t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ClaimVersion</w:t>
            </w:r>
          </w:p>
        </w:tc>
        <w:tc>
          <w:tcPr>
            <w:tcW w:type="dxa" w:w="74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claim_id, version, predicate, value_json, subject, context_json, asserted_at, valid_from/until, epistemic_type, status</w:t>
            </w:r>
          </w:p>
        </w:tc>
      </w:tr>
      <w:t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CapabilityState</w:t>
            </w:r>
          </w:p>
        </w:tc>
        <w:tc>
          <w:tcPr>
            <w:tcW w:type="dxa" w:w="74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capability_id, location_id, status, availability, quantity/value/unit, conditions_json, valid_from/until, confidence_state</w:t>
            </w:r>
          </w:p>
        </w:tc>
      </w:tr>
      <w:t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Requirement</w:t>
            </w:r>
          </w:p>
        </w:tc>
        <w:tc>
          <w:tcPr>
            <w:tcW w:type="dxa" w:w="74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protocol_version_id, code, statement, criticality, applies_when, evidence_expectation, matching_rule_id</w:t>
            </w:r>
          </w:p>
        </w:tc>
      </w:tr>
      <w:t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Assessment</w:t>
            </w:r>
          </w:p>
        </w:tc>
        <w:tc>
          <w:tcPr>
            <w:tcW w:type="dxa" w:w="74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protocol_version_id, institution_id, knowledge_snapshot_id, ruleset_version, started/completed_at, status, overall_conclusion</w:t>
            </w:r>
          </w:p>
        </w:tc>
      </w:tr>
      <w:tr>
        <w:tc>
          <w:tcPr>
            <w:tcW w:type="dxa" w:w="230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ShareGrant</w:t>
            </w:r>
          </w:p>
        </w:tc>
        <w:tc>
          <w:tcPr>
            <w:tcW w:type="dxa" w:w="741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package_id, grantee, purpose, permissions, starts_at, expires_at, revoked_at, policy_version</w:t>
            </w:r>
          </w:p>
        </w:tc>
      </w:tr>
    </w:tbl>
    <w:p>
      <w:pPr>
        <w:spacing w:after="40"/>
      </w:pPr>
    </w:p>
    <w:p>
      <w:pPr>
        <w:pStyle w:val="Heading1"/>
      </w:pPr>
      <w:r>
        <w:t>7. Versionado y temporalidad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tcMar>
              <w:top w:w="150" w:type="dxa"/>
              <w:start w:w="180" w:type="dxa"/>
              <w:bottom w:w="150" w:type="dxa"/>
              <w:end w:w="180" w:type="dxa"/>
            </w:tcMar>
            <w:shd w:fill="EAF2F6"/>
          </w:tcPr>
          <w:p>
            <w:r>
              <w:rPr>
                <w:rFonts w:ascii="Aptos" w:hAnsi="Aptos"/>
                <w:b/>
                <w:color w:val="2A8C82"/>
                <w:sz w:val="20"/>
              </w:rPr>
              <w:t>Regla</w:t>
              <w:br/>
            </w:r>
            <w:r>
              <w:rPr>
                <w:rFonts w:ascii="Aptos" w:hAnsi="Aptos"/>
                <w:b/>
                <w:color w:val="17324D"/>
                <w:sz w:val="21"/>
              </w:rPr>
              <w:t>Nunca actualizar destructivamente un claim que ya participó en una evaluación o publicación. Crear ClaimVersion, preservar relaciones y marcar superseded cuando corresponda.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08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Tiempo</w:t>
            </w:r>
          </w:p>
        </w:tc>
        <w:tc>
          <w:tcPr>
            <w:tcW w:type="dxa" w:w="3024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Campo</w:t>
            </w:r>
          </w:p>
        </w:tc>
        <w:tc>
          <w:tcPr>
            <w:tcW w:type="dxa" w:w="460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Uso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Observed time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observed_at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Momento al que se refiere el dato.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Valid time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valid_from / valid_until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Periodo durante el cual se considera verdadero.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Acquisition time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acquired_at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Momento en que KADARN obtuvo el registro.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Verification time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verified_at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Momento en que fue revisado.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Transaction time</w:t>
            </w:r>
          </w:p>
        </w:tc>
        <w:tc>
          <w:tcPr>
            <w:tcW w:type="dxa" w:w="30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created_at / superseded_at</w:t>
            </w:r>
          </w:p>
        </w:tc>
        <w:tc>
          <w:tcPr>
            <w:tcW w:type="dxa" w:w="460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Historia dentro de KADARN.</w:t>
            </w:r>
          </w:p>
        </w:tc>
      </w:tr>
    </w:tbl>
    <w:p>
      <w:pPr>
        <w:spacing w:after="40"/>
      </w:pPr>
    </w:p>
    <w:p>
      <w:pPr>
        <w:pStyle w:val="Heading1"/>
      </w:pPr>
      <w:r>
        <w:t>8. Taxonomía de relaciones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216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Relación</w:t>
            </w:r>
          </w:p>
        </w:tc>
        <w:tc>
          <w:tcPr>
            <w:tcW w:type="dxa" w:w="331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Origen → destino</w:t>
            </w:r>
          </w:p>
        </w:tc>
        <w:tc>
          <w:tcPr>
            <w:tcW w:type="dxa" w:w="424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Semántica</w:t>
            </w:r>
          </w:p>
        </w:tc>
      </w:tr>
      <w:t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supports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Evidence → Claim</w:t>
            </w:r>
          </w:p>
        </w:tc>
        <w:tc>
          <w:tcPr>
            <w:tcW w:type="dxa" w:w="42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Aumenta fundamento.</w:t>
            </w:r>
          </w:p>
        </w:tc>
      </w:tr>
      <w:t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contradicts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Evidence → Claim</w:t>
            </w:r>
          </w:p>
        </w:tc>
        <w:tc>
          <w:tcPr>
            <w:tcW w:type="dxa" w:w="42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Aporta dato incompatible.</w:t>
            </w:r>
          </w:p>
        </w:tc>
      </w:tr>
      <w:t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qualifies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Evidence/Claim → Claim</w:t>
            </w:r>
          </w:p>
        </w:tc>
        <w:tc>
          <w:tcPr>
            <w:tcW w:type="dxa" w:w="42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Limita alcance o condiciones.</w:t>
            </w:r>
          </w:p>
        </w:tc>
      </w:tr>
      <w:t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derived_from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Claim → Claim</w:t>
            </w:r>
          </w:p>
        </w:tc>
        <w:tc>
          <w:tcPr>
            <w:tcW w:type="dxa" w:w="42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Resultado determinístico.</w:t>
            </w:r>
          </w:p>
        </w:tc>
      </w:tr>
      <w:t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inferred_from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Inference → Evidence/Claim</w:t>
            </w:r>
          </w:p>
        </w:tc>
        <w:tc>
          <w:tcPr>
            <w:tcW w:type="dxa" w:w="42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Hipótesis probabilística.</w:t>
            </w:r>
          </w:p>
        </w:tc>
      </w:tr>
      <w:t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composes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Claim → Capability</w:t>
            </w:r>
          </w:p>
        </w:tc>
        <w:tc>
          <w:tcPr>
            <w:tcW w:type="dxa" w:w="42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Contribuye a capacidad.</w:t>
            </w:r>
          </w:p>
        </w:tc>
      </w:tr>
      <w:t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satisfies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Capability → Requirement</w:t>
            </w:r>
          </w:p>
        </w:tc>
        <w:tc>
          <w:tcPr>
            <w:tcW w:type="dxa" w:w="42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Match completo.</w:t>
            </w:r>
          </w:p>
        </w:tc>
      </w:tr>
      <w:t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partially_satisfies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Capability → Requirement</w:t>
            </w:r>
          </w:p>
        </w:tc>
        <w:tc>
          <w:tcPr>
            <w:tcW w:type="dxa" w:w="42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Match incompleto o condicionado.</w:t>
            </w:r>
          </w:p>
        </w:tc>
      </w:tr>
      <w:t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mitigates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Mitigation → Gap</w:t>
            </w:r>
          </w:p>
        </w:tc>
        <w:tc>
          <w:tcPr>
            <w:tcW w:type="dxa" w:w="42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Reduce brecha.</w:t>
            </w:r>
          </w:p>
        </w:tc>
      </w:tr>
      <w:tr>
        <w:tc>
          <w:tcPr>
            <w:tcW w:type="dxa" w:w="21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included_in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ClaimVersion → Snapshot</w:t>
            </w:r>
          </w:p>
        </w:tc>
        <w:tc>
          <w:tcPr>
            <w:tcW w:type="dxa" w:w="424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Congela publicación.</w:t>
            </w:r>
          </w:p>
        </w:tc>
      </w:tr>
    </w:tbl>
    <w:p>
      <w:pPr>
        <w:spacing w:after="40"/>
      </w:pPr>
    </w:p>
    <w:p>
      <w:pPr>
        <w:pStyle w:val="Heading1"/>
      </w:pPr>
      <w:r>
        <w:t>9. Servicios de dominio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95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Servicio</w:t>
            </w:r>
          </w:p>
        </w:tc>
        <w:tc>
          <w:tcPr>
            <w:tcW w:type="dxa" w:w="676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Responsabilidad</w:t>
            </w:r>
          </w:p>
        </w:tc>
      </w:tr>
      <w:tr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IdentityResolutionService</w:t>
            </w:r>
          </w:p>
        </w:tc>
        <w:tc>
          <w:tcPr>
            <w:tcW w:type="dxa" w:w="67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Resolver aliases, candidatos, merges y confianza de identidad.</w:t>
            </w:r>
          </w:p>
        </w:tc>
      </w:tr>
      <w:tr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EvidenceNormalizationService</w:t>
            </w:r>
          </w:p>
        </w:tc>
        <w:tc>
          <w:tcPr>
            <w:tcW w:type="dxa" w:w="67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Convertir observaciones en evidencia canónica.</w:t>
            </w:r>
          </w:p>
        </w:tc>
      </w:tr>
      <w:tr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ClaimAssertionService</w:t>
            </w:r>
          </w:p>
        </w:tc>
        <w:tc>
          <w:tcPr>
            <w:tcW w:type="dxa" w:w="67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Validar semántica, contexto, temporalidad y enlaces.</w:t>
            </w:r>
          </w:p>
        </w:tc>
      </w:tr>
      <w:tr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ConflictDetectionService</w:t>
            </w:r>
          </w:p>
        </w:tc>
        <w:tc>
          <w:tcPr>
            <w:tcW w:type="dxa" w:w="67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Detectar incompatibilidad de valores, periodos o identidades.</w:t>
            </w:r>
          </w:p>
        </w:tc>
      </w:tr>
      <w:tr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CapabilityCompositionService</w:t>
            </w:r>
          </w:p>
        </w:tc>
        <w:tc>
          <w:tcPr>
            <w:tcW w:type="dxa" w:w="67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Derivar estado de capacidad desde claims y políticas.</w:t>
            </w:r>
          </w:p>
        </w:tc>
      </w:tr>
      <w:tr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ConfidenceExplanationService</w:t>
            </w:r>
          </w:p>
        </w:tc>
        <w:tc>
          <w:tcPr>
            <w:tcW w:type="dxa" w:w="67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Generar dimensiones, razones y evidencia del estado.</w:t>
            </w:r>
          </w:p>
        </w:tc>
      </w:tr>
      <w:tr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RequirementMatchingService</w:t>
            </w:r>
          </w:p>
        </w:tc>
        <w:tc>
          <w:tcPr>
            <w:tcW w:type="dxa" w:w="67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Aplicar reglas de matching por requisito.</w:t>
            </w:r>
          </w:p>
        </w:tc>
      </w:tr>
      <w:tr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AssessmentService</w:t>
            </w:r>
          </w:p>
        </w:tc>
        <w:tc>
          <w:tcPr>
            <w:tcW w:type="dxa" w:w="67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Congelar snapshot, ejecutar reglas y producir gaps.</w:t>
            </w:r>
          </w:p>
        </w:tc>
      </w:tr>
      <w:tr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PublicationService</w:t>
            </w:r>
          </w:p>
        </w:tc>
        <w:tc>
          <w:tcPr>
            <w:tcW w:type="dxa" w:w="67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Crear Passport/Package desde snapshot autorizado.</w:t>
            </w:r>
          </w:p>
        </w:tc>
      </w:tr>
      <w:tr>
        <w:tc>
          <w:tcPr>
            <w:tcW w:type="dxa" w:w="295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SharingPolicyService</w:t>
            </w:r>
          </w:p>
        </w:tc>
        <w:tc>
          <w:tcPr>
            <w:tcW w:type="dxa" w:w="676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Resolver acceso, propósito, expiración y revocación.</w:t>
            </w:r>
          </w:p>
        </w:tc>
      </w:tr>
    </w:tbl>
    <w:p>
      <w:pPr>
        <w:spacing w:after="40"/>
      </w:pPr>
    </w:p>
    <w:p>
      <w:pPr>
        <w:pStyle w:val="Heading1"/>
      </w:pPr>
      <w:r>
        <w:t>10. Commands y Queries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180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792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Ejemplos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Commands</w:t>
            </w:r>
          </w:p>
        </w:tc>
        <w:tc>
          <w:tcPr>
            <w:tcW w:type="dxa" w:w="79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RegisterEvidenceSource, AcquireSourceRecord, StartExtractionRun, AcceptEvidence, AssertClaim, VerifyClaim, ResolveConflict, ComposeCapability, RunAssessment, PublishPackage, GrantAccess, RevokeAccess</w:t>
            </w:r>
          </w:p>
        </w:tc>
      </w:tr>
      <w:tr>
        <w:tc>
          <w:tcPr>
            <w:tcW w:type="dxa" w:w="180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Queries</w:t>
            </w:r>
          </w:p>
        </w:tc>
        <w:tc>
          <w:tcPr>
            <w:tcW w:type="dxa" w:w="792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8"/>
              </w:rPr>
              <w:t>GetInstitutionKnowledgeGraph, ExplainClaimConfidence, ListCurrentCapabilities, GetCapabilityHistory, CompareProtocolRequirements, ExplainAssessment, RenderPassport, ListEvidenceGaps</w:t>
            </w:r>
          </w:p>
        </w:tc>
      </w:tr>
    </w:tbl>
    <w:p>
      <w:pPr>
        <w:spacing w:after="40"/>
      </w:pPr>
    </w:p>
    <w:p>
      <w:pPr>
        <w:pStyle w:val="Heading1"/>
      </w:pPr>
      <w:r>
        <w:t>11. Contratos API mínimos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08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Método</w:t>
            </w:r>
          </w:p>
        </w:tc>
        <w:tc>
          <w:tcPr>
            <w:tcW w:type="dxa" w:w="468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Ruta</w:t>
            </w:r>
          </w:p>
        </w:tc>
        <w:tc>
          <w:tcPr>
            <w:tcW w:type="dxa" w:w="396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Propósito</w:t>
            </w:r>
          </w:p>
        </w:tc>
      </w:tr>
      <w:t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POST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/api/v1/sources</w:t>
            </w:r>
          </w:p>
        </w:tc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Registrar fuente</w:t>
            </w:r>
          </w:p>
        </w:tc>
      </w:tr>
      <w:t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POST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/api/v1/source-records</w:t>
            </w:r>
          </w:p>
        </w:tc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Ingerir registro o referencia</w:t>
            </w:r>
          </w:p>
        </w:tc>
      </w:tr>
      <w:t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POST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/api/v1/source-records/{id}/extract</w:t>
            </w:r>
          </w:p>
        </w:tc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Iniciar extracción</w:t>
            </w:r>
          </w:p>
        </w:tc>
      </w:tr>
      <w:t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GET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/api/v1/extraction-runs/{id}</w:t>
            </w:r>
          </w:p>
        </w:tc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Estado y resultados</w:t>
            </w:r>
          </w:p>
        </w:tc>
      </w:tr>
      <w:t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POST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/api/v1/evidence/{id}/review</w:t>
            </w:r>
          </w:p>
        </w:tc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Aceptar, rechazar o pedir corrección</w:t>
            </w:r>
          </w:p>
        </w:tc>
      </w:tr>
      <w:t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POST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/api/v1/claims</w:t>
            </w:r>
          </w:p>
        </w:tc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Afirmar claim</w:t>
            </w:r>
          </w:p>
        </w:tc>
      </w:tr>
      <w:t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GET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/api/v1/claims/{id}/explain</w:t>
            </w:r>
          </w:p>
        </w:tc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Historia, evidencia, conflicto y confianza</w:t>
            </w:r>
          </w:p>
        </w:tc>
      </w:tr>
      <w:t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GET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/api/v1/institutions/{id}/capabilities</w:t>
            </w:r>
          </w:p>
        </w:tc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Capacidades vigentes</w:t>
            </w:r>
          </w:p>
        </w:tc>
      </w:tr>
      <w:t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POST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/api/v1/protocols/{id}/versions</w:t>
            </w:r>
          </w:p>
        </w:tc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Registrar versión</w:t>
            </w:r>
          </w:p>
        </w:tc>
      </w:tr>
      <w:t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POST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/api/v1/assessments</w:t>
            </w:r>
          </w:p>
        </w:tc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Ejecutar assessment</w:t>
            </w:r>
          </w:p>
        </w:tc>
      </w:tr>
      <w:t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GET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/api/v1/assessments/{id}/explain</w:t>
            </w:r>
          </w:p>
        </w:tc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Resultados explicables</w:t>
            </w:r>
          </w:p>
        </w:tc>
      </w:tr>
      <w:t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POST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/api/v1/packages</w:t>
            </w:r>
          </w:p>
        </w:tc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Crear paquete</w:t>
            </w:r>
          </w:p>
        </w:tc>
      </w:tr>
      <w:t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POST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/api/v1/share-grants</w:t>
            </w:r>
          </w:p>
        </w:tc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Autorizar acceso</w:t>
            </w:r>
          </w:p>
        </w:tc>
      </w:tr>
      <w:tr>
        <w:tc>
          <w:tcPr>
            <w:tcW w:type="dxa" w:w="10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DELETE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/api/v1/share-grants/{id}</w:t>
            </w:r>
          </w:p>
        </w:tc>
        <w:tc>
          <w:tcPr>
            <w:tcW w:type="dxa" w:w="396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6"/>
              </w:rPr>
              <w:t>Revocar acceso</w:t>
            </w:r>
          </w:p>
        </w:tc>
      </w:tr>
    </w:tbl>
    <w:p>
      <w:pPr>
        <w:spacing w:after="40"/>
      </w:pPr>
    </w:p>
    <w:p>
      <w:pPr>
        <w:pStyle w:val="Heading1"/>
      </w:pPr>
      <w:r>
        <w:t>12. Pipeline de adquisición</w:t>
      </w:r>
    </w:p>
    <w:p>
      <w:pPr>
        <w:pStyle w:val="CodeBlock"/>
        <w:shd w:fill="F3F6F8"/>
      </w:pPr>
      <w:r>
        <w:t>DISCOVER → ACQUIRE → PRESERVE → PARSE → EXTRACT</w:t>
      </w:r>
    </w:p>
    <w:p>
      <w:pPr>
        <w:pStyle w:val="CodeBlock"/>
        <w:shd w:fill="F3F6F8"/>
      </w:pPr>
      <w:r>
        <w:t>→ NORMALIZE → RESOLVE IDENTITY → REVIEW</w:t>
      </w:r>
    </w:p>
    <w:p>
      <w:pPr>
        <w:pStyle w:val="CodeBlock"/>
        <w:shd w:fill="F3F6F8"/>
      </w:pPr>
      <w:r>
        <w:t>→ ASSERT CLAIMS → DETECT CONFLICTS → COMPOSE CAPABILITIES</w:t>
      </w:r>
    </w:p>
    <w:p>
      <w:pPr>
        <w:pStyle w:val="CodeBlock"/>
        <w:shd w:fill="F3F6F8"/>
      </w:pPr>
      <w:r>
        <w:t>→ PROJECT / ASSESS / PUBLISH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 w:val="true"/>
        </w:trPr>
        <w:tc>
          <w:tcPr>
            <w:tcW w:type="dxa" w:w="172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Etapa</w:t>
            </w:r>
          </w:p>
        </w:tc>
        <w:tc>
          <w:tcPr>
            <w:tcW w:type="dxa" w:w="331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Salida</w:t>
            </w:r>
          </w:p>
        </w:tc>
        <w:tc>
          <w:tcPr>
            <w:tcW w:type="dxa" w:w="468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Control</w:t>
            </w:r>
          </w:p>
        </w:tc>
      </w:tr>
      <w:t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Acquire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SourceRecord inmutable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hash, idempotency key, source policy</w:t>
            </w:r>
          </w:p>
        </w:tc>
      </w:tr>
      <w:t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Extract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Observation candidates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parser/model version, confidence, raw span</w:t>
            </w:r>
          </w:p>
        </w:tc>
      </w:tr>
      <w:t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Normalize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Canonical evidence candidate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schema validation, units, terminology</w:t>
            </w:r>
          </w:p>
        </w:tc>
      </w:tr>
      <w:t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Resolve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Subject candidates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identity score and ambiguity state</w:t>
            </w:r>
          </w:p>
        </w:tc>
      </w:tr>
      <w:t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Review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Accepted/rejected evidence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actor, rationale, timestamp</w:t>
            </w:r>
          </w:p>
        </w:tc>
      </w:tr>
      <w:t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Assert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ClaimVersion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context, validity, evidence links</w:t>
            </w:r>
          </w:p>
        </w:tc>
      </w:tr>
      <w:t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Compose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CapabilityState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policy version, dependencies</w:t>
            </w:r>
          </w:p>
        </w:tc>
      </w:tr>
      <w:tr>
        <w:tc>
          <w:tcPr>
            <w:tcW w:type="dxa" w:w="172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Project</w:t>
            </w:r>
          </w:p>
        </w:tc>
        <w:tc>
          <w:tcPr>
            <w:tcW w:type="dxa" w:w="331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Snapshot / Passport</w:t>
            </w:r>
          </w:p>
        </w:tc>
        <w:tc>
          <w:tcPr>
            <w:tcW w:type="dxa" w:w="46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authorization and reproducibility</w:t>
            </w:r>
          </w:p>
        </w:tc>
      </w:tr>
    </w:tbl>
    <w:p>
      <w:pPr>
        <w:spacing w:after="40"/>
      </w:pPr>
    </w:p>
    <w:p>
      <w:pPr>
        <w:pStyle w:val="Heading1"/>
      </w:pPr>
      <w:r>
        <w:t>13. Arquitectura de extracción asistida por IA</w:t>
      </w:r>
    </w:p>
    <w:p>
      <w:pPr>
        <w:pStyle w:val="ListBullet"/>
        <w:spacing w:after="40"/>
      </w:pPr>
      <w:r>
        <w:t>Separar almacenamiento del documento, texto extraído y observaciones estructuradas.</w:t>
      </w:r>
    </w:p>
    <w:p>
      <w:pPr>
        <w:pStyle w:val="ListBullet"/>
        <w:spacing w:after="40"/>
      </w:pPr>
      <w:r>
        <w:t>Guardar modelo, prompt/template, versión de parser y parámetros.</w:t>
      </w:r>
    </w:p>
    <w:p>
      <w:pPr>
        <w:pStyle w:val="ListBullet"/>
        <w:spacing w:after="40"/>
      </w:pPr>
      <w:r>
        <w:t>Exigir evidencia de ubicación: página, sección, tabla, celda o span.</w:t>
      </w:r>
    </w:p>
    <w:p>
      <w:pPr>
        <w:pStyle w:val="ListBullet"/>
        <w:spacing w:after="40"/>
      </w:pPr>
      <w:r>
        <w:t>No convertir automáticamente una observación en claim verificado.</w:t>
      </w:r>
    </w:p>
    <w:p>
      <w:pPr>
        <w:pStyle w:val="ListBullet"/>
        <w:spacing w:after="40"/>
      </w:pPr>
      <w:r>
        <w:t>Usar esquemas JSON estrictos y validación determinística.</w:t>
      </w:r>
    </w:p>
    <w:p>
      <w:pPr>
        <w:pStyle w:val="ListBullet"/>
        <w:spacing w:after="40"/>
      </w:pPr>
      <w:r>
        <w:t>Permitir reejecución y comparación entre versiones de extractor.</w:t>
      </w:r>
    </w:p>
    <w:p>
      <w:pPr>
        <w:pStyle w:val="ListBullet"/>
        <w:spacing w:after="40"/>
      </w:pPr>
      <w:r>
        <w:t>Mantener cola de revisión priorizada por impacto decisional y baja confianza.</w:t>
      </w:r>
    </w:p>
    <w:p>
      <w:pPr>
        <w:pStyle w:val="Heading1"/>
      </w:pPr>
      <w:r>
        <w:t>14. Read models y UI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88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Vista</w:t>
            </w:r>
          </w:p>
        </w:tc>
        <w:tc>
          <w:tcPr>
            <w:tcW w:type="dxa" w:w="684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Read model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Institution Overview</w:t>
            </w:r>
          </w:p>
        </w:tc>
        <w:tc>
          <w:tcPr>
            <w:tcW w:type="dxa" w:w="68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identity_summary + capability_summary + freshness_gaps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Evidence Inbox</w:t>
            </w:r>
          </w:p>
        </w:tc>
        <w:tc>
          <w:tcPr>
            <w:tcW w:type="dxa" w:w="68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pending_evidence_review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Claim Inspector</w:t>
            </w:r>
          </w:p>
        </w:tc>
        <w:tc>
          <w:tcPr>
            <w:tcW w:type="dxa" w:w="68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claim_explanation_graph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Capability Matrix</w:t>
            </w:r>
          </w:p>
        </w:tc>
        <w:tc>
          <w:tcPr>
            <w:tcW w:type="dxa" w:w="68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current_capabilities_by_location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Protocol Workspace</w:t>
            </w:r>
          </w:p>
        </w:tc>
        <w:tc>
          <w:tcPr>
            <w:tcW w:type="dxa" w:w="68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requirements_with_matches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Assessment Report</w:t>
            </w:r>
          </w:p>
        </w:tc>
        <w:tc>
          <w:tcPr>
            <w:tcW w:type="dxa" w:w="68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assessment_explanation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Passport</w:t>
            </w:r>
          </w:p>
        </w:tc>
        <w:tc>
          <w:tcPr>
            <w:tcW w:type="dxa" w:w="68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passport_snapshot_projection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Shared Package</w:t>
            </w:r>
          </w:p>
        </w:tc>
        <w:tc>
          <w:tcPr>
            <w:tcW w:type="dxa" w:w="68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authorized_package_projection</w:t>
            </w:r>
          </w:p>
        </w:tc>
      </w:tr>
    </w:tbl>
    <w:p>
      <w:pPr>
        <w:spacing w:after="40"/>
      </w:pPr>
    </w:p>
    <w:p>
      <w:pPr>
        <w:pStyle w:val="Heading1"/>
      </w:pPr>
      <w:r>
        <w:t>15. Seguridad y RLS</w:t>
      </w:r>
    </w:p>
    <w:p>
      <w:pPr>
        <w:pStyle w:val="ListBullet"/>
        <w:spacing w:after="40"/>
      </w:pPr>
      <w:r>
        <w:t>RLS por tenant e institución en tablas canónicas.</w:t>
      </w:r>
    </w:p>
    <w:p>
      <w:pPr>
        <w:pStyle w:val="ListBullet"/>
        <w:spacing w:after="40"/>
      </w:pPr>
      <w:r>
        <w:t>SourceRecord y Evidence incluyen sensibilidad y clasificación.</w:t>
      </w:r>
    </w:p>
    <w:p>
      <w:pPr>
        <w:pStyle w:val="ListBullet"/>
        <w:spacing w:after="40"/>
      </w:pPr>
      <w:r>
        <w:t>ShareGrant nunca amplía permisos del usuario que publica.</w:t>
      </w:r>
    </w:p>
    <w:p>
      <w:pPr>
        <w:pStyle w:val="ListBullet"/>
        <w:spacing w:after="40"/>
      </w:pPr>
      <w:r>
        <w:t>Snapshots protegen contra cambios retroactivos en paquetes ya compartidos.</w:t>
      </w:r>
    </w:p>
    <w:p>
      <w:pPr>
        <w:pStyle w:val="ListBullet"/>
        <w:spacing w:after="40"/>
      </w:pPr>
      <w:r>
        <w:t>Los downloads y views compartidos generan AuditEvent.</w:t>
      </w:r>
    </w:p>
    <w:p>
      <w:pPr>
        <w:pStyle w:val="ListBullet"/>
        <w:spacing w:after="40"/>
      </w:pPr>
      <w:r>
        <w:t>Datos clínicos identificables no forman parte del núcleo de Fase I; cualquier excepción requiere DPIA/ADR específico.</w:t>
      </w:r>
    </w:p>
    <w:p>
      <w:pPr>
        <w:pStyle w:val="Heading1"/>
      </w:pPr>
      <w:r>
        <w:t>16. Estrategia de migraciones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08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Bloque</w:t>
            </w:r>
          </w:p>
        </w:tc>
        <w:tc>
          <w:tcPr>
            <w:tcW w:type="dxa" w:w="763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Migraciones propuestas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A. Sources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064_evidence_sources.sql, 065_source_records.sql, 066_acquisition_extraction_runs.sql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B. Provenance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067_provenance_records.sql, 068_observations.sql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C. Claims v2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069_claim_versions.sql, 070_claim_evidence_links.sql, 071_claim_conflicts.sql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D. Capability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072_capability_states.sql, 073_capability_claim_links.sql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E. Protocol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074_protocols_versions.sql, 075_requirements_rules.sql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F. Assessment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076_assessments_results.sql, 077_gaps_mitigations.sql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G. Publication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078_knowledge_snapshots.sql, 079_package_snapshot_links.sql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H. Governance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080_audit_events_policies.sql</w:t>
            </w:r>
          </w:p>
        </w:tc>
      </w:tr>
    </w:tbl>
    <w:p>
      <w:pPr>
        <w:spacing w:after="40"/>
      </w:pPr>
    </w:p>
    <w:p>
      <w:pPr>
        <w:pStyle w:val="Heading1"/>
      </w:pPr>
      <w:r>
        <w:t>17. Compatibilidad con el modelo existente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88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Elemento actual</w:t>
            </w:r>
          </w:p>
        </w:tc>
        <w:tc>
          <w:tcPr>
            <w:tcW w:type="dxa" w:w="6840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Tratamiento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Institution, Person, Location, Membership, Role</w:t>
            </w:r>
          </w:p>
        </w:tc>
        <w:tc>
          <w:tcPr>
            <w:tcW w:type="dxa" w:w="68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Mantener y fortalecer identificadores/aliases.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Claim legacy</w:t>
            </w:r>
          </w:p>
        </w:tc>
        <w:tc>
          <w:tcPr>
            <w:tcW w:type="dxa" w:w="68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Mantener ID; crear ClaimVersion inicial mediante backfill.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Evidence legacy</w:t>
            </w:r>
          </w:p>
        </w:tc>
        <w:tc>
          <w:tcPr>
            <w:tcW w:type="dxa" w:w="68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Mantener objeto; anexar ProvenanceRecord y SourceRecord sintético cuando falte origen.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Capability</w:t>
            </w:r>
          </w:p>
        </w:tc>
        <w:tc>
          <w:tcPr>
            <w:tcW w:type="dxa" w:w="68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Migrar a identidad + estados temporales; no borrar registros.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Review</w:t>
            </w:r>
          </w:p>
        </w:tc>
        <w:tc>
          <w:tcPr>
            <w:tcW w:type="dxa" w:w="68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Mapear decisiones existentes a eventos/review records.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Passport</w:t>
            </w:r>
          </w:p>
        </w:tc>
        <w:tc>
          <w:tcPr>
            <w:tcW w:type="dxa" w:w="68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Convertir a proyección sobre KnowledgeSnapshot.</w:t>
            </w:r>
          </w:p>
        </w:tc>
      </w:tr>
      <w:tr>
        <w:tc>
          <w:tcPr>
            <w:tcW w:type="dxa" w:w="288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Package / ShareGrant</w:t>
            </w:r>
          </w:p>
        </w:tc>
        <w:tc>
          <w:tcPr>
            <w:tcW w:type="dxa" w:w="6840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Mantener; añadir purpose, snapshot y política versionada.</w:t>
            </w:r>
          </w:p>
        </w:tc>
      </w:tr>
    </w:tbl>
    <w:p>
      <w:pPr>
        <w:spacing w:after="40"/>
      </w:pPr>
    </w:p>
    <w:p>
      <w:pPr>
        <w:pStyle w:val="Heading1"/>
      </w:pPr>
      <w:r>
        <w:t>18. Vertical Slice 1 — Continuing Review</w:t>
      </w:r>
    </w:p>
    <w:p>
      <w:pPr>
        <w:pStyle w:val="CodeBlock"/>
        <w:shd w:fill="F3F6F8"/>
      </w:pPr>
      <w:r>
        <w:t>Upload Continuing Review</w:t>
      </w:r>
    </w:p>
    <w:p>
      <w:pPr>
        <w:pStyle w:val="CodeBlock"/>
        <w:shd w:fill="F3F6F8"/>
      </w:pPr>
      <w:r>
        <w:t>→ SourceRecord + content hash</w:t>
      </w:r>
    </w:p>
    <w:p>
      <w:pPr>
        <w:pStyle w:val="CodeBlock"/>
        <w:shd w:fill="F3F6F8"/>
      </w:pPr>
      <w:r>
        <w:t>→ ExtractionRun</w:t>
      </w:r>
    </w:p>
    <w:p>
      <w:pPr>
        <w:pStyle w:val="CodeBlock"/>
        <w:shd w:fill="F3F6F8"/>
      </w:pPr>
      <w:r>
        <w:t>→ observations: screened, enrolled, screen failures,</w:t>
      </w:r>
    </w:p>
    <w:p>
      <w:pPr>
        <w:pStyle w:val="CodeBlock"/>
        <w:shd w:fill="F3F6F8"/>
      </w:pPr>
      <w:r>
        <w:t xml:space="preserve">  early terminations, completed, period, study status</w:t>
      </w:r>
    </w:p>
    <w:p>
      <w:pPr>
        <w:pStyle w:val="CodeBlock"/>
        <w:shd w:fill="F3F6F8"/>
      </w:pPr>
      <w:r>
        <w:t>→ human review</w:t>
      </w:r>
    </w:p>
    <w:p>
      <w:pPr>
        <w:pStyle w:val="CodeBlock"/>
        <w:shd w:fill="F3F6F8"/>
      </w:pPr>
      <w:r>
        <w:t>→ Evidence objects</w:t>
      </w:r>
    </w:p>
    <w:p>
      <w:pPr>
        <w:pStyle w:val="CodeBlock"/>
        <w:shd w:fill="F3F6F8"/>
      </w:pPr>
      <w:r>
        <w:t>→ ClaimVersions scoped to study + period + site</w:t>
      </w:r>
    </w:p>
    <w:p>
      <w:pPr>
        <w:pStyle w:val="CodeBlock"/>
        <w:shd w:fill="F3F6F8"/>
      </w:pPr>
      <w:r>
        <w:t>→ performance capabilities / metrics</w:t>
      </w:r>
    </w:p>
    <w:p>
      <w:pPr>
        <w:pStyle w:val="CodeBlock"/>
        <w:shd w:fill="F3F6F8"/>
      </w:pPr>
      <w:r>
        <w:t>→ Passport projection</w:t>
      </w:r>
    </w:p>
    <w:p>
      <w:pPr>
        <w:pStyle w:val="CodeBlock"/>
        <w:shd w:fill="F3F6F8"/>
      </w:pPr>
      <w:r>
        <w:t>→ assessment-ready knowledge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3096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Criterio de aceptación</w:t>
            </w:r>
          </w:p>
        </w:tc>
        <w:tc>
          <w:tcPr>
            <w:tcW w:type="dxa" w:w="6624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Prueba</w:t>
            </w:r>
          </w:p>
        </w:tc>
      </w:tr>
      <w:tr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Reproducibilidad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Mismo archivo y extractor producen mismo output normalizado.</w:t>
            </w:r>
          </w:p>
        </w:tc>
      </w:tr>
      <w:tr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Trazabilidad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Cada métrica enlaza a página/span del documento.</w:t>
            </w:r>
          </w:p>
        </w:tc>
      </w:tr>
      <w:tr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Temporalidad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Reporting period se separa de acquired_at.</w:t>
            </w:r>
          </w:p>
        </w:tc>
      </w:tr>
      <w:tr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Conflicto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Dos informes incompatibles generan conflicto, no overwrite.</w:t>
            </w:r>
          </w:p>
        </w:tc>
      </w:tr>
      <w:tr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Reutilización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Métricas aparecen en Passport y en matching sin reentrada.</w:t>
            </w:r>
          </w:p>
        </w:tc>
      </w:tr>
      <w:tr>
        <w:tc>
          <w:tcPr>
            <w:tcW w:type="dxa" w:w="3096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Auditoría</w:t>
            </w:r>
          </w:p>
        </w:tc>
        <w:tc>
          <w:tcPr>
            <w:tcW w:type="dxa" w:w="6624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Se puede reconstruir quién aceptó cada dato y cuándo.</w:t>
            </w:r>
          </w:p>
        </w:tc>
      </w:tr>
    </w:tbl>
    <w:p>
      <w:pPr>
        <w:spacing w:after="40"/>
      </w:pPr>
    </w:p>
    <w:p>
      <w:pPr>
        <w:pStyle w:val="Heading1"/>
      </w:pPr>
      <w:r>
        <w:t>19. Vertical Slice 2 — PI Identity Resolution</w:t>
      </w:r>
    </w:p>
    <w:p>
      <w:pPr>
        <w:pStyle w:val="ListBullet"/>
        <w:spacing w:after="40"/>
      </w:pPr>
      <w:r>
        <w:t>Fuentes iniciales: NPPES/NPI, ClinicalTrials.gov, PubMed, ORCID y State Board.</w:t>
      </w:r>
    </w:p>
    <w:p>
      <w:pPr>
        <w:pStyle w:val="ListBullet"/>
        <w:spacing w:after="40"/>
      </w:pPr>
      <w:r>
        <w:t>Crear candidatos, no merges automáticos ante ambigüedad.</w:t>
      </w:r>
    </w:p>
    <w:p>
      <w:pPr>
        <w:pStyle w:val="ListBullet"/>
        <w:spacing w:after="40"/>
      </w:pPr>
      <w:r>
        <w:t>Separar identidad confirmada de experiencia candidata.</w:t>
      </w:r>
    </w:p>
    <w:p>
      <w:pPr>
        <w:pStyle w:val="ListBullet"/>
        <w:spacing w:after="40"/>
      </w:pPr>
      <w:r>
        <w:t>Registrar reglas de matching: nombre, ubicación, especialidad, afiliación, coautores y NPI.</w:t>
      </w:r>
    </w:p>
    <w:p>
      <w:pPr>
        <w:pStyle w:val="ListBullet"/>
        <w:spacing w:after="40"/>
      </w:pPr>
      <w:r>
        <w:t>Permitir confirmación humana y conservación de alternativas descartadas.</w:t>
      </w:r>
    </w:p>
    <w:p>
      <w:pPr>
        <w:pStyle w:val="Heading1"/>
      </w:pPr>
      <w:r>
        <w:t>20. Vertical Slice 3 — Protocol Matching</w:t>
      </w:r>
    </w:p>
    <w:p>
      <w:pPr>
        <w:pStyle w:val="ListBullet"/>
        <w:spacing w:after="40"/>
      </w:pPr>
      <w:r>
        <w:t>Registrar protocolo real y versión.</w:t>
      </w:r>
    </w:p>
    <w:p>
      <w:pPr>
        <w:pStyle w:val="ListBullet"/>
        <w:spacing w:after="40"/>
      </w:pPr>
      <w:r>
        <w:t>Extraer 15–30 requisitos críticos y operacionales.</w:t>
      </w:r>
    </w:p>
    <w:p>
      <w:pPr>
        <w:pStyle w:val="ListBullet"/>
        <w:spacing w:after="40"/>
      </w:pPr>
      <w:r>
        <w:t>Mapear requisitos a atributos y capacidades canónicas.</w:t>
      </w:r>
    </w:p>
    <w:p>
      <w:pPr>
        <w:pStyle w:val="ListBullet"/>
        <w:spacing w:after="40"/>
      </w:pPr>
      <w:r>
        <w:t>Ejecutar RequirementMatchingService sobre snapshot.</w:t>
      </w:r>
    </w:p>
    <w:p>
      <w:pPr>
        <w:pStyle w:val="ListBullet"/>
        <w:spacing w:after="40"/>
      </w:pPr>
      <w:r>
        <w:t>Producir satisfied, partial, gap, conflict, unknown.</w:t>
      </w:r>
    </w:p>
    <w:p>
      <w:pPr>
        <w:pStyle w:val="ListBullet"/>
        <w:spacing w:after="40"/>
      </w:pPr>
      <w:r>
        <w:t>Añadir mitigaciones y responsable.</w:t>
      </w:r>
    </w:p>
    <w:p>
      <w:pPr>
        <w:pStyle w:val="ListBullet"/>
        <w:spacing w:after="40"/>
      </w:pPr>
      <w:r>
        <w:t>Generar Assessment explicable y Package autorizado.</w:t>
      </w:r>
    </w:p>
    <w:p>
      <w:pPr>
        <w:pStyle w:val="Heading1"/>
      </w:pPr>
      <w:r>
        <w:t>21. Estrategia de pruebas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tblHeader w:val="true"/>
        </w:trPr>
        <w:tc>
          <w:tcPr>
            <w:tcW w:type="dxa" w:w="2088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Nivel</w:t>
            </w:r>
          </w:p>
        </w:tc>
        <w:tc>
          <w:tcPr>
            <w:tcW w:type="dxa" w:w="7632"/>
            <w:shd w:fill="17324D"/>
            <w:tcMar>
              <w:top w:w="100" w:type="dxa"/>
              <w:start w:w="100" w:type="dxa"/>
              <w:bottom w:w="100" w:type="dxa"/>
              <w:end w:w="100" w:type="dxa"/>
            </w:tcMar>
            <w:vAlign w:val="center"/>
          </w:tcPr>
          <w:p>
            <w:pPr>
              <w:jc w:val="center"/>
            </w:pPr>
            <w:r>
              <w:rPr>
                <w:rFonts w:ascii="Aptos" w:hAnsi="Aptos"/>
                <w:b/>
                <w:color w:val="FFFFFF"/>
                <w:sz w:val="17"/>
              </w:rPr>
              <w:t>Pruebas obligatorias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Unit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Policies, validators, temporal overlap, confidence dimensions, matching rules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Contract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API schemas, event schemas, connector outputs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Integration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RLS, repositories, migrations, idempotency, transaction boundaries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Golden cases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Continuing Review extraction, identity ambiguity, protocol requirement matching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Property-based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Version ordering, temporal validity, contradiction preservation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End-to-end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  <w:shd w:fill="F4F8FA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SourceRecord → Evidence → Claim → Capability → Assessment → Passport</w:t>
            </w:r>
          </w:p>
        </w:tc>
      </w:tr>
      <w:tr>
        <w:tc>
          <w:tcPr>
            <w:tcW w:type="dxa" w:w="2088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Regression</w:t>
            </w:r>
          </w:p>
        </w:tc>
        <w:tc>
          <w:tcPr>
            <w:tcW w:type="dxa" w:w="7632"/>
            <w:tcMar>
              <w:top w:w="100" w:type="dxa"/>
              <w:start w:w="110" w:type="dxa"/>
              <w:bottom w:w="100" w:type="dxa"/>
              <w:end w:w="110" w:type="dxa"/>
            </w:tcMar>
            <w:vAlign w:val="center"/>
          </w:tcPr>
          <w:p>
            <w:pPr>
              <w:spacing w:after="0" w:line="252" w:lineRule="auto"/>
            </w:pPr>
            <w:r>
              <w:rPr>
                <w:rFonts w:ascii="Aptos" w:hAnsi="Aptos"/>
                <w:color w:val="1E2933"/>
                <w:sz w:val="17"/>
              </w:rPr>
              <w:t>Baseline actual de tests debe permanecer verde</w:t>
            </w:r>
          </w:p>
        </w:tc>
      </w:tr>
    </w:tbl>
    <w:p>
      <w:pPr>
        <w:spacing w:after="40"/>
      </w:pPr>
    </w:p>
    <w:p>
      <w:pPr>
        <w:pStyle w:val="Heading1"/>
      </w:pPr>
      <w:r>
        <w:t>22. Definition of Done arquitectónica</w:t>
      </w:r>
    </w:p>
    <w:p>
      <w:pPr>
        <w:pStyle w:val="ListNumber"/>
        <w:spacing w:after="40"/>
      </w:pPr>
      <w:r>
        <w:t>Migración reversible o con estrategia explícita de forward-fix.</w:t>
      </w:r>
    </w:p>
    <w:p>
      <w:pPr>
        <w:pStyle w:val="ListNumber"/>
        <w:spacing w:after="40"/>
      </w:pPr>
      <w:r>
        <w:t>Tipos, contratos y documentación actualizados.</w:t>
      </w:r>
    </w:p>
    <w:p>
      <w:pPr>
        <w:pStyle w:val="ListNumber"/>
        <w:spacing w:after="40"/>
      </w:pPr>
      <w:r>
        <w:t>Repository y service tests para invariantes.</w:t>
      </w:r>
    </w:p>
    <w:p>
      <w:pPr>
        <w:pStyle w:val="ListNumber"/>
        <w:spacing w:after="40"/>
      </w:pPr>
      <w:r>
        <w:t>RLS y autorización probadas.</w:t>
      </w:r>
    </w:p>
    <w:p>
      <w:pPr>
        <w:pStyle w:val="ListNumber"/>
        <w:spacing w:after="40"/>
      </w:pPr>
      <w:r>
        <w:t>Eventos de auditoría emitidos.</w:t>
      </w:r>
    </w:p>
    <w:p>
      <w:pPr>
        <w:pStyle w:val="ListNumber"/>
        <w:spacing w:after="40"/>
      </w:pPr>
      <w:r>
        <w:t>No se introduce escritura directa desde UI a tablas canónicas.</w:t>
      </w:r>
    </w:p>
    <w:p>
      <w:pPr>
        <w:pStyle w:val="ListNumber"/>
        <w:spacing w:after="40"/>
      </w:pPr>
      <w:r>
        <w:t>Read model o proyección puede reconstruirse.</w:t>
      </w:r>
    </w:p>
    <w:p>
      <w:pPr>
        <w:pStyle w:val="ListNumber"/>
        <w:spacing w:after="40"/>
      </w:pPr>
      <w:r>
        <w:t>Vertical slice demuestra trazabilidad de extremo a extremo.</w:t>
      </w:r>
    </w:p>
    <w:p>
      <w:pPr>
        <w:pStyle w:val="ListNumber"/>
        <w:spacing w:after="40"/>
      </w:pPr>
      <w:r>
        <w:t>Implementation report registra decisiones, riesgos y deuda diferida.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52" w:bottom="979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jc w:val="center"/>
      <w:tblLayout w:type="fixed"/>
      <w:tblLook w:firstColumn="1" w:firstRow="1" w:lastColumn="0" w:lastRow="0" w:noHBand="0" w:noVBand="1" w:val="04A0"/>
    </w:tblPr>
    <w:tblGrid>
      <w:gridCol w:w="8064"/>
      <w:gridCol w:w="1872"/>
    </w:tblGrid>
    <w:tr>
      <w:tc>
        <w:tcPr>
          <w:tcW w:type="dxa" w:w="4968"/>
        </w:tcPr>
        <w:p>
          <w:r>
            <w:rPr>
              <w:rFonts w:ascii="Aptos" w:hAnsi="Aptos"/>
              <w:color w:val="5B6570"/>
              <w:sz w:val="16"/>
            </w:rPr>
            <w:t>Versión 2.0 · Especificación técnica</w:t>
          </w:r>
        </w:p>
      </w:tc>
      <w:tc>
        <w:tcPr>
          <w:tcW w:type="dxa" w:w="4968"/>
        </w:tcPr>
        <w:p>
          <w:pPr>
            <w:jc w:val="right"/>
          </w:pPr>
          <w:r>
            <w:rPr>
              <w:rFonts w:ascii="Aptos" w:hAnsi="Aptos"/>
              <w:color w:val="5B6570"/>
              <w:sz w:val="18"/>
            </w:rPr>
            <w:fldChar w:fldCharType="begin"/>
            <w:instrText xml:space="preserve"> PAGE </w:instrTex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b/>
        <w:color w:val="5B6570"/>
        <w:sz w:val="16"/>
      </w:rPr>
      <w:t>KADARN  ·  INSTITUTIONAL CAPABILITY INTELLIGENCE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1E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24D"/>
      <w:sz w:val="3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36A8D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2A8C82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00" w:line="240" w:lineRule="auto" w:before="280"/>
      <w:contextualSpacing/>
    </w:pPr>
    <w:rPr>
      <w:rFonts w:asciiTheme="majorHAnsi" w:eastAsiaTheme="majorEastAsia" w:hAnsiTheme="majorHAnsi" w:cstheme="majorBidi" w:ascii="Aptos Display" w:hAnsi="Aptos Display"/>
      <w:b/>
      <w:color w:val="17324D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240" w:after="100"/>
    </w:pPr>
    <w:rPr>
      <w:rFonts w:asciiTheme="majorHAnsi" w:eastAsiaTheme="majorEastAsia" w:hAnsiTheme="majorHAnsi" w:cstheme="majorBidi" w:ascii="Aptos" w:hAnsi="Aptos"/>
      <w:b w:val="0"/>
      <w:i/>
      <w:iCs/>
      <w:color w:val="2A8C82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259" w:right="259"/>
    </w:pPr>
    <w:rPr>
      <w:rFonts w:ascii="Consolas" w:hAnsi="Consolas"/>
      <w:color w:val="1E2933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