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1" w:name="X83db613085032e5c421b066ca0cdb5bf08f4c74"/>
    <w:p>
      <w:pPr>
        <w:pStyle w:val="Heading1"/>
      </w:pPr>
      <w:r>
        <w:t xml:space="preserve">Kadarn — Foundational Architectural Documentation</w:t>
      </w:r>
    </w:p>
    <w:bookmarkStart w:id="20" w:name="X03022e6cc506479509fbe624647fbfa2e5553fd"/>
    <w:p>
      <w:pPr>
        <w:pStyle w:val="Heading3"/>
      </w:pPr>
      <w:r>
        <w:t xml:space="preserve">Lexicon v1.1 · Manifesto v1.1 · KRM-RAO v1.1 · KRM-BNO v1.1</w:t>
      </w:r>
    </w:p>
    <w:p>
      <w:pPr>
        <w:pStyle w:val="FirstParagraph"/>
      </w:pPr>
      <w:r>
        <w:rPr>
          <w:iCs/>
          <w:i/>
        </w:rPr>
        <w:t xml:space="preserve">(Editorial and consistency revision of v1.0)</w:t>
      </w:r>
    </w:p>
    <w:p>
      <w:r>
        <w:pict>
          <v:rect style="width:0;height:1.5pt" o:hralign="center" o:hrstd="t" o:hr="t"/>
        </w:pict>
      </w:r>
    </w:p>
    <w:bookmarkEnd w:id="20"/>
    <w:bookmarkStart w:id="21" w:name="revision-note"/>
    <w:p>
      <w:pPr>
        <w:pStyle w:val="Heading2"/>
      </w:pPr>
      <w:r>
        <w:t xml:space="preserve">Revision Note</w:t>
      </w:r>
    </w:p>
    <w:p>
      <w:pPr>
        <w:pStyle w:val="FirstParagraph"/>
      </w:pPr>
      <w:r>
        <w:t xml:space="preserve">This version fully preserves the technical content and architectural decisions of v1.0. The changes are</w:t>
      </w:r>
      <w:r>
        <w:t xml:space="preserve"> </w:t>
      </w:r>
      <w:r>
        <w:rPr>
          <w:bCs/>
          <w:b/>
        </w:rPr>
        <w:t xml:space="preserve">consistency, precision, and completeness</w:t>
      </w:r>
      <w:r>
        <w:t xml:space="preserve"> </w:t>
      </w:r>
      <w:r>
        <w:t xml:space="preserve">changes, not substantive ones. They are flagged at the end in the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Changes from v1.0</w:t>
      </w:r>
      <w:r>
        <w:rPr>
          <w:iCs/>
          <w:i/>
        </w:rPr>
        <w:t xml:space="preserve">”</w:t>
      </w:r>
      <w:r>
        <w:t xml:space="preserve"> </w:t>
      </w:r>
      <w:r>
        <w:t xml:space="preserve">section so the team can validate them before adopting them as canonical.</w:t>
      </w:r>
    </w:p>
    <w:p>
      <w:r>
        <w:pict>
          <v:rect style="width:0;height:1.5pt" o:hralign="center" o:hrstd="t" o:hr="t"/>
        </w:pict>
      </w:r>
    </w:p>
    <w:bookmarkEnd w:id="21"/>
    <w:bookmarkStart w:id="27" w:name="kadarn-architectural-lexicon-v1.1"/>
    <w:p>
      <w:pPr>
        <w:pStyle w:val="Heading2"/>
      </w:pPr>
      <w:r>
        <w:t xml:space="preserve">1. Kadarn Architectural Lexicon (v1.1)</w:t>
      </w:r>
    </w:p>
    <w:bookmarkStart w:id="22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lexicon defines the canonical meaning of the core terms used across Kadarn. Its purpose is to align product, engineering, compliance, operations, and strategy around a shared vocabulary.</w:t>
      </w:r>
    </w:p>
    <w:bookmarkEnd w:id="22"/>
    <w:bookmarkStart w:id="23" w:name="principles"/>
    <w:p>
      <w:pPr>
        <w:pStyle w:val="Heading3"/>
      </w:pPr>
      <w:r>
        <w:t xml:space="preserve">1.2 Principles</w:t>
      </w:r>
    </w:p>
    <w:p>
      <w:pPr>
        <w:numPr>
          <w:ilvl w:val="0"/>
          <w:numId w:val="1001"/>
        </w:numPr>
        <w:pStyle w:val="Compact"/>
      </w:pPr>
      <w:r>
        <w:t xml:space="preserve">Terms are defined for architectural consistency, not marketing language.</w:t>
      </w:r>
    </w:p>
    <w:p>
      <w:pPr>
        <w:numPr>
          <w:ilvl w:val="0"/>
          <w:numId w:val="1001"/>
        </w:numPr>
        <w:pStyle w:val="Compact"/>
      </w:pPr>
      <w:r>
        <w:t xml:space="preserve">If a term’s meaning changes, the lexicon must be updated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any downstream document.</w:t>
      </w:r>
    </w:p>
    <w:p>
      <w:pPr>
        <w:numPr>
          <w:ilvl w:val="0"/>
          <w:numId w:val="1001"/>
        </w:numPr>
        <w:pStyle w:val="Compact"/>
      </w:pPr>
      <w:r>
        <w:t xml:space="preserve">Every later document in the Kadarn documentation hierarchy must use these definitions without exception.</w:t>
      </w:r>
    </w:p>
    <w:bookmarkEnd w:id="23"/>
    <w:bookmarkStart w:id="24" w:name="core-terms"/>
    <w:p>
      <w:pPr>
        <w:pStyle w:val="Heading3"/>
      </w:pPr>
      <w:r>
        <w:t xml:space="preserve">1.3 Core Terms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Research 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scientific entity with identity, lifecycle, governance, and traceability requirements. Includes, among others: biospecimens, datasets, images, cell lines, organoids, protocols, consent artifacts, and derived results.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 Twin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persistent digital representation of a real-world operational asset, whose current state is derived from events and governed by policies.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Specimen Twin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Operational Twin that represents a physical biospecimen and its lifecycle.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Transaction Twin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Operational Twin that represents a scientific request, negotiation, approval, fulfillment, and settlement process.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verifiable history of origin, transformation, movement, derivation, and contextual use of a Research Asset.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operational measure derived from verifiable evidence about quality, compliance, reliability, performance, and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declarative rule that governs platform behavior without requiring hardcoded business logic.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coordinated sequence of activities controlled by policies, events, and state transitions.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verifiable artifact that supports a decision, event, state change, or claim.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set of organizations, people, systems, and relationships participating in Research Asset orchestration.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broader environment in which the Network operates, including external systems, standards, regulators, logistics, and data infrastructure.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significant domain occurrence that reflects a meaningful change in state or context.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current operational condition of an asset, transaction, or process at a given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decision-making capability that evaluates inputs and produces outputs, actions, or updated states.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reusable platform capability that executes a specific supporting function.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Fabric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connective layer that links systems, data, or trust domains under a shared governance model.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Knowledge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semantic representation of domain concepts, relationships, standards, and mappings.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Network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structural representation of actors and their relationships.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Provenance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representation of how a Research Asset and its derivatives evolved over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Trust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representation of accumulated trust, reliability, compliance, and risk over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Knowledge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Engine responsible for semantic understanding, standard mapping, ontology resolution, and controlled vocabulary logic.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Identity Fabric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Fabric responsible for identity, authentication, authorization, and role continuity across systems.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Fabric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Fabric responsible for structured data movement, normalization, and interoperability.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Trust Fabric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Fabric responsible for trust propagation and trust-aware orchestration across participants.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Governance Fabric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Fabric responsible for policy consistency, permissions, and decision control across the ecosystem.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Integration Fabric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Fabric responsible for interoperability with external platforms and services.</w:t>
            </w:r>
          </w:p>
        </w:tc>
      </w:tr>
    </w:tbl>
    <w:p>
      <w:pPr>
        <w:pStyle w:val="BlockText"/>
      </w:pPr>
      <w:r>
        <w:rPr>
          <w:bCs/>
          <w:b/>
        </w:rPr>
        <w:t xml:space="preserve">Consistency note (v1.1):</w:t>
      </w:r>
      <w:r>
        <w:t xml:space="preserve"> </w:t>
      </w:r>
      <w:r>
        <w:rPr>
          <w:iCs/>
          <w:i/>
        </w:rPr>
        <w:t xml:space="preserve">Network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Ecosystem</w:t>
      </w:r>
      <w:r>
        <w:t xml:space="preserve"> </w:t>
      </w:r>
      <w:r>
        <w:t xml:space="preserve">were added to this table; in v1.0 they were defined in prose but not visually distinguishable from the rest by row structure — no content change, presentation only.</w:t>
      </w:r>
    </w:p>
    <w:bookmarkEnd w:id="24"/>
    <w:bookmarkStart w:id="25" w:name="canonical-usage-rules"/>
    <w:p>
      <w:pPr>
        <w:pStyle w:val="Heading3"/>
      </w:pPr>
      <w:r>
        <w:t xml:space="preserve">1.4 Canonical Usage Rules</w:t>
      </w:r>
    </w:p>
    <w:p>
      <w:pPr>
        <w:numPr>
          <w:ilvl w:val="0"/>
          <w:numId w:val="1002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Research Asset</w:t>
      </w:r>
      <w:r>
        <w:t xml:space="preserve"> </w:t>
      </w:r>
      <w:r>
        <w:t xml:space="preserve">when referring to the broad domain object.</w:t>
      </w:r>
    </w:p>
    <w:p>
      <w:pPr>
        <w:numPr>
          <w:ilvl w:val="0"/>
          <w:numId w:val="1002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Specimen Twin</w:t>
      </w:r>
      <w:r>
        <w:t xml:space="preserve"> </w:t>
      </w:r>
      <w:r>
        <w:t xml:space="preserve">only when the object is specifically a biospecimen.</w:t>
      </w:r>
    </w:p>
    <w:p>
      <w:pPr>
        <w:numPr>
          <w:ilvl w:val="0"/>
          <w:numId w:val="1002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Transaction Twin</w:t>
      </w:r>
      <w:r>
        <w:t xml:space="preserve"> </w:t>
      </w:r>
      <w:r>
        <w:t xml:space="preserve">only when describing a scientific request lifecycle.</w:t>
      </w:r>
    </w:p>
    <w:p>
      <w:pPr>
        <w:numPr>
          <w:ilvl w:val="0"/>
          <w:numId w:val="1002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Provenance</w:t>
      </w:r>
      <w:r>
        <w:t xml:space="preserve"> </w:t>
      </w:r>
      <w:r>
        <w:t xml:space="preserve">for origin and transformation history; use</w:t>
      </w:r>
      <w:r>
        <w:t xml:space="preserve"> </w:t>
      </w:r>
      <w:r>
        <w:rPr>
          <w:bCs/>
          <w:b/>
        </w:rPr>
        <w:t xml:space="preserve">Evidence</w:t>
      </w:r>
      <w:r>
        <w:t xml:space="preserve"> </w:t>
      </w:r>
      <w:r>
        <w:t xml:space="preserve">for artifacts that support a claim or decision.</w:t>
      </w:r>
    </w:p>
    <w:p>
      <w:pPr>
        <w:numPr>
          <w:ilvl w:val="0"/>
          <w:numId w:val="1002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Trust</w:t>
      </w:r>
      <w:r>
        <w:t xml:space="preserve"> </w:t>
      </w:r>
      <w:r>
        <w:t xml:space="preserve">for computed operational reliability; do not use it as a subjective reputation label.</w:t>
      </w:r>
    </w:p>
    <w:p>
      <w:pPr>
        <w:numPr>
          <w:ilvl w:val="0"/>
          <w:numId w:val="1002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Policy</w:t>
      </w:r>
      <w:r>
        <w:t xml:space="preserve"> </w:t>
      </w:r>
      <w:r>
        <w:t xml:space="preserve">for declarative rules; do not use it to mean procedural guidance.</w:t>
      </w:r>
    </w:p>
    <w:p>
      <w:pPr>
        <w:numPr>
          <w:ilvl w:val="0"/>
          <w:numId w:val="1002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Workflow</w:t>
      </w:r>
      <w:r>
        <w:t xml:space="preserve"> </w:t>
      </w:r>
      <w:r>
        <w:t xml:space="preserve">for orchestrated execution; do not use it to mean a static checklist.</w:t>
      </w:r>
    </w:p>
    <w:p>
      <w:pPr>
        <w:numPr>
          <w:ilvl w:val="0"/>
          <w:numId w:val="1002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Fabric</w:t>
      </w:r>
      <w:r>
        <w:t xml:space="preserve"> </w:t>
      </w:r>
      <w:r>
        <w:t xml:space="preserve">only for the five connective layers listed (Identity, Data, Trust, Governance, Integration); do not coin new</w:t>
      </w:r>
      <w:r>
        <w:t xml:space="preserve"> </w:t>
      </w:r>
      <w:r>
        <w:t xml:space="preserve">“</w:t>
      </w:r>
      <w:r>
        <w:t xml:space="preserve">fabrics</w:t>
      </w:r>
      <w:r>
        <w:t xml:space="preserve">”</w:t>
      </w:r>
      <w:r>
        <w:t xml:space="preserve"> </w:t>
      </w:r>
      <w:r>
        <w:t xml:space="preserve">without going through language governance (§1.5).</w:t>
      </w:r>
    </w:p>
    <w:p>
      <w:pPr>
        <w:numPr>
          <w:ilvl w:val="0"/>
          <w:numId w:val="1002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Engine</w:t>
      </w:r>
      <w:r>
        <w:t xml:space="preserve"> </w:t>
      </w:r>
      <w:r>
        <w:t xml:space="preserve">only for the decision-making capabilities listed in KRM-RAO §7; an Engine never owns tables or user interfaces.</w:t>
      </w:r>
    </w:p>
    <w:bookmarkEnd w:id="25"/>
    <w:bookmarkStart w:id="26" w:name="language-governance"/>
    <w:p>
      <w:pPr>
        <w:pStyle w:val="Heading3"/>
      </w:pPr>
      <w:r>
        <w:t xml:space="preserve">1.5 Language Governance</w:t>
      </w:r>
    </w:p>
    <w:p>
      <w:pPr>
        <w:numPr>
          <w:ilvl w:val="0"/>
          <w:numId w:val="1003"/>
        </w:numPr>
        <w:pStyle w:val="Compact"/>
      </w:pPr>
      <w:r>
        <w:t xml:space="preserve">New terms require approval before becoming canonical.</w:t>
      </w:r>
    </w:p>
    <w:p>
      <w:pPr>
        <w:numPr>
          <w:ilvl w:val="0"/>
          <w:numId w:val="1003"/>
        </w:numPr>
        <w:pStyle w:val="Compact"/>
      </w:pPr>
      <w:r>
        <w:t xml:space="preserve">Synonyms should be minimized.</w:t>
      </w:r>
    </w:p>
    <w:p>
      <w:pPr>
        <w:numPr>
          <w:ilvl w:val="0"/>
          <w:numId w:val="1003"/>
        </w:numPr>
        <w:pStyle w:val="Compact"/>
      </w:pPr>
      <w:r>
        <w:t xml:space="preserve">If two terms overlap, one must be chosen as canonical and the other marked as</w:t>
      </w:r>
      <w:r>
        <w:t xml:space="preserve"> </w:t>
      </w:r>
      <w:r>
        <w:rPr>
          <w:bCs/>
          <w:b/>
        </w:rPr>
        <w:t xml:space="preserve">deprecated</w:t>
      </w:r>
      <w:r>
        <w:t xml:space="preserve">, noting in which document and version the deprecation occurred.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kadarn-manifesto-v1.1"/>
    <w:p>
      <w:pPr>
        <w:pStyle w:val="Heading2"/>
      </w:pPr>
      <w:r>
        <w:t xml:space="preserve">2. Kadarn Manifesto (v1.1)</w:t>
      </w:r>
    </w:p>
    <w:bookmarkStart w:id="28" w:name="why-kadarn-exists"/>
    <w:p>
      <w:pPr>
        <w:pStyle w:val="Heading3"/>
      </w:pPr>
      <w:r>
        <w:t xml:space="preserve">2.1 Why Kadarn Exists</w:t>
      </w:r>
    </w:p>
    <w:p>
      <w:pPr>
        <w:pStyle w:val="FirstParagraph"/>
      </w:pPr>
      <w:r>
        <w:t xml:space="preserve">Kadarn exists because scientific asset orchestration is fragmented across people, systems, policies, and institutions. The domain needs a coherent platform that can coordinate Research Assets with trust, governance, provenance, and interoperability.</w:t>
      </w:r>
    </w:p>
    <w:bookmarkEnd w:id="28"/>
    <w:bookmarkStart w:id="29" w:name="the-problem"/>
    <w:p>
      <w:pPr>
        <w:pStyle w:val="Heading3"/>
      </w:pPr>
      <w:r>
        <w:t xml:space="preserve">2.2 The Problem</w:t>
      </w:r>
    </w:p>
    <w:p>
      <w:pPr>
        <w:pStyle w:val="FirstParagraph"/>
      </w:pPr>
      <w:r>
        <w:t xml:space="preserve">Today, scientific networks rely on disconnected tools for discovery, approvals, compliance, logistics, evidence, and financial settlement. That fragmentation creates operational delay, weak traceability, inconsistent policy enforcement, and poor network visibility.</w:t>
      </w:r>
    </w:p>
    <w:bookmarkEnd w:id="29"/>
    <w:bookmarkStart w:id="30" w:name="what-kadarn-is"/>
    <w:p>
      <w:pPr>
        <w:pStyle w:val="Heading3"/>
      </w:pPr>
      <w:r>
        <w:t xml:space="preserve">2.3 What Kadarn Is</w:t>
      </w:r>
    </w:p>
    <w:p>
      <w:pPr>
        <w:pStyle w:val="FirstParagraph"/>
      </w:pPr>
      <w:r>
        <w:t xml:space="preserve">Kadarn is</w:t>
      </w:r>
      <w:r>
        <w:t xml:space="preserve"> </w:t>
      </w:r>
      <w:r>
        <w:rPr>
          <w:bCs/>
          <w:b/>
        </w:rPr>
        <w:t xml:space="preserve">execution infrastructure for biospecimen and Research Asset programs</w:t>
      </w:r>
      <w:r>
        <w:t xml:space="preserve">, built around a platform for</w:t>
      </w:r>
      <w:r>
        <w:t xml:space="preserve"> </w:t>
      </w:r>
      <w:r>
        <w:rPr>
          <w:bCs/>
          <w:b/>
        </w:rPr>
        <w:t xml:space="preserve">Research Asset Orchestration</w:t>
      </w:r>
      <w:r>
        <w:t xml:space="preserve">. It is not merely a marketplace, a database, or a document repository, and it is not a discovery tool that stops at matching supply with demand. It is a coordination layer for discovery, feasibility, governance, fulfillment, logistics, regulatory compliance, analytics, and intelligence across the full lifecycle of a Research Asset program — from initial discovery through settlement.</w:t>
      </w:r>
    </w:p>
    <w:p>
      <w:pPr>
        <w:pStyle w:val="BlockText"/>
      </w:pPr>
      <w:r>
        <w:rPr>
          <w:bCs/>
          <w:b/>
        </w:rPr>
        <w:t xml:space="preserve">Provenance of this statement:</w:t>
      </w:r>
      <w:r>
        <w:t xml:space="preserve"> </w:t>
      </w:r>
      <w:r>
        <w:t xml:space="preserve">Kadarn began as a platform to find biospecimens (a discovery-centric framing). As Program Engine, Exchange, Processing, Logistics, Regulatory, Analytics, and AI matured into first-class architectural layers (see KRM-RAO §3.4), the platform’s actual scope outgrew that original framing. This paragraph records that as a deliberate scope expansion — consistent with the Operational Twin and Workflow models already defined in KRM-RAO — rather than as scope creep. It supersedes any earlier</w:t>
      </w:r>
      <w:r>
        <w:t xml:space="preserve"> </w:t>
      </w:r>
      <w:r>
        <w:t xml:space="preserve">“</w:t>
      </w:r>
      <w:r>
        <w:t xml:space="preserve">discovery platform</w:t>
      </w:r>
      <w:r>
        <w:t xml:space="preserve">”</w:t>
      </w:r>
      <w:r>
        <w:t xml:space="preserve"> </w:t>
      </w:r>
      <w:r>
        <w:t xml:space="preserve">framing found in prior versions of this Manifesto or in external materials, and should be treated as the canonical statement of what Kadarn is going forward. See the Kadarn Readiness &amp; Governance Pack §1.4 for the full scope decision record.</w:t>
      </w:r>
    </w:p>
    <w:bookmarkEnd w:id="30"/>
    <w:bookmarkStart w:id="31" w:name="what-kadarn-is-not"/>
    <w:p>
      <w:pPr>
        <w:pStyle w:val="Heading3"/>
      </w:pPr>
      <w:r>
        <w:t xml:space="preserve">2.4 What Kadarn Is Not</w:t>
      </w:r>
    </w:p>
    <w:p>
      <w:pPr>
        <w:numPr>
          <w:ilvl w:val="0"/>
          <w:numId w:val="1004"/>
        </w:numPr>
        <w:pStyle w:val="Compact"/>
      </w:pPr>
      <w:r>
        <w:t xml:space="preserve">Not a generic workflow tool.</w:t>
      </w:r>
    </w:p>
    <w:p>
      <w:pPr>
        <w:numPr>
          <w:ilvl w:val="0"/>
          <w:numId w:val="1004"/>
        </w:numPr>
        <w:pStyle w:val="Compact"/>
      </w:pPr>
      <w:r>
        <w:t xml:space="preserve">Not a simple directory of providers.</w:t>
      </w:r>
    </w:p>
    <w:p>
      <w:pPr>
        <w:numPr>
          <w:ilvl w:val="0"/>
          <w:numId w:val="1004"/>
        </w:numPr>
        <w:pStyle w:val="Compact"/>
      </w:pPr>
      <w:r>
        <w:t xml:space="preserve">Not a monolithic replacement for all external systems.</w:t>
      </w:r>
    </w:p>
    <w:p>
      <w:pPr>
        <w:numPr>
          <w:ilvl w:val="0"/>
          <w:numId w:val="1004"/>
        </w:numPr>
        <w:pStyle w:val="Compact"/>
      </w:pPr>
      <w:r>
        <w:t xml:space="preserve">Not a set of disconnected features without architectural continuity.</w:t>
      </w:r>
    </w:p>
    <w:bookmarkEnd w:id="31"/>
    <w:bookmarkStart w:id="32" w:name="principles-that-must-not-change"/>
    <w:p>
      <w:pPr>
        <w:pStyle w:val="Heading3"/>
      </w:pPr>
      <w:r>
        <w:t xml:space="preserve">2.5 Principles That Must Not Change</w:t>
      </w:r>
    </w:p>
    <w:p>
      <w:pPr>
        <w:numPr>
          <w:ilvl w:val="0"/>
          <w:numId w:val="1005"/>
        </w:numPr>
        <w:pStyle w:val="Compact"/>
      </w:pPr>
      <w:r>
        <w:t xml:space="preserve">Policy over hardcode.</w:t>
      </w:r>
    </w:p>
    <w:p>
      <w:pPr>
        <w:numPr>
          <w:ilvl w:val="0"/>
          <w:numId w:val="1005"/>
        </w:numPr>
        <w:pStyle w:val="Compact"/>
      </w:pPr>
      <w:r>
        <w:t xml:space="preserve">Events over mutable assumptions.</w:t>
      </w:r>
    </w:p>
    <w:p>
      <w:pPr>
        <w:numPr>
          <w:ilvl w:val="0"/>
          <w:numId w:val="1005"/>
        </w:numPr>
        <w:pStyle w:val="Compact"/>
      </w:pPr>
      <w:r>
        <w:t xml:space="preserve">Trust over declarations.</w:t>
      </w:r>
    </w:p>
    <w:p>
      <w:pPr>
        <w:numPr>
          <w:ilvl w:val="0"/>
          <w:numId w:val="1005"/>
        </w:numPr>
        <w:pStyle w:val="Compact"/>
      </w:pPr>
      <w:r>
        <w:t xml:space="preserve">Evidence over claims.</w:t>
      </w:r>
    </w:p>
    <w:p>
      <w:pPr>
        <w:numPr>
          <w:ilvl w:val="0"/>
          <w:numId w:val="1005"/>
        </w:numPr>
        <w:pStyle w:val="Compact"/>
      </w:pPr>
      <w:r>
        <w:t xml:space="preserve">Federation over forced centralization.</w:t>
      </w:r>
    </w:p>
    <w:p>
      <w:pPr>
        <w:numPr>
          <w:ilvl w:val="0"/>
          <w:numId w:val="1005"/>
        </w:numPr>
        <w:pStyle w:val="Compact"/>
      </w:pPr>
      <w:r>
        <w:t xml:space="preserve">Interoperability over replacement.</w:t>
      </w:r>
    </w:p>
    <w:p>
      <w:pPr>
        <w:numPr>
          <w:ilvl w:val="0"/>
          <w:numId w:val="1005"/>
        </w:numPr>
        <w:pStyle w:val="Compact"/>
      </w:pPr>
      <w:r>
        <w:t xml:space="preserve">Human-in-the-loop where governance requires it.</w:t>
      </w:r>
    </w:p>
    <w:p>
      <w:pPr>
        <w:numPr>
          <w:ilvl w:val="0"/>
          <w:numId w:val="1005"/>
        </w:numPr>
        <w:pStyle w:val="Compact"/>
      </w:pPr>
      <w:r>
        <w:t xml:space="preserve">Auditability by design.</w:t>
      </w:r>
    </w:p>
    <w:p>
      <w:pPr>
        <w:numPr>
          <w:ilvl w:val="0"/>
          <w:numId w:val="1005"/>
        </w:numPr>
        <w:pStyle w:val="Compact"/>
      </w:pPr>
      <w:r>
        <w:t xml:space="preserve">Semantic consistency across the platform.</w:t>
      </w:r>
    </w:p>
    <w:bookmarkEnd w:id="32"/>
    <w:bookmarkStart w:id="33" w:name="the-promise"/>
    <w:p>
      <w:pPr>
        <w:pStyle w:val="Heading3"/>
      </w:pPr>
      <w:r>
        <w:t xml:space="preserve">2.6 The Promise</w:t>
      </w:r>
    </w:p>
    <w:p>
      <w:pPr>
        <w:pStyle w:val="FirstParagraph"/>
      </w:pPr>
      <w:r>
        <w:t xml:space="preserve">Kadarn will make it possible to orchestrate scientific assets across a fragmented ecosystem without losing provenance, trust, or governance control.</w:t>
      </w:r>
    </w:p>
    <w:bookmarkEnd w:id="33"/>
    <w:bookmarkStart w:id="34" w:name="the-commitment"/>
    <w:p>
      <w:pPr>
        <w:pStyle w:val="Heading3"/>
      </w:pPr>
      <w:r>
        <w:t xml:space="preserve">2.7 The Commitment</w:t>
      </w:r>
    </w:p>
    <w:p>
      <w:pPr>
        <w:pStyle w:val="FirstParagraph"/>
      </w:pPr>
      <w:r>
        <w:t xml:space="preserve">Kadarn will evolve, but its architectural principles will remain stable. The platform may change in implementation, not in identity.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9" w:name="Xe6644af87d7a02082c87a905c24a849eb9dbb80"/>
    <w:p>
      <w:pPr>
        <w:pStyle w:val="Heading2"/>
      </w:pPr>
      <w:r>
        <w:t xml:space="preserve">3. KRM-RAO — Kadarn Reference Model for Research Asset Orchestration (v1.1)</w:t>
      </w:r>
    </w:p>
    <w:bookmarkStart w:id="36" w:name="purpose-1"/>
    <w:p>
      <w:pPr>
        <w:pStyle w:val="Heading3"/>
      </w:pPr>
      <w:r>
        <w:t xml:space="preserve">3.1 Purpose</w:t>
      </w:r>
    </w:p>
    <w:p>
      <w:pPr>
        <w:pStyle w:val="FirstParagraph"/>
      </w:pPr>
      <w:r>
        <w:t xml:space="preserve">KRM-RAO defines the reference architecture for Research Asset Orchestration. It is the internal model that ensures Kadarn remains coherent as it evolves across domains, modules, and implementations.</w:t>
      </w:r>
    </w:p>
    <w:bookmarkEnd w:id="36"/>
    <w:bookmarkStart w:id="37" w:name="scope"/>
    <w:p>
      <w:pPr>
        <w:pStyle w:val="Heading3"/>
      </w:pPr>
      <w:r>
        <w:t xml:space="preserve">3.2 Scope</w:t>
      </w:r>
    </w:p>
    <w:p>
      <w:pPr>
        <w:pStyle w:val="FirstParagraph"/>
      </w:pPr>
      <w:r>
        <w:t xml:space="preserve">This model applies to the orchestration of scientific assets, including but not limited to biospecimens, datasets, images, cell lines, protocols, consent artifacts, derived results, and future research objects.</w:t>
      </w:r>
    </w:p>
    <w:bookmarkEnd w:id="37"/>
    <w:bookmarkStart w:id="38" w:name="architecture-philosophy"/>
    <w:p>
      <w:pPr>
        <w:pStyle w:val="Heading3"/>
      </w:pPr>
      <w:r>
        <w:t xml:space="preserve">3.3 Architecture Philosophy</w:t>
      </w:r>
    </w:p>
    <w:p>
      <w:pPr>
        <w:pStyle w:val="FirstParagraph"/>
      </w:pPr>
      <w:r>
        <w:t xml:space="preserve">Kadarn integrates established disciplines rather than inventing new ones. The model draws from Enterprise Architecture, Domain-Driven Design, Event-Driven Architecture, Knowledge Graphs, FAIR Data, provenance standards, Zero Trust, digital twins, workflow orchestration, policy-as-code, and network science.</w:t>
      </w:r>
    </w:p>
    <w:bookmarkEnd w:id="38"/>
    <w:bookmarkStart w:id="39" w:name="architectural-layers"/>
    <w:p>
      <w:pPr>
        <w:pStyle w:val="Heading3"/>
      </w:pPr>
      <w:r>
        <w:t xml:space="preserve">3.4 Architectural Layers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4.1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visible user-facing experiences: Discovery, Exchange, Governance, Analytics, Administration, and Network Console.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4.2 Engines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Decision-making capabilities: Identity, Discovery, Feasibility, Knowledge, Policy, Trust, Workflow, Fulfillment, Financial, Intelligence, and Integration.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4.3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 capabilities: Audit, Notification, Document, Signature, Search, and Identity Support.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4.4 Operational Twins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representations of real-world objects, with state derived from events.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4.5 Graphs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Graph, Provenance Graph, Trust Graph, and Knowledge Graph.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4.6 Fabrics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Fabric, Data Fabric, Trust Fabric, Governance Fabric, and Integration Fabric.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4.7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Cloud, compute, storage, observability, security, identity providers, external APIs, and runtime environments.</w:t>
            </w:r>
          </w:p>
        </w:tc>
      </w:tr>
    </w:tbl>
    <w:bookmarkEnd w:id="39"/>
    <w:bookmarkStart w:id="40" w:name="core-graphs"/>
    <w:p>
      <w:pPr>
        <w:pStyle w:val="Heading3"/>
      </w:pPr>
      <w:r>
        <w:t xml:space="preserve">3.5 Core Graphs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Network Graph</w:t>
      </w:r>
      <w:r>
        <w:t xml:space="preserve"> </w:t>
      </w:r>
      <w:r>
        <w:t xml:space="preserve">— actors, institutions, roles, and relationships.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Provenance Graph</w:t>
      </w:r>
      <w:r>
        <w:t xml:space="preserve"> </w:t>
      </w:r>
      <w:r>
        <w:t xml:space="preserve">— origin, transformation, derivation, versioning, and lineage of Research Assets.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Trust Graph</w:t>
      </w:r>
      <w:r>
        <w:t xml:space="preserve"> </w:t>
      </w:r>
      <w:r>
        <w:t xml:space="preserve">— accumulated operational trust, quality, compliance, and reliability signals.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Knowledge Graph</w:t>
      </w:r>
      <w:r>
        <w:t xml:space="preserve"> </w:t>
      </w:r>
      <w:r>
        <w:t xml:space="preserve">— controlled terminology, ontologies, standard mappings, and semantic relationships.</w:t>
      </w:r>
    </w:p>
    <w:bookmarkEnd w:id="40"/>
    <w:bookmarkStart w:id="41" w:name="operational-twin-model"/>
    <w:p>
      <w:pPr>
        <w:pStyle w:val="Heading3"/>
      </w:pPr>
      <w:r>
        <w:t xml:space="preserve">3.6 Operational Twin Model</w:t>
      </w:r>
    </w:p>
    <w:p>
      <w:pPr>
        <w:pStyle w:val="FirstParagraph"/>
      </w:pPr>
      <w:r>
        <w:t xml:space="preserve">Operational Twins are the primary stateful objects of Kadarn. They represent the present condition of a real-world asset, object, or process.</w:t>
      </w:r>
    </w:p>
    <w:p>
      <w:pPr>
        <w:pStyle w:val="BodyText"/>
      </w:pPr>
      <w:r>
        <w:rPr>
          <w:bCs/>
          <w:b/>
        </w:rPr>
        <w:t xml:space="preserve">Examples</w:t>
      </w:r>
      <w:r>
        <w:t xml:space="preserve"> </w:t>
      </w:r>
      <w:r>
        <w:t xml:space="preserve">(aligned with KRM-BNO §4 to avoid divergence between profiles):</w:t>
      </w:r>
    </w:p>
    <w:p>
      <w:pPr>
        <w:numPr>
          <w:ilvl w:val="0"/>
          <w:numId w:val="1007"/>
        </w:numPr>
        <w:pStyle w:val="Compact"/>
      </w:pPr>
      <w:r>
        <w:t xml:space="preserve">Research Asset Twin</w:t>
      </w:r>
    </w:p>
    <w:p>
      <w:pPr>
        <w:numPr>
          <w:ilvl w:val="0"/>
          <w:numId w:val="1007"/>
        </w:numPr>
        <w:pStyle w:val="Compact"/>
      </w:pPr>
      <w:r>
        <w:t xml:space="preserve">Specimen Twin</w:t>
      </w:r>
    </w:p>
    <w:p>
      <w:pPr>
        <w:numPr>
          <w:ilvl w:val="0"/>
          <w:numId w:val="1007"/>
        </w:numPr>
        <w:pStyle w:val="Compact"/>
      </w:pPr>
      <w:r>
        <w:t xml:space="preserve">Aliquot Twin</w:t>
      </w:r>
    </w:p>
    <w:p>
      <w:pPr>
        <w:numPr>
          <w:ilvl w:val="0"/>
          <w:numId w:val="1007"/>
        </w:numPr>
        <w:pStyle w:val="Compact"/>
      </w:pPr>
      <w:r>
        <w:t xml:space="preserve">Dataset Twin</w:t>
      </w:r>
    </w:p>
    <w:p>
      <w:pPr>
        <w:numPr>
          <w:ilvl w:val="0"/>
          <w:numId w:val="1007"/>
        </w:numPr>
        <w:pStyle w:val="Compact"/>
      </w:pPr>
      <w:r>
        <w:t xml:space="preserve">Image Twin</w:t>
      </w:r>
    </w:p>
    <w:p>
      <w:pPr>
        <w:numPr>
          <w:ilvl w:val="0"/>
          <w:numId w:val="1007"/>
        </w:numPr>
        <w:pStyle w:val="Compact"/>
      </w:pPr>
      <w:r>
        <w:t xml:space="preserve">Cell Line Twin</w:t>
      </w:r>
    </w:p>
    <w:p>
      <w:pPr>
        <w:numPr>
          <w:ilvl w:val="0"/>
          <w:numId w:val="1007"/>
        </w:numPr>
        <w:pStyle w:val="Compact"/>
      </w:pPr>
      <w:r>
        <w:t xml:space="preserve">Collection Twin</w:t>
      </w:r>
    </w:p>
    <w:p>
      <w:pPr>
        <w:numPr>
          <w:ilvl w:val="0"/>
          <w:numId w:val="1007"/>
        </w:numPr>
        <w:pStyle w:val="Compact"/>
      </w:pPr>
      <w:r>
        <w:t xml:space="preserve">Shipment Twin</w:t>
      </w:r>
    </w:p>
    <w:p>
      <w:pPr>
        <w:numPr>
          <w:ilvl w:val="0"/>
          <w:numId w:val="1007"/>
        </w:numPr>
        <w:pStyle w:val="Compact"/>
      </w:pPr>
      <w:r>
        <w:t xml:space="preserve">Transaction Twin</w:t>
      </w:r>
    </w:p>
    <w:p>
      <w:pPr>
        <w:numPr>
          <w:ilvl w:val="0"/>
          <w:numId w:val="1007"/>
        </w:numPr>
        <w:pStyle w:val="Compact"/>
      </w:pPr>
      <w:r>
        <w:t xml:space="preserve">Organization Twin</w:t>
      </w:r>
    </w:p>
    <w:p>
      <w:pPr>
        <w:pStyle w:val="BlockText"/>
      </w:pPr>
      <w:r>
        <w:rPr>
          <w:bCs/>
          <w:b/>
        </w:rPr>
        <w:t xml:space="preserve">Change in v1.1:</w:t>
      </w:r>
      <w:r>
        <w:t xml:space="preserve"> </w:t>
      </w:r>
      <w:r>
        <w:rPr>
          <w:iCs/>
          <w:i/>
        </w:rPr>
        <w:t xml:space="preserve">Aliquot Twin</w:t>
      </w:r>
      <w:r>
        <w:t xml:space="preserve"> </w:t>
      </w:r>
      <w:r>
        <w:t xml:space="preserve">was added to this list. In v1.0 it appeared in KRM-BNO §4 but not in KRM-RAO’s own general model in §6, creating an inconsistency between the base model and its specialized profile.</w:t>
      </w:r>
    </w:p>
    <w:bookmarkEnd w:id="41"/>
    <w:bookmarkStart w:id="42" w:name="engines-as-capabilities"/>
    <w:p>
      <w:pPr>
        <w:pStyle w:val="Heading3"/>
      </w:pPr>
      <w:r>
        <w:t xml:space="preserve">3.7 Engines as Capabilities</w:t>
      </w:r>
    </w:p>
    <w:p>
      <w:pPr>
        <w:pStyle w:val="FirstParagraph"/>
      </w:pPr>
      <w:r>
        <w:t xml:space="preserve">Engines do not own tables or interfaces. They own decisions.</w:t>
      </w:r>
    </w:p>
    <w:p>
      <w:pPr>
        <w:pStyle w:val="BodyText"/>
      </w:pPr>
      <w:r>
        <w:rPr>
          <w:bCs/>
          <w:b/>
        </w:rPr>
        <w:t xml:space="preserve">Capability Sequence: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Knowledge Engine</w:t>
      </w:r>
      <w:r>
        <w:t xml:space="preserve"> </w:t>
      </w:r>
      <w:r>
        <w:t xml:space="preserve">— understands the domain.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Trust Engine</w:t>
      </w:r>
      <w:r>
        <w:t xml:space="preserve"> </w:t>
      </w:r>
      <w:r>
        <w:t xml:space="preserve">— evaluates trust and risk.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Policy Engine</w:t>
      </w:r>
      <w:r>
        <w:t xml:space="preserve"> </w:t>
      </w:r>
      <w:r>
        <w:t xml:space="preserve">— determines allowed behavior.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Workflow Engine</w:t>
      </w:r>
      <w:r>
        <w:t xml:space="preserve"> </w:t>
      </w:r>
      <w:r>
        <w:t xml:space="preserve">— coordinates execution.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Fulfillment Engine</w:t>
      </w:r>
      <w:r>
        <w:t xml:space="preserve"> </w:t>
      </w:r>
      <w:r>
        <w:t xml:space="preserve">— executes operational steps.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Financial Engine</w:t>
      </w:r>
      <w:r>
        <w:t xml:space="preserve"> </w:t>
      </w:r>
      <w:r>
        <w:t xml:space="preserve">— manages settlement logic.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Intelligence Engine</w:t>
      </w:r>
      <w:r>
        <w:t xml:space="preserve"> </w:t>
      </w:r>
      <w:r>
        <w:t xml:space="preserve">— learns from performance and patterns.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KRM-RAO §4.2 additionally lists</w:t>
      </w:r>
      <w:r>
        <w:t xml:space="preserve"> </w:t>
      </w:r>
      <w:r>
        <w:rPr>
          <w:iCs/>
          <w:i/>
        </w:rPr>
        <w:t xml:space="preserve">Identity, Discovery, Feasibility,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Integration</w:t>
      </w:r>
      <w:r>
        <w:t xml:space="preserve"> </w:t>
      </w:r>
      <w:r>
        <w:t xml:space="preserve">as Engines within the Applications/Engines layer, none of which appear in this capability sequence. Before fixing v1.1 as canonical, it is recommended to decide whether the</w:t>
      </w:r>
      <w:r>
        <w:t xml:space="preserve"> </w:t>
      </w:r>
      <w:r>
        <w:t xml:space="preserve">“</w:t>
      </w:r>
      <w:r>
        <w:t xml:space="preserve">Capability Sequence</w:t>
      </w:r>
      <w:r>
        <w:t xml:space="preserve">”</w:t>
      </w:r>
      <w:r>
        <w:t xml:space="preserve"> </w:t>
      </w:r>
      <w:r>
        <w:t xml:space="preserve">should include them, or whether it intentionally describes only the core transactional orchestration loop. This is flagged as a pending decision, not resolved unilaterally in this revision.</w:t>
      </w:r>
    </w:p>
    <w:bookmarkEnd w:id="42"/>
    <w:bookmarkStart w:id="43" w:name="event-model"/>
    <w:p>
      <w:pPr>
        <w:pStyle w:val="Heading3"/>
      </w:pPr>
      <w:r>
        <w:t xml:space="preserve">3.8 Event Model</w:t>
      </w:r>
    </w:p>
    <w:p>
      <w:pPr>
        <w:pStyle w:val="FirstParagraph"/>
      </w:pPr>
      <w:r>
        <w:t xml:space="preserve">The platform is event-driven. Events are first-class domain signals.</w:t>
      </w:r>
    </w:p>
    <w:p>
      <w:pPr>
        <w:pStyle w:val="BodyText"/>
      </w:pPr>
      <w:r>
        <w:rPr>
          <w:bCs/>
          <w:b/>
        </w:rPr>
        <w:t xml:space="preserve">Examples:</w:t>
      </w:r>
      <w:r>
        <w:t xml:space="preserve"> </w:t>
      </w:r>
      <w:r>
        <w:rPr>
          <w:rStyle w:val="VerbatimChar"/>
        </w:rPr>
        <w:t xml:space="preserve">AssetRegistered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ConsentVerified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GovernanceApproved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ReservationCreated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CollectionStarted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ProcessingCompleted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ShipmentDispatched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TemperatureExcursionDetected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ReceiptConfirmed</w:t>
      </w:r>
      <w:r>
        <w:t xml:space="preserve">,</w:t>
      </w:r>
      <w:r>
        <w:t xml:space="preserve"> </w:t>
      </w:r>
      <w:r>
        <w:rPr>
          <w:rStyle w:val="VerbatimChar"/>
        </w:rPr>
        <w:t xml:space="preserve">QCCompleted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DatasetLinked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SettlementReleased</w:t>
      </w:r>
      <w:r>
        <w:t xml:space="preserve">.</w:t>
      </w:r>
    </w:p>
    <w:bookmarkEnd w:id="43"/>
    <w:bookmarkStart w:id="44" w:name="policy-model"/>
    <w:p>
      <w:pPr>
        <w:pStyle w:val="Heading3"/>
      </w:pPr>
      <w:r>
        <w:t xml:space="preserve">3.9 Policy Model</w:t>
      </w:r>
    </w:p>
    <w:p>
      <w:pPr>
        <w:pStyle w:val="FirstParagraph"/>
      </w:pPr>
      <w:r>
        <w:t xml:space="preserve">Policies are declarative and versioned. They are evaluated against context, asset type, jurisdiction, actor role, and use case.</w:t>
      </w:r>
    </w:p>
    <w:bookmarkEnd w:id="44"/>
    <w:bookmarkStart w:id="45" w:name="trust-model"/>
    <w:p>
      <w:pPr>
        <w:pStyle w:val="Heading3"/>
      </w:pPr>
      <w:r>
        <w:t xml:space="preserve">3.10 Trust Model</w:t>
      </w:r>
    </w:p>
    <w:p>
      <w:pPr>
        <w:pStyle w:val="FirstParagraph"/>
      </w:pPr>
      <w:r>
        <w:t xml:space="preserve">Trust is not subjective. It is computed from evidence across quality, compliance, performance, integrity, and reliability dimensions.</w:t>
      </w:r>
    </w:p>
    <w:bookmarkEnd w:id="45"/>
    <w:bookmarkStart w:id="46" w:name="interoperability-model"/>
    <w:p>
      <w:pPr>
        <w:pStyle w:val="Heading3"/>
      </w:pPr>
      <w:r>
        <w:t xml:space="preserve">3.11 Interoperability Model</w:t>
      </w:r>
    </w:p>
    <w:p>
      <w:pPr>
        <w:pStyle w:val="FirstParagraph"/>
      </w:pPr>
      <w:r>
        <w:t xml:space="preserve">The platform must coexist with external systems, not replace them. Interoperability is a design principle, not a future enhancement.</w:t>
      </w:r>
    </w:p>
    <w:bookmarkEnd w:id="46"/>
    <w:bookmarkStart w:id="47" w:name="security-model"/>
    <w:p>
      <w:pPr>
        <w:pStyle w:val="Heading3"/>
      </w:pPr>
      <w:r>
        <w:t xml:space="preserve">3.12 Security Model</w:t>
      </w:r>
    </w:p>
    <w:p>
      <w:pPr>
        <w:pStyle w:val="FirstParagraph"/>
      </w:pPr>
      <w:r>
        <w:t xml:space="preserve">Kadarn is designed with Zero Trust principles, role-based access, evidence retention, auditability, and least-privilege access.</w:t>
      </w:r>
    </w:p>
    <w:bookmarkEnd w:id="47"/>
    <w:bookmarkStart w:id="48" w:name="evolution-boundary"/>
    <w:p>
      <w:pPr>
        <w:pStyle w:val="Heading3"/>
      </w:pPr>
      <w:r>
        <w:t xml:space="preserve">3.13 Evolution Boundary</w:t>
      </w:r>
    </w:p>
    <w:p>
      <w:pPr>
        <w:pStyle w:val="FirstParagraph"/>
      </w:pPr>
      <w:r>
        <w:t xml:space="preserve">The reference model is stable. Modules, APIs, connectors, UIs, analytics, and deployments may change without violating the architecture.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9" w:name="X6be15550a715990d3bf1174f61dc25c3b408cf2"/>
    <w:p>
      <w:pPr>
        <w:pStyle w:val="Heading2"/>
      </w:pPr>
      <w:r>
        <w:t xml:space="preserve">4. KRM-BNO — Kadarn Reference Model for Biospecimen Network Orchestration (v1.1)</w:t>
      </w:r>
    </w:p>
    <w:bookmarkStart w:id="50" w:name="purpose-2"/>
    <w:p>
      <w:pPr>
        <w:pStyle w:val="Heading3"/>
      </w:pPr>
      <w:r>
        <w:t xml:space="preserve">4.1 Purpose</w:t>
      </w:r>
    </w:p>
    <w:p>
      <w:pPr>
        <w:pStyle w:val="FirstParagraph"/>
      </w:pPr>
      <w:r>
        <w:t xml:space="preserve">KRM-BNO is the biospecimen-specific profile of KRM-RAO. It specializes the broader Research Asset Orchestration model for biospecimen networks.</w:t>
      </w:r>
    </w:p>
    <w:bookmarkEnd w:id="50"/>
    <w:bookmarkStart w:id="51" w:name="scope-1"/>
    <w:p>
      <w:pPr>
        <w:pStyle w:val="Heading3"/>
      </w:pPr>
      <w:r>
        <w:t xml:space="preserve">4.2 Scope</w:t>
      </w:r>
    </w:p>
    <w:p>
      <w:pPr>
        <w:pStyle w:val="FirstParagraph"/>
      </w:pPr>
      <w:r>
        <w:t xml:space="preserve">This profile applies to biospecimen ecosystems involving sponsors, CROs, sites, biobanks, pathology, laboratories, couriers, IRBs, regulators, and downstream research users.</w:t>
      </w:r>
    </w:p>
    <w:bookmarkEnd w:id="51"/>
    <w:bookmarkStart w:id="52" w:name="core-biospecimen-lifecycle"/>
    <w:p>
      <w:pPr>
        <w:pStyle w:val="Heading3"/>
      </w:pPr>
      <w:r>
        <w:t xml:space="preserve">4.3 Core Biospecimen Lifecycle</w:t>
      </w:r>
    </w:p>
    <w:p>
      <w:pPr>
        <w:numPr>
          <w:ilvl w:val="0"/>
          <w:numId w:val="1009"/>
        </w:numPr>
        <w:pStyle w:val="Compact"/>
      </w:pPr>
      <w:r>
        <w:t xml:space="preserve">Discovery</w:t>
      </w:r>
    </w:p>
    <w:p>
      <w:pPr>
        <w:numPr>
          <w:ilvl w:val="0"/>
          <w:numId w:val="1009"/>
        </w:numPr>
        <w:pStyle w:val="Compact"/>
      </w:pPr>
      <w:r>
        <w:t xml:space="preserve">Feasibility</w:t>
      </w:r>
    </w:p>
    <w:p>
      <w:pPr>
        <w:numPr>
          <w:ilvl w:val="0"/>
          <w:numId w:val="1009"/>
        </w:numPr>
        <w:pStyle w:val="Compact"/>
      </w:pPr>
      <w:r>
        <w:t xml:space="preserve">Consent verification</w:t>
      </w:r>
    </w:p>
    <w:p>
      <w:pPr>
        <w:numPr>
          <w:ilvl w:val="0"/>
          <w:numId w:val="1009"/>
        </w:numPr>
        <w:pStyle w:val="Compact"/>
      </w:pPr>
      <w:r>
        <w:t xml:space="preserve">IRB review</w:t>
      </w:r>
    </w:p>
    <w:p>
      <w:pPr>
        <w:numPr>
          <w:ilvl w:val="0"/>
          <w:numId w:val="1009"/>
        </w:numPr>
        <w:pStyle w:val="Compact"/>
      </w:pPr>
      <w:r>
        <w:t xml:space="preserve">Regulatory package assembly</w:t>
      </w:r>
    </w:p>
    <w:p>
      <w:pPr>
        <w:numPr>
          <w:ilvl w:val="0"/>
          <w:numId w:val="1009"/>
        </w:numPr>
        <w:pStyle w:val="Compact"/>
      </w:pPr>
      <w:r>
        <w:t xml:space="preserve">Reservation</w:t>
      </w:r>
    </w:p>
    <w:p>
      <w:pPr>
        <w:numPr>
          <w:ilvl w:val="0"/>
          <w:numId w:val="1009"/>
        </w:numPr>
        <w:pStyle w:val="Compact"/>
      </w:pPr>
      <w:r>
        <w:t xml:space="preserve">Collection</w:t>
      </w:r>
    </w:p>
    <w:p>
      <w:pPr>
        <w:numPr>
          <w:ilvl w:val="0"/>
          <w:numId w:val="1009"/>
        </w:numPr>
        <w:pStyle w:val="Compact"/>
      </w:pPr>
      <w:r>
        <w:t xml:space="preserve">Processing</w:t>
      </w:r>
    </w:p>
    <w:p>
      <w:pPr>
        <w:numPr>
          <w:ilvl w:val="0"/>
          <w:numId w:val="1009"/>
        </w:numPr>
        <w:pStyle w:val="Compact"/>
      </w:pPr>
      <w:r>
        <w:t xml:space="preserve">QC</w:t>
      </w:r>
    </w:p>
    <w:p>
      <w:pPr>
        <w:numPr>
          <w:ilvl w:val="0"/>
          <w:numId w:val="1009"/>
        </w:numPr>
        <w:pStyle w:val="Compact"/>
      </w:pPr>
      <w:r>
        <w:t xml:space="preserve">Shipment</w:t>
      </w:r>
    </w:p>
    <w:p>
      <w:pPr>
        <w:numPr>
          <w:ilvl w:val="0"/>
          <w:numId w:val="1009"/>
        </w:numPr>
        <w:pStyle w:val="Compact"/>
      </w:pPr>
      <w:r>
        <w:t xml:space="preserve">Temperature monitoring</w:t>
      </w:r>
    </w:p>
    <w:p>
      <w:pPr>
        <w:numPr>
          <w:ilvl w:val="0"/>
          <w:numId w:val="1009"/>
        </w:numPr>
        <w:pStyle w:val="Compact"/>
      </w:pPr>
      <w:r>
        <w:t xml:space="preserve">Receipt</w:t>
      </w:r>
    </w:p>
    <w:p>
      <w:pPr>
        <w:numPr>
          <w:ilvl w:val="0"/>
          <w:numId w:val="1009"/>
        </w:numPr>
        <w:pStyle w:val="Compact"/>
      </w:pPr>
      <w:r>
        <w:t xml:space="preserve">Acceptance</w:t>
      </w:r>
    </w:p>
    <w:p>
      <w:pPr>
        <w:numPr>
          <w:ilvl w:val="0"/>
          <w:numId w:val="1009"/>
        </w:numPr>
        <w:pStyle w:val="Compact"/>
      </w:pPr>
      <w:r>
        <w:t xml:space="preserve">Data linkage</w:t>
      </w:r>
    </w:p>
    <w:p>
      <w:pPr>
        <w:numPr>
          <w:ilvl w:val="0"/>
          <w:numId w:val="1009"/>
        </w:numPr>
        <w:pStyle w:val="Compact"/>
      </w:pPr>
      <w:r>
        <w:t xml:space="preserve">Settlement</w:t>
      </w:r>
    </w:p>
    <w:bookmarkEnd w:id="52"/>
    <w:bookmarkStart w:id="53" w:name="biospecimen-twins"/>
    <w:p>
      <w:pPr>
        <w:pStyle w:val="Heading3"/>
      </w:pPr>
      <w:r>
        <w:t xml:space="preserve">4.4 Biospecimen Twins</w:t>
      </w:r>
    </w:p>
    <w:p>
      <w:pPr>
        <w:numPr>
          <w:ilvl w:val="0"/>
          <w:numId w:val="1010"/>
        </w:numPr>
        <w:pStyle w:val="Compact"/>
      </w:pPr>
      <w:r>
        <w:t xml:space="preserve">Specimen Twin</w:t>
      </w:r>
    </w:p>
    <w:p>
      <w:pPr>
        <w:numPr>
          <w:ilvl w:val="0"/>
          <w:numId w:val="1010"/>
        </w:numPr>
        <w:pStyle w:val="Compact"/>
      </w:pPr>
      <w:r>
        <w:t xml:space="preserve">Aliquot Twin</w:t>
      </w:r>
    </w:p>
    <w:p>
      <w:pPr>
        <w:numPr>
          <w:ilvl w:val="0"/>
          <w:numId w:val="1010"/>
        </w:numPr>
        <w:pStyle w:val="Compact"/>
      </w:pPr>
      <w:r>
        <w:t xml:space="preserve">Collection Twin</w:t>
      </w:r>
    </w:p>
    <w:p>
      <w:pPr>
        <w:numPr>
          <w:ilvl w:val="0"/>
          <w:numId w:val="1010"/>
        </w:numPr>
        <w:pStyle w:val="Compact"/>
      </w:pPr>
      <w:r>
        <w:t xml:space="preserve">Shipment Twin</w:t>
      </w:r>
    </w:p>
    <w:p>
      <w:pPr>
        <w:numPr>
          <w:ilvl w:val="0"/>
          <w:numId w:val="1010"/>
        </w:numPr>
        <w:pStyle w:val="Compact"/>
      </w:pPr>
      <w:r>
        <w:t xml:space="preserve">Transaction Twin</w:t>
      </w:r>
    </w:p>
    <w:p>
      <w:pPr>
        <w:numPr>
          <w:ilvl w:val="0"/>
          <w:numId w:val="1010"/>
        </w:numPr>
        <w:pStyle w:val="Compact"/>
      </w:pPr>
      <w:r>
        <w:t xml:space="preserve">Organization Twin</w:t>
      </w:r>
    </w:p>
    <w:bookmarkEnd w:id="53"/>
    <w:bookmarkStart w:id="54" w:name="biospecimen-events"/>
    <w:p>
      <w:pPr>
        <w:pStyle w:val="Heading3"/>
      </w:pPr>
      <w:r>
        <w:t xml:space="preserve">4.5 Biospecimen Events</w:t>
      </w:r>
    </w:p>
    <w:p>
      <w:pPr>
        <w:pStyle w:val="FirstParagraph"/>
      </w:pPr>
      <w:r>
        <w:rPr>
          <w:rStyle w:val="VerbatimChar"/>
        </w:rPr>
        <w:t xml:space="preserve">SpecimenReserved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ConsentVerified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IRBApproved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CollectionStarted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CollectionCompleted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AliquotCreated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QCCompleted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ShipmentDispatched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ShipmentReceived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TemperatureExcursionDetected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AccessGranted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DatasetLinked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SettlementReleased</w:t>
      </w:r>
      <w:r>
        <w:t xml:space="preserve">.</w:t>
      </w:r>
    </w:p>
    <w:bookmarkEnd w:id="54"/>
    <w:bookmarkStart w:id="55" w:name="biospecimen-trust-domains"/>
    <w:p>
      <w:pPr>
        <w:pStyle w:val="Heading3"/>
      </w:pPr>
      <w:r>
        <w:t xml:space="preserve">4.6 Biospecimen Trust Domains</w:t>
      </w:r>
    </w:p>
    <w:p>
      <w:pPr>
        <w:pStyle w:val="FirstParagraph"/>
      </w:pPr>
      <w:r>
        <w:t xml:space="preserve">Organization Trust · Operational Trust · Regulatory Trust · Specimen Trust · Shipment Trust · Data Trust · Financial Trust.</w:t>
      </w:r>
    </w:p>
    <w:bookmarkEnd w:id="55"/>
    <w:bookmarkStart w:id="56" w:name="biospecimen-knowledge-domains"/>
    <w:p>
      <w:pPr>
        <w:pStyle w:val="Heading3"/>
      </w:pPr>
      <w:r>
        <w:t xml:space="preserve">4.7 Biospecimen Knowledge Domains</w:t>
      </w:r>
    </w:p>
    <w:p>
      <w:pPr>
        <w:pStyle w:val="FirstParagraph"/>
      </w:pPr>
      <w:r>
        <w:t xml:space="preserve">Specimen taxonomies · preservation types · consent frameworks · IRB requirements · MTA/DUA logic · metadata standards · controlled vocabularies.</w:t>
      </w:r>
    </w:p>
    <w:bookmarkEnd w:id="56"/>
    <w:bookmarkStart w:id="57" w:name="biospecimen-application-set"/>
    <w:p>
      <w:pPr>
        <w:pStyle w:val="Heading3"/>
      </w:pPr>
      <w:r>
        <w:t xml:space="preserve">4.8 Biospecimen Application Set</w:t>
      </w:r>
    </w:p>
    <w:p>
      <w:pPr>
        <w:pStyle w:val="FirstParagraph"/>
      </w:pPr>
      <w:r>
        <w:t xml:space="preserve">Discovery · Exchange · Governance · Logistics · Analytics · Administration · Network Console.</w:t>
      </w:r>
    </w:p>
    <w:bookmarkEnd w:id="57"/>
    <w:bookmarkStart w:id="58" w:name="evolution-boundary-1"/>
    <w:p>
      <w:pPr>
        <w:pStyle w:val="Heading3"/>
      </w:pPr>
      <w:r>
        <w:t xml:space="preserve">4.9 Evolution Boundary</w:t>
      </w:r>
    </w:p>
    <w:p>
      <w:pPr>
        <w:pStyle w:val="FirstParagraph"/>
      </w:pPr>
      <w:r>
        <w:t xml:space="preserve">KRM-BNO must remain compatible with KRM-RAO. It is a profile, not a separate architecture.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changes-from-v1.0-summary-for-validation"/>
    <w:p>
      <w:pPr>
        <w:pStyle w:val="Heading2"/>
      </w:pPr>
      <w:r>
        <w:t xml:space="preserve">5. Changes from v1.0 (summary for validation)</w:t>
      </w:r>
    </w:p>
    <w:p>
      <w:pPr>
        <w:pStyle w:val="FirstParagraph"/>
      </w:pPr>
      <w:r>
        <w:t xml:space="preserve">Purely editorial changes (no meaning altered):</w:t>
      </w:r>
      <w:r>
        <w:t xml:space="preserve"> </w:t>
      </w:r>
      <w:r>
        <w:t xml:space="preserve">- Consistent table and heading formatting across all four documents.</w:t>
      </w:r>
      <w:r>
        <w:t xml:space="preserve"> </w:t>
      </w:r>
      <w:r>
        <w:t xml:space="preserve">- Unified section numbering (previously inconsistent styles across documents).</w:t>
      </w:r>
    </w:p>
    <w:p>
      <w:pPr>
        <w:pStyle w:val="BodyText"/>
      </w:pPr>
      <w:r>
        <w:t xml:space="preserve">Content changes —</w:t>
      </w:r>
      <w:r>
        <w:t xml:space="preserve"> </w:t>
      </w:r>
      <w:r>
        <w:rPr>
          <w:bCs/>
          <w:b/>
        </w:rPr>
        <w:t xml:space="preserve">require Language Governance approval (Lexicon §1.5) before adoption</w:t>
      </w:r>
      <w:r>
        <w:t xml:space="preserve">:</w:t>
      </w:r>
      <w:r>
        <w:t xml:space="preserve"> </w:t>
      </w:r>
      <w:r>
        <w:t xml:space="preserve">1. Added</w:t>
      </w:r>
      <w:r>
        <w:t xml:space="preserve"> </w:t>
      </w:r>
      <w:r>
        <w:rPr>
          <w:iCs/>
          <w:i/>
        </w:rPr>
        <w:t xml:space="preserve">Aliquot Twin</w:t>
      </w:r>
      <w:r>
        <w:t xml:space="preserve"> </w:t>
      </w:r>
      <w:r>
        <w:t xml:space="preserve">to the Operational Twin example list in KRM-RAO §3.6, to remove the inconsistency with KRM-BNO §4.4.</w:t>
      </w:r>
      <w:r>
        <w:t xml:space="preserve"> </w:t>
      </w:r>
      <w:r>
        <w:t xml:space="preserve">2. Flagged (without resolving) the discrepancy between the Engines listed in KRM-RAO §4.2 (which include Identity, Discovery, Feasibility, Integration) and the</w:t>
      </w:r>
      <w:r>
        <w:t xml:space="preserve"> </w:t>
      </w:r>
      <w:r>
        <w:t xml:space="preserve">“</w:t>
      </w:r>
      <w:r>
        <w:t xml:space="preserve">Capability Sequence</w:t>
      </w:r>
      <w:r>
        <w:t xml:space="preserve">”</w:t>
      </w:r>
      <w:r>
        <w:t xml:space="preserve"> </w:t>
      </w:r>
      <w:r>
        <w:t xml:space="preserve">in §3.7 (which omits them). Recommendation: explicitly decide the intended scope of the sequence.</w:t>
      </w:r>
      <w:r>
        <w:t xml:space="preserve"> </w:t>
      </w:r>
      <w:r>
        <w:t xml:space="preserve">3. Suggested adding canonical usage rules for</w:t>
      </w:r>
      <w:r>
        <w:t xml:space="preserve"> </w:t>
      </w:r>
      <w:r>
        <w:rPr>
          <w:iCs/>
          <w:i/>
        </w:rPr>
        <w:t xml:space="preserve">Fabric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Engine</w:t>
      </w:r>
      <w:r>
        <w:t xml:space="preserve"> </w:t>
      </w:r>
      <w:r>
        <w:t xml:space="preserve">to the Lexicon (§1.4), since v1.0 did not explicitly cover them despite their being central architectural categories.</w:t>
      </w:r>
    </w:p>
    <w:p>
      <w:pPr>
        <w:pStyle w:val="BodyText"/>
      </w:pPr>
      <w:r>
        <w:t xml:space="preserve">No term was renamed, removed, or redefined. None of the §3.7/§1.4 items were imposed as decisions — they are documented as pending recommendations, per the Lexicon’s own rule that meaning changes require prior approval.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2026-06-27T01:58:18Z</dcterms:created>
  <dcterms:modified xsi:type="dcterms:W3CDTF">2026-06-27T01:58:18Z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