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Xac7d994e542d95b92f6569815fce58641badeee"/>
    <w:p>
      <w:pPr>
        <w:pStyle w:val="Heading1"/>
      </w:pPr>
      <w:r>
        <w:t xml:space="preserve">Kadarn — Release Readiness &amp; Governance Documentation Set (v1.0)</w:t>
      </w:r>
    </w:p>
    <w:p>
      <w:pPr>
        <w:pStyle w:val="FirstParagraph"/>
      </w:pPr>
      <w:r>
        <w:t xml:space="preserve">This set extends the existing architectural documentation (Lexicon, Manifesto, KRM-RAO, KRM-BNO) with the two missing layers identified during the beta-readiness discussion: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Release Readiness Framework</w:t>
      </w:r>
      <w:r>
        <w:t xml:space="preserve">, formalizing the Release Candidate (RC) stage that did not exist in the original roadmap.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Governance &amp; Compliance Pack</w:t>
      </w:r>
      <w:r>
        <w:t xml:space="preserve">, the regulatory/business counterpart to the technical architecture.</w:t>
      </w:r>
    </w:p>
    <w:p>
      <w:pPr>
        <w:pStyle w:val="FirstParagraph"/>
      </w:pPr>
      <w:r>
        <w:t xml:space="preserve">All terms below (Research Asset, Operational Twin, Policy, Trust, Evidence, Network, Ecosystem, Engine, Fabric, Graph) are used per the Kadarn Architectural Lexicon v1.1 and are</w:t>
      </w:r>
      <w:r>
        <w:t xml:space="preserve"> </w:t>
      </w:r>
      <w:r>
        <w:rPr>
          <w:bCs/>
          <w:b/>
        </w:rPr>
        <w:t xml:space="preserve">not redefined here</w:t>
      </w:r>
      <w:r>
        <w:t xml:space="preserve">. Any new term introduced in this set is flagged as</w:t>
      </w:r>
      <w:r>
        <w:t xml:space="preserve"> </w:t>
      </w:r>
      <w:r>
        <w:rPr>
          <w:bCs/>
          <w:b/>
        </w:rPr>
        <w:t xml:space="preserve">[NEW — pending Language Governance approval]</w:t>
      </w:r>
      <w:r>
        <w:t xml:space="preserve"> </w:t>
      </w:r>
      <w:r>
        <w:t xml:space="preserve">per Lexicon §1.5.</w:t>
      </w:r>
    </w:p>
    <w:p>
      <w:r>
        <w:pict>
          <v:rect style="width:0;height:1.5pt" o:hralign="center" o:hrstd="t" o:hr="t"/>
        </w:pict>
      </w:r>
    </w:p>
    <w:bookmarkStart w:id="20" w:name="why-this-set-exists"/>
    <w:p>
      <w:pPr>
        <w:pStyle w:val="Heading2"/>
      </w:pPr>
      <w:r>
        <w:t xml:space="preserve">0. Why This Set Exists</w:t>
      </w:r>
    </w:p>
    <w:p>
      <w:pPr>
        <w:pStyle w:val="FirstParagraph"/>
      </w:pPr>
      <w:r>
        <w:t xml:space="preserve">The test-count discrepancy (180 → 181 → 186/205) is a symptom, not the core issue. The core issue is that the project has no formal gate between</w:t>
      </w:r>
      <w:r>
        <w:t xml:space="preserve"> </w:t>
      </w:r>
      <w:r>
        <w:t xml:space="preserve">“</w:t>
      </w:r>
      <w:r>
        <w:t xml:space="preserve">feature-complete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labeled beta.</w:t>
      </w:r>
      <w:r>
        <w:t xml:space="preserve">”</w:t>
      </w:r>
      <w:r>
        <w:t xml:space="preserve"> </w:t>
      </w:r>
      <w:r>
        <w:t xml:space="preserve">This document set creates that gate, and adds the document that no engineering sprint produces by default: the</w:t>
      </w:r>
      <w:r>
        <w:t xml:space="preserve"> </w:t>
      </w:r>
      <w:r>
        <w:rPr>
          <w:bCs/>
          <w:b/>
        </w:rPr>
        <w:t xml:space="preserve">business and regulatory readiness narrative</w:t>
      </w:r>
      <w:r>
        <w:t xml:space="preserve">.</w:t>
      </w:r>
    </w:p>
    <w:p>
      <w:pPr>
        <w:pStyle w:val="BodyText"/>
      </w:pPr>
      <w:r>
        <w:t xml:space="preserve">It also registers a scope observation that should be made explicit in the Manifesto’s history, not just in this analysis: Kadarn shifted from</w:t>
      </w:r>
      <w:r>
        <w:t xml:space="preserve"> </w:t>
      </w:r>
      <w:r>
        <w:rPr>
          <w:iCs/>
          <w:i/>
        </w:rPr>
        <w:t xml:space="preserve">a platform to find biospecimens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an execution infrastructure for biospecimen programs</w:t>
      </w:r>
      <w:r>
        <w:t xml:space="preserve">. That shift is architecturally already reflected (Program Engine, Exchange, Processing, Logistics, Regulatory, Analytics, AI as first-class layers), but it has not yet been recorded as a formal scope decision. See §1.4.</w:t>
      </w:r>
    </w:p>
    <w:p>
      <w:r>
        <w:pict>
          <v:rect style="width:0;height:1.5pt" o:hralign="center" o:hrstd="t" o:hr="t"/>
        </w:pict>
      </w:r>
    </w:p>
    <w:bookmarkEnd w:id="20"/>
    <w:bookmarkStart w:id="25" w:name="kadarn-release-readiness-framework-v1.0"/>
    <w:p>
      <w:pPr>
        <w:pStyle w:val="Heading2"/>
      </w:pPr>
      <w:r>
        <w:t xml:space="preserve">1. Kadarn Release Readiness Framework (v1.0)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Defines the gate between feature completion and any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label. No version may be declared</w:t>
      </w:r>
      <w:r>
        <w:t xml:space="preserve"> </w:t>
      </w:r>
      <w:r>
        <w:rPr>
          <w:rStyle w:val="VerbatimChar"/>
        </w:rPr>
        <w:t xml:space="preserve">vX.0.0-beta</w:t>
      </w:r>
      <w:r>
        <w:t xml:space="preserve"> </w:t>
      </w:r>
      <w:r>
        <w:t xml:space="preserve">without passing through an RC stage with a documented exit checklist.</w:t>
      </w:r>
    </w:p>
    <w:bookmarkEnd w:id="21"/>
    <w:bookmarkStart w:id="22" w:name="X30a8f3bfada1c17aaf48539b741b4e6c6f9894a"/>
    <w:p>
      <w:pPr>
        <w:pStyle w:val="Heading3"/>
      </w:pPr>
      <w:r>
        <w:t xml:space="preserve">1.2 Versioning Rule</w:t>
      </w:r>
      <w:r>
        <w:t xml:space="preserve"> </w:t>
      </w:r>
      <w:r>
        <w:rPr>
          <w:bCs/>
          <w:b/>
        </w:rPr>
        <w:t xml:space="preserve">[NEW — pending Language Governance approval]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v0.x.0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 in progress, no readiness claim.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v0.x.0-release-candidate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Feature-complete for the target scope; undergoing hardening, security review, regulatory gap assessment, and operational readiness work. No new features added during this stage.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v1.0.0-beta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 checklist closed. External or limited-production use permitted under explicit beta terms.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production commitment.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Rule:</w:t>
      </w:r>
      <w:r>
        <w:t xml:space="preserve"> </w:t>
      </w:r>
      <w:r>
        <w:t xml:space="preserve">a version may not skip the Release Candidate stage. A test-count discrepancy (e.g.,</w:t>
      </w:r>
      <w:r>
        <w:t xml:space="preserve"> </w:t>
      </w:r>
      <w:r>
        <w:t xml:space="preserve">“</w:t>
      </w:r>
      <w:r>
        <w:t xml:space="preserve">186/205</w:t>
      </w:r>
      <w:r>
        <w:t xml:space="preserve">”</w:t>
      </w:r>
      <w:r>
        <w:t xml:space="preserve">) blocks RC exit until resolved and explained — not just patched.</w:t>
      </w:r>
    </w:p>
    <w:bookmarkEnd w:id="22"/>
    <w:bookmarkStart w:id="23" w:name="X93aff370d627e7c8ad3159d452873dc5e86e95e"/>
    <w:p>
      <w:pPr>
        <w:pStyle w:val="Heading3"/>
      </w:pPr>
      <w:r>
        <w:t xml:space="preserve">1.3 RC Exit Checklist (must be 100% closed, not</w:t>
      </w:r>
      <w:r>
        <w:t xml:space="preserve"> </w:t>
      </w:r>
      <w:r>
        <w:t xml:space="preserve">“</w:t>
      </w:r>
      <w:r>
        <w:t xml:space="preserve">mostly closed</w:t>
      </w:r>
      <w:r>
        <w:t xml:space="preserve">”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Indexes reviewed,</w:t>
            </w:r>
            <w:r>
              <w:t xml:space="preserve"> </w:t>
            </w:r>
            <w:r>
              <w:rPr>
                <w:rStyle w:val="VerbatimChar"/>
              </w:rPr>
              <w:t xml:space="preserve">EXPLAIN ANALYZE</w:t>
            </w:r>
            <w:r>
              <w:t xml:space="preserve"> </w:t>
            </w:r>
            <w:r>
              <w:t xml:space="preserve">run on top slow queries, caching strategy documented, background jobs have retry/backoff policies, no known N+1 patterns in critical paths.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ASVS checklist completed at the agreed level (L1/L2/L3 — must be stated explicitly), API Security Top 10 reviewed, secrets management audited, security headers and CSP verified, CSRF posture documented (even if</w:t>
            </w:r>
            <w:r>
              <w:t xml:space="preserve"> </w:t>
            </w:r>
            <w:r>
              <w:t xml:space="preserve">“</w:t>
            </w:r>
            <w:r>
              <w:t xml:space="preserve">not applicable, stateless API</w:t>
            </w:r>
            <w:r>
              <w:t xml:space="preserve">”</w:t>
            </w:r>
            <w:r>
              <w:t xml:space="preserve"> </w:t>
            </w:r>
            <w:r>
              <w:t xml:space="preserve">— must be stated, not assumed), rate limiting and abuse prevention verified under 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assessments completed (not certifications) for: HIPAA, 21 CFR Part 11, GDPR. SOC 2 and ISO 27001 readiness matrices drafted.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Runbooks exist for top N operational scenarios, monitoring and alerting are live (not</w:t>
            </w:r>
            <w:r>
              <w:t xml:space="preserve"> </w:t>
            </w:r>
            <w:r>
              <w:t xml:space="preserve">“</w:t>
            </w:r>
            <w:r>
              <w:t xml:space="preserve">planned</w:t>
            </w:r>
            <w:r>
              <w:t xml:space="preserve">”</w:t>
            </w:r>
            <w:r>
              <w:t xml:space="preserve">), an Incident Response Plan exists and has been read by the on-call rotation, backup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restore have both been tested (restore-only-on-paper does not count).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Blueprint, ADRs, OpenAPI spec, Architecture docs, Data Model, and API Contracts are version-tagged and frozen for the RC. Any change during RC requires a logged exception.</w:t>
            </w:r>
          </w:p>
        </w:tc>
      </w:tr>
    </w:tbl>
    <w:bookmarkEnd w:id="23"/>
    <w:bookmarkStart w:id="24" w:name="Xb35542e643ff62f0ba8f4494989729039a107f7"/>
    <w:p>
      <w:pPr>
        <w:pStyle w:val="Heading3"/>
      </w:pPr>
      <w:r>
        <w:t xml:space="preserve">1.4 Scope Decision Record</w:t>
      </w:r>
      <w:r>
        <w:t xml:space="preserve"> </w:t>
      </w:r>
      <w:r>
        <w:rPr>
          <w:bCs/>
          <w:b/>
        </w:rPr>
        <w:t xml:space="preserve">[NEW — pending approval, recorded here as a proposed ADR]</w:t>
      </w:r>
    </w:p>
    <w:p>
      <w:pPr>
        <w:pStyle w:val="BlockText"/>
      </w:pPr>
      <w:r>
        <w:rPr>
          <w:bCs/>
          <w:b/>
        </w:rPr>
        <w:t xml:space="preserve">Proposed ADR-XXX: Kadarn’s scope is execution infrastructure for biospecimen programs, not a discovery marketplace.</w:t>
      </w:r>
    </w:p>
    <w:p>
      <w:pPr>
        <w:pStyle w:val="BlockText"/>
      </w:pPr>
      <w:r>
        <w:rPr>
          <w:iCs/>
          <w:i/>
        </w:rPr>
        <w:t xml:space="preserve">Context:</w:t>
      </w:r>
      <w:r>
        <w:t xml:space="preserve"> </w:t>
      </w:r>
      <w:r>
        <w:t xml:space="preserve">Kadarn began as a platform to find samples (Discovery-centric). The architecture has since grown to include Program Engine, Exchange, Processing, Logistics, Regulatory, Analytics, and AI as first-class layers — i.e., the full lifecycle of a biospecimen program, not just the matching step.</w:t>
      </w:r>
    </w:p>
    <w:p>
      <w:pPr>
        <w:pStyle w:val="BlockText"/>
      </w:pPr>
      <w:r>
        <w:rPr>
          <w:iCs/>
          <w:i/>
        </w:rPr>
        <w:t xml:space="preserve">Decision (proposed):</w:t>
      </w:r>
      <w:r>
        <w:t xml:space="preserve"> </w:t>
      </w:r>
      <w:r>
        <w:t xml:space="preserve">Formally record this as a scope expansion, not scope creep, since it is consistent with KRM-RAO’s Operational Twin and Workflow model. This should be ratified as an ADR before v1.0.0-beta, since downstream documents (sales positioning, regulatory scope, the Compliance Pack below) all depend on which scope statement is canonical.</w:t>
      </w:r>
    </w:p>
    <w:p>
      <w:pPr>
        <w:pStyle w:val="BlockText"/>
      </w:pPr>
      <w:r>
        <w:rPr>
          <w:bCs/>
          <w:b/>
        </w:rPr>
        <w:t xml:space="preserve">Status update:</w:t>
      </w:r>
      <w:r>
        <w:t xml:space="preserve"> </w:t>
      </w:r>
      <w:r>
        <w:t xml:space="preserve">this scope statement has now been reflected in the Manifesto (§2.3 of the Kadarn Lexicon/Manifesto/KRM-RAO/KRM-BNO document, v1.1). Treat the ADR number itself as still pending formal assignment/ratification in your ADR log, but the scope language is no longer</w:t>
      </w:r>
      <w:r>
        <w:t xml:space="preserve"> </w:t>
      </w:r>
      <w:r>
        <w:t xml:space="preserve">“</w:t>
      </w:r>
      <w:r>
        <w:t xml:space="preserve">proposed only</w:t>
      </w:r>
      <w:r>
        <w:t xml:space="preserve">”</w:t>
      </w:r>
      <w:r>
        <w:t xml:space="preserve"> </w:t>
      </w:r>
      <w:r>
        <w:t xml:space="preserve">— it is the current canonical framing.</w:t>
      </w:r>
    </w:p>
    <w:p>
      <w:pPr>
        <w:pStyle w:val="BlockText"/>
      </w:pPr>
      <w:r>
        <w:rPr>
          <w:iCs/>
          <w:i/>
        </w:rPr>
        <w:t xml:space="preserve">Consequence:</w:t>
      </w:r>
      <w:r>
        <w:t xml:space="preserve"> </w:t>
      </w:r>
      <w:r>
        <w:t xml:space="preserve">The regulatory and business-readiness questions in §2 below scale accordingly —</w:t>
      </w:r>
      <w:r>
        <w:t xml:space="preserve"> </w:t>
      </w:r>
      <w:r>
        <w:t xml:space="preserve">“</w:t>
      </w:r>
      <w:r>
        <w:t xml:space="preserve">infrastructure that executes regulated programs</w:t>
      </w:r>
      <w:r>
        <w:t xml:space="preserve">”</w:t>
      </w:r>
      <w:r>
        <w:t xml:space="preserve"> </w:t>
      </w:r>
      <w:r>
        <w:t xml:space="preserve">carries materially more obligations than</w:t>
      </w:r>
      <w:r>
        <w:t xml:space="preserve"> </w:t>
      </w:r>
      <w:r>
        <w:t xml:space="preserve">“</w:t>
      </w:r>
      <w:r>
        <w:t xml:space="preserve">a directory that helps people find samples.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business-regulatory-readiness-track"/>
    <w:p>
      <w:pPr>
        <w:pStyle w:val="Heading2"/>
      </w:pPr>
      <w:r>
        <w:t xml:space="preserve">2. Business &amp; Regulatory Readiness Track</w:t>
      </w:r>
    </w:p>
    <w:p>
      <w:pPr>
        <w:pStyle w:val="FirstParagraph"/>
      </w:pPr>
      <w:r>
        <w:t xml:space="preserve">This is a parallel workstream to engineering, not a sequential one. It does not block RC technically, but it blocks</w:t>
      </w:r>
      <w:r>
        <w:t xml:space="preserve"> </w:t>
      </w:r>
      <w:r>
        <w:rPr>
          <w:bCs/>
          <w:b/>
        </w:rPr>
        <w:t xml:space="preserve">go-to-market</w:t>
      </w:r>
      <w:r>
        <w:t xml:space="preserve">, and it should start now rather than after RC closes, since legal and regulatory work has long lead times.</w:t>
      </w:r>
    </w:p>
    <w:bookmarkStart w:id="26" w:name="Xdef0001857482a01b03a9d2c742f8bfdad4bd6b"/>
    <w:p>
      <w:pPr>
        <w:pStyle w:val="Heading3"/>
      </w:pPr>
      <w:r>
        <w:t xml:space="preserve">2.1 Core Questions to Answer (tracked as a register, not a one-time memo)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licenses does Kadarn need, and in which jurisdictions?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does Kadarn act as a Business Associate? When is a BAA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does HIPAA apply directly vs. through a covered entity’s obligations?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coverage is needed (E&amp;O, cyber, general liability)?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states require specific registrations for the activities Kadarn performs?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 when a European client or data subject uses the platform? Is Kadarn a controller, processor, or both depending on the flow?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Kadarn need a Data Protection Officer, and under which trigger (GDPR Art. 37, or voluntary)?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the privacy program structured — policy, intake, DSR handling, breach notification?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contracts must participating organizations sign, and in what order (e.g., Network Participation Agreement before MTA/DUA)?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This register should live as a tracked artifact (issue tracker or governance repo), not a static document, since answers depend on jurisdiction-by-jurisdiction legal review.</w:t>
      </w:r>
    </w:p>
    <w:bookmarkEnd w:id="26"/>
    <w:bookmarkStart w:id="27" w:name="relationship-to-the-lexicon"/>
    <w:p>
      <w:pPr>
        <w:pStyle w:val="Heading3"/>
      </w:pPr>
      <w:r>
        <w:t xml:space="preserve">2.2 Relationship to the Lexicon</w:t>
      </w:r>
    </w:p>
    <w:p>
      <w:pPr>
        <w:pStyle w:val="FirstParagraph"/>
      </w:pPr>
      <w:r>
        <w:t xml:space="preserve">Note that</w:t>
      </w:r>
      <w:r>
        <w:t xml:space="preserve"> </w:t>
      </w:r>
      <w:r>
        <w:t xml:space="preserve">“</w:t>
      </w:r>
      <w:r>
        <w:t xml:space="preserve">Trust</w:t>
      </w:r>
      <w:r>
        <w:t xml:space="preserve">”</w:t>
      </w:r>
      <w:r>
        <w:t xml:space="preserve"> </w:t>
      </w:r>
      <w:r>
        <w:t xml:space="preserve">in the Lexicon is defined as a computed operational measure —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substitute for the legal/contractual trust established by a Network Participation Agreement or BAA. The Governance Pack below should make this distinction explicit so legal and engineering don’t conflate</w:t>
      </w:r>
      <w:r>
        <w:t xml:space="preserve"> </w:t>
      </w:r>
      <w:r>
        <w:t xml:space="preserve">“</w:t>
      </w:r>
      <w:r>
        <w:t xml:space="preserve">Trust Score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contractually established trust relationship.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50" w:name="kadarn-governance-compliance-pack"/>
    <w:p>
      <w:pPr>
        <w:pStyle w:val="Heading2"/>
      </w:pPr>
      <w:r>
        <w:t xml:space="preserve">3. Kadarn Governance &amp; Compliance Pack</w:t>
      </w:r>
    </w:p>
    <w:p>
      <w:pPr>
        <w:pStyle w:val="FirstParagraph"/>
      </w:pPr>
      <w:r>
        <w:t xml:space="preserve">This is the regulatory and operational counterpart to the technical architecture (Lexicon, Manifesto, KRM-RAO, KRM-BNO). It does not aim for certification at this stage — it aims to</w:t>
      </w:r>
      <w:r>
        <w:t xml:space="preserve"> </w:t>
      </w:r>
      <w:r>
        <w:rPr>
          <w:bCs/>
          <w:b/>
        </w:rPr>
        <w:t xml:space="preserve">measure distance to</w:t>
      </w:r>
      <w:r>
        <w:t xml:space="preserve"> </w:t>
      </w:r>
      <w:r>
        <w:t xml:space="preserve">certification/compliance and to give the business defensible artifacts from day one.</w:t>
      </w:r>
    </w:p>
    <w:p>
      <w:pPr>
        <w:pStyle w:val="BodyText"/>
      </w:pPr>
      <w:r>
        <w:t xml:space="preserve">Each item below includes: purpose, minimum contents, and dependency on other documents. None of these replace qualified legal counsel; they are the structural skeleton counsel and compliance leadership would fill in.</w:t>
      </w:r>
    </w:p>
    <w:bookmarkStart w:id="29" w:name="company-compliance-manual"/>
    <w:p>
      <w:pPr>
        <w:pStyle w:val="Heading3"/>
      </w:pPr>
      <w:r>
        <w:t xml:space="preserve">3.1 Company Compliance Manual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single source of truth for</w:t>
      </w:r>
      <w:r>
        <w:t xml:space="preserve"> </w:t>
      </w:r>
      <w:r>
        <w:t xml:space="preserve">“</w:t>
      </w:r>
      <w:r>
        <w:t xml:space="preserve">how Kadarn complies,</w:t>
      </w:r>
      <w:r>
        <w:t xml:space="preserve">”</w:t>
      </w:r>
      <w:r>
        <w:t xml:space="preserve"> </w:t>
      </w:r>
      <w:r>
        <w:t xml:space="preserve">referenced by every other document below.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scope and applicability, regulatory inventory (HIPAA, GDPR, 21 CFR Part 11, state laws), roles and responsibilities (who owns compliance, who owns security, who owns privacy), policy review cadence, exception-handling process.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Risk Register (§3.16), Regulatory Mappings (§3.17–3.19).</w:t>
      </w:r>
    </w:p>
    <w:bookmarkEnd w:id="29"/>
    <w:bookmarkStart w:id="30" w:name="information-security-program"/>
    <w:p>
      <w:pPr>
        <w:pStyle w:val="Heading3"/>
      </w:pPr>
      <w:r>
        <w:t xml:space="preserve">3.2 Information Security Program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the security counterpart to KRM-RAO §3.12’s Security Model — turns</w:t>
      </w:r>
      <w:r>
        <w:t xml:space="preserve"> </w:t>
      </w:r>
      <w:r>
        <w:t xml:space="preserve">“</w:t>
      </w:r>
      <w:r>
        <w:t xml:space="preserve">Zero Trust, RBAC, evidence retention, auditability, least privilege</w:t>
      </w:r>
      <w:r>
        <w:t xml:space="preserve">”</w:t>
      </w:r>
      <w:r>
        <w:t xml:space="preserve"> </w:t>
      </w:r>
      <w:r>
        <w:t xml:space="preserve">into operational policy.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access control policy, encryption standards (at rest/in transit), secrets management, vulnerability management and patch cadence, logging and monitoring standards, third-party/vendor security requirements, security awareness training cadence.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RC Security Review (§1.3 item 2), Incident Response Plan (§3.12).</w:t>
      </w:r>
    </w:p>
    <w:bookmarkEnd w:id="30"/>
    <w:bookmarkStart w:id="31" w:name="privacy-program"/>
    <w:p>
      <w:pPr>
        <w:pStyle w:val="Heading3"/>
      </w:pPr>
      <w:r>
        <w:t xml:space="preserve">3.3 Privacy Program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operationalizes the GDPR/HIPAA privacy obligations identified in §2.1.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data inventory and data flow mapping (what personal/health data Kadarn touches, where it goes), lawful basis per flow, data subject rights handling (access, deletion, portability), breach notification procedure and timelines, cross-border transfer mechanism (SCCs or equivalent) if applicable.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GDPR Mapping (§3.18), DPA template (§3.7).</w:t>
      </w:r>
    </w:p>
    <w:bookmarkEnd w:id="31"/>
    <w:bookmarkStart w:id="32" w:name="vendor-management-program"/>
    <w:p>
      <w:pPr>
        <w:pStyle w:val="Heading3"/>
      </w:pPr>
      <w:r>
        <w:t xml:space="preserve">3.4 Vendor Management Program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governs the Integration Fabric’s external dependencies from a compliance angle, not just a technical one.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vendor risk tiering, due diligence checklist before onboarding a vendor, contractual requirements per tier (security addenda, BAA where applicable), periodic reassessment cadence.</w:t>
      </w:r>
    </w:p>
    <w:bookmarkEnd w:id="32"/>
    <w:bookmarkStart w:id="33" w:name="business-associate-agreement-template"/>
    <w:p>
      <w:pPr>
        <w:pStyle w:val="Heading3"/>
      </w:pPr>
      <w:r>
        <w:t xml:space="preserve">3.5 Business Associate Agreement (template)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the HIPAA-required agreement for any Covered Entity / Business Associate relationship Kadarn enters as data processor of PHI.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permitted uses and disclosures, safeguard obligations, breach notification timelines (HIPAA requires</w:t>
      </w:r>
      <w:r>
        <w:t xml:space="preserve"> </w:t>
      </w:r>
      <w:r>
        <w:t xml:space="preserve">“</w:t>
      </w:r>
      <w:r>
        <w:t xml:space="preserve">without unreasonable delay,</w:t>
      </w:r>
      <w:r>
        <w:t xml:space="preserve">”</w:t>
      </w:r>
      <w:r>
        <w:t xml:space="preserve"> </w:t>
      </w:r>
      <w:r>
        <w:t xml:space="preserve">typically within 60 days), subcontractor flow-down obligations, termination and data-return/destruction terms.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§2.1 HIPAA questions being answered first — a BAA template drafted before knowing when Kadarn is a Business Associate risks being generic and unusable.</w:t>
      </w:r>
    </w:p>
    <w:bookmarkEnd w:id="33"/>
    <w:bookmarkStart w:id="34" w:name="data-processing-agreement-template"/>
    <w:p>
      <w:pPr>
        <w:pStyle w:val="Heading3"/>
      </w:pPr>
      <w:r>
        <w:t xml:space="preserve">3.6 Data Processing Agreement (template)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the GDPR-equivalent of the BAA, for controller–processor relationships.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processing scope and purpose, sub-processor authorization mechanism, data subject rights assistance obligations, breach notification timelines (GDPR: without undue delay, generally within 72 hours to the supervisory authority), international transfer mechanism, audit rights.</w:t>
      </w:r>
    </w:p>
    <w:bookmarkEnd w:id="34"/>
    <w:bookmarkStart w:id="35" w:name="network-participation-agreement-template"/>
    <w:p>
      <w:pPr>
        <w:pStyle w:val="Heading3"/>
      </w:pPr>
      <w:r>
        <w:t xml:space="preserve">3.7 Network Participation Agreement (template)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the master agreement an organization signs to join the Kadarn Network (per Lexicon’s definition of Network) — distinct from the data-specific BAA/DPA.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roles within the Network, Trust Graph implications of participation (what data feeds Trust scoring and who can see it), obligations as a counterpart in Transaction Twins, dispute resolution, termination and offboarding (what happens to in-flight Transaction Twins and Specimen Twins on exit).</w:t>
      </w:r>
    </w:p>
    <w:bookmarkEnd w:id="35"/>
    <w:bookmarkStart w:id="36" w:name="material-transfer-agreement-template"/>
    <w:p>
      <w:pPr>
        <w:pStyle w:val="Heading3"/>
      </w:pPr>
      <w:r>
        <w:t xml:space="preserve">3.8 Material Transfer Agreement (template)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governs the legal transfer of physical Research Assets (biospecimens) between organizations — standard in biospecimen networks, but must be mapped explicitly to Kadarn’s Specimen Twin and Shipment Twin lifecycle so the legal document and the system state stay synchronized.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permitted use restrictions, ownership/title clauses, derivative-results handling, publication rights, biosafety/return-or-destroy terms.</w:t>
      </w:r>
    </w:p>
    <w:bookmarkEnd w:id="36"/>
    <w:bookmarkStart w:id="37" w:name="data-use-agreement-template"/>
    <w:p>
      <w:pPr>
        <w:pStyle w:val="Heading3"/>
      </w:pPr>
      <w:r>
        <w:t xml:space="preserve">3.9 Data Use Agreement (template)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governs use of datasets/derived data distinct from physical specimens — maps to Dataset Twin.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permitted use scope, re-identification prohibition (if de-identified data), data security requirements for the recipient, audit/reporting obligations back to the provider.</w:t>
      </w:r>
    </w:p>
    <w:bookmarkEnd w:id="37"/>
    <w:bookmarkStart w:id="38" w:name="quality-management-system-qms"/>
    <w:p>
      <w:pPr>
        <w:pStyle w:val="Heading3"/>
      </w:pPr>
      <w:r>
        <w:t xml:space="preserve">3.10 Quality Management System (QMS)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required groundwork for any 21 CFR Part 11 relevance and generally expected by regulated biospecimen partners.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document control procedure, change control procedure, CAPA (Corrective and Preventive Action) process, audit program (internal audits cadence), training records management.</w:t>
      </w:r>
    </w:p>
    <w:bookmarkEnd w:id="38"/>
    <w:bookmarkStart w:id="39" w:name="incident-response-plan"/>
    <w:p>
      <w:pPr>
        <w:pStyle w:val="Heading3"/>
      </w:pPr>
      <w:r>
        <w:t xml:space="preserve">3.11 Incident Response Plan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operational counterpart to §1.3 item 4; must exist</w:t>
      </w:r>
      <w:r>
        <w:t xml:space="preserve"> </w:t>
      </w:r>
      <w:r>
        <w:rPr>
          <w:iCs/>
          <w:i/>
        </w:rPr>
        <w:t xml:space="preserve">and be exercised</w:t>
      </w:r>
      <w:r>
        <w:t xml:space="preserve">, not just written.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severity classification, escalation paths and on-call ownership, breach-specific procedures cross-referenced to HIPAA/GDPR notification timelines, communication templates (customer, regulator, internal), post-incident review process.</w:t>
      </w:r>
    </w:p>
    <w:bookmarkEnd w:id="39"/>
    <w:bookmarkStart w:id="40" w:name="disaster-recovery-plan"/>
    <w:p>
      <w:pPr>
        <w:pStyle w:val="Heading3"/>
      </w:pPr>
      <w:r>
        <w:t xml:space="preserve">3.12 Disaster Recovery Plan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technical continuity counterpart, tested not theoretical.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RTO/RPO targets per system tier, backup and restore procedures (restore must be tested per §1.3 item 4), failover procedure, communication plan during an outage.</w:t>
      </w:r>
    </w:p>
    <w:bookmarkEnd w:id="40"/>
    <w:bookmarkStart w:id="41" w:name="business-continuity-plan"/>
    <w:p>
      <w:pPr>
        <w:pStyle w:val="Heading3"/>
      </w:pPr>
      <w:r>
        <w:t xml:space="preserve">3.13 Business Continuity Plan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the business-process counterpart to the Disaster Recovery Plan — what happens to operations (not just systems) during a disruption.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critical business functions inventory, minimum staffing/continuity requirements, manual fallback procedures for critical workflows (e.g., how does a Shipment Twin get updated if the platform is down mid-transit), recovery prioritization order.</w:t>
      </w:r>
    </w:p>
    <w:bookmarkEnd w:id="41"/>
    <w:bookmarkStart w:id="42" w:name="retention-schedule"/>
    <w:p>
      <w:pPr>
        <w:pStyle w:val="Heading3"/>
      </w:pPr>
      <w:r>
        <w:t xml:space="preserve">3.14 Retention Schedule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defines how long each category of Research Asset, Evidence, and Event data is retained, and why — required input for both privacy compliance and 21 CFR Part 11 record-retention expectations.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retention period per data category, legal basis for each period, secure destruction procedure, legal hold override process.</w:t>
      </w:r>
    </w:p>
    <w:bookmarkEnd w:id="42"/>
    <w:bookmarkStart w:id="43" w:name="records-management-policy"/>
    <w:p>
      <w:pPr>
        <w:pStyle w:val="Heading3"/>
      </w:pPr>
      <w:r>
        <w:t xml:space="preserve">3.15 Records Management Policy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governs how records (contracts, consent artifacts, audit logs, Evidence objects) are created, stored, and made retrievable — directly supports the Provenance and Evidence guarantees already promised in the Manifesto.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records classification, storage and indexing standards, retrieval SLAs for audits, version control expectations.</w:t>
      </w:r>
    </w:p>
    <w:bookmarkEnd w:id="43"/>
    <w:bookmarkStart w:id="44" w:name="risk-register"/>
    <w:p>
      <w:pPr>
        <w:pStyle w:val="Heading3"/>
      </w:pPr>
      <w:r>
        <w:t xml:space="preserve">3.16 Risk Register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the living document that ties together security, regulatory, and operational risk — feeds the Company Compliance Manual.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risk description, likelihood/impact scoring, mitigation owner, mitigation status, review cadence. Should explicitly include the items currently flagged as</w:t>
      </w:r>
      <w:r>
        <w:t xml:space="preserve"> </w:t>
      </w:r>
      <w:r>
        <w:t xml:space="preserve">“</w:t>
      </w:r>
      <w:r>
        <w:t xml:space="preserve">Open</w:t>
      </w:r>
      <w:r>
        <w:t xml:space="preserve">”</w:t>
      </w:r>
      <w:r>
        <w:t xml:space="preserve"> </w:t>
      </w:r>
      <w:r>
        <w:t xml:space="preserve">in §2.1.</w:t>
      </w:r>
    </w:p>
    <w:bookmarkEnd w:id="44"/>
    <w:bookmarkStart w:id="45" w:name="hipaa-security-rule-mapping"/>
    <w:p>
      <w:pPr>
        <w:pStyle w:val="Heading3"/>
      </w:pPr>
      <w:r>
        <w:t xml:space="preserve">3.17 HIPAA Security Rule Mapping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maps each HIPAA Security Rule safeguard (administrative, physical, technical) to a specific Kadarn control or document.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control-by-control mapping table, gap notes, remediation owner and target date for each gap.</w:t>
      </w:r>
    </w:p>
    <w:bookmarkEnd w:id="45"/>
    <w:bookmarkStart w:id="46" w:name="gdpr-mapping"/>
    <w:p>
      <w:pPr>
        <w:pStyle w:val="Heading3"/>
      </w:pPr>
      <w:r>
        <w:t xml:space="preserve">3.18 GDPR Mapping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maps GDPR articles relevant to Kadarn’s processing activities to specific controls/documents.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lawful basis mapping per data flow, Article 30 records of processing, DPIA trigger assessment (is a Data Protection Impact Assessment required given the scope decision in §1.4?).</w:t>
      </w:r>
    </w:p>
    <w:bookmarkEnd w:id="46"/>
    <w:bookmarkStart w:id="47" w:name="cfr-part-11-gap-assessment"/>
    <w:p>
      <w:pPr>
        <w:pStyle w:val="Heading3"/>
      </w:pPr>
      <w:r>
        <w:t xml:space="preserve">3.19 21 CFR Part 11 Gap Assessment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assesses how far Kadarn’s electronic records and signatures are from Part 11 expectations — directly relevant if Transaction Twins or consent artifacts are treated as regulated electronic records by any partner.</w:t>
      </w:r>
      <w:r>
        <w:t xml:space="preserve"> </w:t>
      </w:r>
      <w:r>
        <w:rPr>
          <w:bCs/>
          <w:b/>
        </w:rPr>
        <w:t xml:space="preserve">Minimum contents:</w:t>
      </w:r>
      <w:r>
        <w:t xml:space="preserve"> </w:t>
      </w:r>
      <w:r>
        <w:t xml:space="preserve">electronic signature controls assessment, audit trail completeness assessment (does the Provenance Graph satisfy Part 11 audit trail expectations as-is?), system validation status.</w:t>
      </w:r>
    </w:p>
    <w:bookmarkEnd w:id="47"/>
    <w:bookmarkStart w:id="48" w:name="soc-2-readiness-matrix"/>
    <w:p>
      <w:pPr>
        <w:pStyle w:val="Heading3"/>
      </w:pPr>
      <w:r>
        <w:t xml:space="preserve">3.20 SOC 2 Readiness Matrix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maps Trust Service Criteria (security, availability, processing integrity, confidentiality, privacy — choose applicable ones) to existing controls and documents gaps.</w:t>
      </w:r>
    </w:p>
    <w:bookmarkEnd w:id="48"/>
    <w:bookmarkStart w:id="49" w:name="iso-27001-readiness-matrix"/>
    <w:p>
      <w:pPr>
        <w:pStyle w:val="Heading3"/>
      </w:pPr>
      <w:r>
        <w:t xml:space="preserve">3.21 ISO 27001 Readiness Matrix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maps Annex A controls to existing controls and documents gaps; can share most of its evidence base with §3.20 and §3.17 if structured consistently.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equencing-recommendation"/>
    <w:p>
      <w:pPr>
        <w:pStyle w:val="Heading2"/>
      </w:pPr>
      <w:r>
        <w:t xml:space="preserve">4. Sequencing Recommendation</w:t>
      </w:r>
    </w:p>
    <w:p>
      <w:pPr>
        <w:numPr>
          <w:ilvl w:val="0"/>
          <w:numId w:val="1002"/>
        </w:numPr>
        <w:pStyle w:val="Compact"/>
      </w:pPr>
      <w:r>
        <w:t xml:space="preserve">Resolve the test-count discrepancy and close the RC Exit Checklist (§1.3) — this is a hard gate.</w:t>
      </w:r>
    </w:p>
    <w:p>
      <w:pPr>
        <w:numPr>
          <w:ilvl w:val="0"/>
          <w:numId w:val="1002"/>
        </w:numPr>
        <w:pStyle w:val="Compact"/>
      </w:pPr>
      <w:r>
        <w:t xml:space="preserve">In parallel, start the Risk Register (§3.16) and the open-questions register (§2.1) immediately — they have the longest lead time and the least dependency on code being finished.</w:t>
      </w:r>
    </w:p>
    <w:p>
      <w:pPr>
        <w:numPr>
          <w:ilvl w:val="0"/>
          <w:numId w:val="1002"/>
        </w:numPr>
        <w:pStyle w:val="Compact"/>
      </w:pPr>
      <w:r>
        <w:t xml:space="preserve">Ratify the scope ADR (§1.4) before drafting the Network Participation Agreement and Material Transfer Agreement — those documents need a settled scope statement to avoid rework.</w:t>
      </w:r>
    </w:p>
    <w:p>
      <w:pPr>
        <w:numPr>
          <w:ilvl w:val="0"/>
          <w:numId w:val="1002"/>
        </w:numPr>
        <w:pStyle w:val="Compact"/>
      </w:pPr>
      <w:r>
        <w:t xml:space="preserve">Draft BAA/DPA templates only after §2.1’s HIPAA/GDPR applicability questions have at least preliminary answers — a generic template drafted too early tends to need a full rewrite once the actual data flows are mapped.</w:t>
      </w:r>
    </w:p>
    <w:p>
      <w:pPr>
        <w:numPr>
          <w:ilvl w:val="0"/>
          <w:numId w:val="1002"/>
        </w:numPr>
        <w:pStyle w:val="Compact"/>
      </w:pPr>
      <w:r>
        <w:t xml:space="preserve">Treat the full Governance &amp; Compliance Pack as v0.1 drafts initially — each should be reviewed by qualified counsel before being represented to any client or auditor as authoritative.</w:t>
      </w:r>
    </w:p>
    <w:p>
      <w:r>
        <w:pict>
          <v:rect style="width:0;height:1.5pt" o:hralign="center" o:hrstd="t" o:hr="t"/>
        </w:pict>
      </w:r>
    </w:p>
    <w:bookmarkEnd w:id="51"/>
    <w:bookmarkStart w:id="52" w:name="X8ec053ea19fad2268bad424b8f3c51aec357838"/>
    <w:p>
      <w:pPr>
        <w:pStyle w:val="Heading2"/>
      </w:pPr>
      <w:r>
        <w:t xml:space="preserve">5. Open Items Flagged for Language Governance (per Lexicon §1.5)</w:t>
      </w:r>
    </w:p>
    <w:p>
      <w:pPr>
        <w:numPr>
          <w:ilvl w:val="0"/>
          <w:numId w:val="1003"/>
        </w:numPr>
        <w:pStyle w:val="Compact"/>
      </w:pPr>
      <w:r>
        <w:t xml:space="preserve">The versioning vocabulary in §1.2 (</w:t>
      </w:r>
      <w:r>
        <w:rPr>
          <w:rStyle w:val="VerbatimChar"/>
        </w:rPr>
        <w:t xml:space="preserve">release-candidate</w:t>
      </w:r>
      <w:r>
        <w:t xml:space="preserve"> </w:t>
      </w:r>
      <w:r>
        <w:t xml:space="preserve">as a formal stage label) is new and should be approved or amended before being used in actual release tags.</w:t>
      </w:r>
    </w:p>
    <w:p>
      <w:pPr>
        <w:numPr>
          <w:ilvl w:val="0"/>
          <w:numId w:val="1003"/>
        </w:numPr>
        <w:pStyle w:val="Compact"/>
      </w:pPr>
      <w:r>
        <w:t xml:space="preserve">The proposed ADR in §1.4 changes how Kadarn’s scope is described publicly; this has downstream effects on the Manifesto’s</w:t>
      </w:r>
      <w:r>
        <w:t xml:space="preserve"> </w:t>
      </w:r>
      <w:r>
        <w:t xml:space="preserve">“</w:t>
      </w:r>
      <w:r>
        <w:t xml:space="preserve">What Kadarn Is</w:t>
      </w:r>
      <w:r>
        <w:t xml:space="preserve">”</w:t>
      </w:r>
      <w:r>
        <w:t xml:space="preserve"> </w:t>
      </w:r>
      <w:r>
        <w:t xml:space="preserve">section (§2.3 of the existing Manifesto) and should be reconciled with it, not left as a parallel narrative.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2026-06-27T01:58:18Z</dcterms:created>
  <dcterms:modified xsi:type="dcterms:W3CDTF">2026-06-27T01:58:18Z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