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Aptos" w:hAnsi="Aptos"/>
          <w:b/>
          <w:color w:val="2A8C82"/>
          <w:sz w:val="32"/>
        </w:rPr>
        <w:t>KADARN</w:t>
      </w:r>
    </w:p>
    <w:p>
      <w:pPr>
        <w:pStyle w:val="Title"/>
      </w:pPr>
      <w:r>
        <w:t>Plan Maestro de Realineación e Implementación</w:t>
      </w:r>
    </w:p>
    <w:p>
      <w:pPr>
        <w:pStyle w:val="Subtitle"/>
      </w:pPr>
      <w:r>
        <w:t>Programa ejecutable para migrar KADARN al modelo de Institutional Capability Intelligence</w:t>
      </w:r>
    </w:p>
    <w:p>
      <w:pPr>
        <w:spacing w:before="480"/>
      </w:pPr>
      <w:r>
        <w:rPr>
          <w:rFonts w:ascii="Aptos" w:hAnsi="Aptos"/>
          <w:b/>
          <w:color w:val="236A8D"/>
          <w:sz w:val="22"/>
        </w:rPr>
        <w:t>Versión 2.0</w:t>
      </w:r>
    </w:p>
    <w:p>
      <w:r>
        <w:rPr>
          <w:rFonts w:ascii="Aptos" w:hAnsi="Aptos"/>
          <w:color w:val="5B6570"/>
          <w:sz w:val="20"/>
        </w:rPr>
        <w:t>Plan de ejecución</w:t>
      </w:r>
    </w:p>
    <w:p>
      <w:pPr>
        <w:spacing w:before="1000"/>
        <w:shd w:fill="EAF2F6"/>
      </w:pPr>
      <w:r>
        <w:rPr>
          <w:rFonts w:ascii="Aptos" w:hAnsi="Aptos"/>
          <w:b/>
          <w:color w:val="2A8C82"/>
          <w:sz w:val="20"/>
        </w:rPr>
        <w:t>Decisión fundacional</w:t>
      </w:r>
    </w:p>
    <w:p>
      <w:pPr>
        <w:ind w:left="317" w:right="317"/>
      </w:pPr>
      <w:r>
        <w:rPr>
          <w:rFonts w:ascii="Aptos" w:hAnsi="Aptos"/>
          <w:b/>
          <w:color w:val="17324D"/>
          <w:sz w:val="26"/>
        </w:rPr>
        <w:t>KADARN deja de organizar documentos y respuestas aisladas. Su núcleo pasa a capturar, verificar, preservar y reutilizar conocimiento institucional para producir evaluaciones explicables sobre la capacidad real de ejecutar investigación clínica.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6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Propietario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E2933"/>
                <w:sz w:val="19"/>
              </w:rPr>
              <w:t>KADARN Architecture &amp; Engineering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6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Estado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E2933"/>
                <w:sz w:val="19"/>
              </w:rPr>
              <w:t>Rector / obligatorio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6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Base de decisión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E2933"/>
                <w:sz w:val="19"/>
              </w:rPr>
              <w:t>Consenso estratégico julio 2026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6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Revisión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E2933"/>
                <w:sz w:val="19"/>
              </w:rPr>
              <w:t>Ante cambios de dominio, no por calendario</w:t>
            </w:r>
          </w:p>
        </w:tc>
      </w:tr>
    </w:tbl>
    <w:p/>
    <w:p>
      <w:pPr>
        <w:pStyle w:val="Heading1"/>
      </w:pPr>
      <w:r>
        <w:t>Contenido</w:t>
      </w:r>
    </w:p>
    <w:p>
      <w:r>
        <w:rPr>
          <w:rFonts w:ascii="Aptos" w:hAnsi="Aptos"/>
          <w:i/>
          <w:color w:val="5B6570"/>
          <w:sz w:val="19"/>
        </w:rPr>
        <w:t>Este documento usa encabezados jerárquicos compatibles con la tabla de contenido automática de Microsoft Word.</w:t>
      </w:r>
    </w:p>
    <w:p>
      <w:pPr>
        <w:pStyle w:val="Heading1"/>
      </w:pPr>
      <w:r>
        <w:t>1. Objetivo del programa</w:t>
      </w:r>
    </w:p>
    <w:p>
      <w:r>
        <w:t>Realinear KADARN sin reiniciar el producto, preservando el núcleo ya validado y agregando las capas necesarias de fuentes, procedencia, temporalidad, capacidad, protocolo y assessment. El programa usa gates arquitectónicos: ninguna fase avanza si no demuestra trazabilidad, compatibilidad y valor sobre un caso real de Vilo.</w:t>
      </w:r>
    </w:p>
    <w:p>
      <w:pPr>
        <w:pStyle w:val="Heading1"/>
      </w:pPr>
      <w:r>
        <w:t>2. Estado que se conserva</w:t>
      </w:r>
    </w:p>
    <w:p>
      <w:pPr>
        <w:pStyle w:val="ListBullet"/>
        <w:spacing w:after="40"/>
      </w:pPr>
      <w:r>
        <w:t>ECS y entidades canónicas existentes.</w:t>
      </w:r>
    </w:p>
    <w:p>
      <w:pPr>
        <w:pStyle w:val="ListBullet"/>
        <w:spacing w:after="40"/>
      </w:pPr>
      <w:r>
        <w:t>Claim → Evidence como núcleo de confianza.</w:t>
      </w:r>
    </w:p>
    <w:p>
      <w:pPr>
        <w:pStyle w:val="ListBullet"/>
        <w:spacing w:after="40"/>
      </w:pPr>
      <w:r>
        <w:t>Review, Passport, Package y Share Grant.</w:t>
      </w:r>
    </w:p>
    <w:p>
      <w:pPr>
        <w:pStyle w:val="ListBullet"/>
        <w:spacing w:after="40"/>
      </w:pPr>
      <w:r>
        <w:t>Publication Layer y proyecciones de lectura.</w:t>
      </w:r>
    </w:p>
    <w:p>
      <w:pPr>
        <w:pStyle w:val="ListBullet"/>
        <w:spacing w:after="40"/>
      </w:pPr>
      <w:r>
        <w:t>Confidence Graph/KEMS como fundamento explicable.</w:t>
      </w:r>
    </w:p>
    <w:p>
      <w:pPr>
        <w:pStyle w:val="ListBullet"/>
        <w:spacing w:after="40"/>
      </w:pPr>
      <w:r>
        <w:t>Separación Institution / Person / Location.</w:t>
      </w:r>
    </w:p>
    <w:p>
      <w:pPr>
        <w:pStyle w:val="ListBullet"/>
        <w:spacing w:after="40"/>
      </w:pPr>
      <w:r>
        <w:t>UI y APIs ya construidas, sujetas a reconexión con datos canónicos.</w:t>
      </w:r>
    </w:p>
    <w:p>
      <w:pPr>
        <w:pStyle w:val="Heading1"/>
      </w:pPr>
      <w:r>
        <w:t>3. Workstreams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79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WS</w:t>
            </w:r>
          </w:p>
        </w:tc>
        <w:tc>
          <w:tcPr>
            <w:tcW w:type="dxa" w:w="309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583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WS0</w:t>
            </w:r>
          </w:p>
        </w:tc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Governance &amp; Freeze</w:t>
            </w:r>
          </w:p>
        </w:tc>
        <w:tc>
          <w:tcPr>
            <w:tcW w:type="dxa" w:w="58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Baseline, inventario y reglas de cambio.</w:t>
            </w:r>
          </w:p>
        </w:tc>
      </w:tr>
      <w:t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WS1</w:t>
            </w:r>
          </w:p>
        </w:tc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Canonical Knowledge Model</w:t>
            </w:r>
          </w:p>
        </w:tc>
        <w:tc>
          <w:tcPr>
            <w:tcW w:type="dxa" w:w="58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Lexicon, atributos y taxonomía epistemológica.</w:t>
            </w:r>
          </w:p>
        </w:tc>
      </w:tr>
      <w:t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WS2</w:t>
            </w:r>
          </w:p>
        </w:tc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Source &amp; Provenance</w:t>
            </w:r>
          </w:p>
        </w:tc>
        <w:tc>
          <w:tcPr>
            <w:tcW w:type="dxa" w:w="58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Fuentes, registros, adquisición y trazabilidad.</w:t>
            </w:r>
          </w:p>
        </w:tc>
      </w:tr>
      <w:t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WS3</w:t>
            </w:r>
          </w:p>
        </w:tc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Claims &amp; Capability v2</w:t>
            </w:r>
          </w:p>
        </w:tc>
        <w:tc>
          <w:tcPr>
            <w:tcW w:type="dxa" w:w="58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Versionado, temporalidad, conflictos y estados.</w:t>
            </w:r>
          </w:p>
        </w:tc>
      </w:tr>
      <w:t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WS4</w:t>
            </w:r>
          </w:p>
        </w:tc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Protocol &amp; Assessment</w:t>
            </w:r>
          </w:p>
        </w:tc>
        <w:tc>
          <w:tcPr>
            <w:tcW w:type="dxa" w:w="58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Requisitos, matching, gaps y mitigaciones.</w:t>
            </w:r>
          </w:p>
        </w:tc>
      </w:tr>
      <w:t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WS5</w:t>
            </w:r>
          </w:p>
        </w:tc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Publication &amp; Sharing</w:t>
            </w:r>
          </w:p>
        </w:tc>
        <w:tc>
          <w:tcPr>
            <w:tcW w:type="dxa" w:w="58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Snapshots, Passport y paquetes controlados.</w:t>
            </w:r>
          </w:p>
        </w:tc>
      </w:tr>
      <w:t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WS6</w:t>
            </w:r>
          </w:p>
        </w:tc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Vertical Slices &amp; Validation</w:t>
            </w:r>
          </w:p>
        </w:tc>
        <w:tc>
          <w:tcPr>
            <w:tcW w:type="dxa" w:w="58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Tres pruebas end-to-end con Vilo.</w:t>
            </w:r>
          </w:p>
        </w:tc>
      </w:tr>
      <w:t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WS7</w:t>
            </w:r>
          </w:p>
        </w:tc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Migration &amp; Hardening</w:t>
            </w:r>
          </w:p>
        </w:tc>
        <w:tc>
          <w:tcPr>
            <w:tcW w:type="dxa" w:w="58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Backfill, RLS, observabilidad y performance.</w:t>
            </w:r>
          </w:p>
        </w:tc>
      </w:tr>
    </w:tbl>
    <w:p>
      <w:pPr>
        <w:spacing w:after="40"/>
      </w:pPr>
    </w:p>
    <w:p>
      <w:pPr>
        <w:pStyle w:val="Heading1"/>
      </w:pPr>
      <w:r>
        <w:t>4. Fases y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44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453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Trabajo</w:t>
            </w:r>
          </w:p>
        </w:tc>
        <w:tc>
          <w:tcPr>
            <w:tcW w:type="dxa" w:w="273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Gate</w:t>
            </w:r>
          </w:p>
        </w:tc>
      </w:tr>
      <w:tr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Fase A — Alignment Audit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Inventario de entidades, tablas, APIs, documentos y flujos. Matriz keep/modify/archive.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Gate A: ningún concepto crítico sin propietario y destino.</w:t>
            </w:r>
          </w:p>
        </w:tc>
      </w:tr>
      <w:tr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Fase B — Canonical Catalogs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Canonical Attribute Catalog, Knowledge Taxonomy y Evidence Source Catalog.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Gate B: cada atributo del primer vertical slice tiene fuente y vigencia.</w:t>
            </w:r>
          </w:p>
        </w:tc>
      </w:tr>
      <w:tr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Fase C — Domain Corrections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Sources, provenance, claim versions, temporalidad y conflictos.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Gate C: backfill legacy sin pérdida y baseline verde.</w:t>
            </w:r>
          </w:p>
        </w:tc>
      </w:tr>
      <w:tr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Fase D — Vertical Slice 1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Continuing Review → performance knowledge → Passport.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Gate D: trazabilidad y reutilización demostradas.</w:t>
            </w:r>
          </w:p>
        </w:tc>
      </w:tr>
      <w:tr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Fase E — Vertical Slice 2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PI public identity and experience resolution.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Gate E: ambigüedad y revisión humana resueltas.</w:t>
            </w:r>
          </w:p>
        </w:tc>
      </w:tr>
      <w:tr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Fase F — Protocol Intelligence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ProtocolVersion, Requirements y matching rules.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Gate F: requisitos críticos normalizados.</w:t>
            </w:r>
          </w:p>
        </w:tc>
      </w:tr>
      <w:tr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Fase G — Vertical Slice 3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Assessment real contra Vilo.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Gate G: conclusión explicable, gaps y mitigaciones.</w:t>
            </w:r>
          </w:p>
        </w:tc>
      </w:tr>
      <w:tr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Fase H — Controlled Sharing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Snapshot, Package y ShareGrant sobre assessment.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Gate H: destinatario ve solo datos autorizados.</w:t>
            </w:r>
          </w:p>
        </w:tc>
      </w:tr>
      <w:tr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Fase I — Hardening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Observabilidad, seguridad, performance y documentación.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Gate I: readiness para piloto externo.</w:t>
            </w:r>
          </w:p>
        </w:tc>
      </w:tr>
    </w:tbl>
    <w:p>
      <w:pPr>
        <w:spacing w:after="40"/>
      </w:pPr>
    </w:p>
    <w:p>
      <w:pPr>
        <w:pStyle w:val="Heading1"/>
      </w:pPr>
      <w:r>
        <w:t>5. Backlog de epics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80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1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Epic</w:t>
            </w:r>
          </w:p>
        </w:tc>
        <w:tc>
          <w:tcPr>
            <w:tcW w:type="dxa" w:w="93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WS</w:t>
            </w:r>
          </w:p>
        </w:tc>
        <w:tc>
          <w:tcPr>
            <w:tcW w:type="dxa" w:w="367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Entregable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KAD-ARCH-001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Architecture Alignment Audit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WS0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Inventario y matriz de decisiones.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KAD-ARCH-002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Canonical Knowledge Lexicon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WS1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Definiciones y prohibiciones.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KAD-ARCH-003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Canonical Attribute Catalog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WS1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Atributos, sources, vigencia.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KAD-SRC-001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Evidence Source Registry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WS2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Sources y producers.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KAD-SRC-002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Source Record Acquisition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WS2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Preservación e idempotencia.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KAD-SRC-003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Extraction Run Framework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WS2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Parser/model governance.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KAD-PROV-001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Provenance Chain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WS2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End-to-end trace.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KAD-CLM-001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Claim Versioning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WS3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Temporal versions.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KAD-CLM-002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Conflict Management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WS3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Detection and resolution.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KAD-CAP-001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Capability States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WS3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Availability and conditions.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KAD-VS-001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Continuing Review Slice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WS6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Performance knowledge.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KAD-ID-001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PI Identity Resolution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WS6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Public source resolution.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KAD-PTL-001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Protocol Version Model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WS4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Protocol + versions.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KAD-REQ-001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Requirement Model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WS4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Criticality and evidence.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KAD-ASM-001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Assessment Engine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WS4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Matching and explanation.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KAD-VS-003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Vilo Protocol Assessment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WS6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Real decision validation.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KAD-PUB-001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Knowledge Snapshots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WS5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Reproducible publication.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KAD-SHR-001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Controlled Sharing v2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WS5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Purpose and revocation.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KAD-MIG-001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Legacy Backfill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WS7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Safe migration.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KAD-OBS-001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Audit and Observability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WS7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5"/>
              </w:rPr>
              <w:t>Operational assurance.</w:t>
            </w:r>
          </w:p>
        </w:tc>
      </w:tr>
    </w:tbl>
    <w:p>
      <w:pPr>
        <w:spacing w:after="40"/>
      </w:pPr>
    </w:p>
    <w:p>
      <w:pPr>
        <w:pStyle w:val="Heading1"/>
      </w:pPr>
      <w:r>
        <w:t>6. Secuencia de sprints recomendada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51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453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Foco</w:t>
            </w:r>
          </w:p>
        </w:tc>
        <w:tc>
          <w:tcPr>
            <w:tcW w:type="dxa" w:w="367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Salida</w:t>
            </w:r>
          </w:p>
        </w:tc>
      </w:tr>
      <w:t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Sprint 0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Freeze, baseline, inventory, ADR map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Audit + schema map + risk register</w:t>
            </w:r>
          </w:p>
        </w:tc>
      </w:tr>
      <w:t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Sprint 1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Source Registry + SourceRecord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Migrations 064–065, APIs, RLS</w:t>
            </w:r>
          </w:p>
        </w:tc>
      </w:tr>
      <w:t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Sprint 2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Acquisition/Extraction + Provenance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Migrations 066–068, review queue</w:t>
            </w:r>
          </w:p>
        </w:tc>
      </w:tr>
      <w:t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Sprint 3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ClaimVersion + evidence links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Migrations 069–070, backfill</w:t>
            </w:r>
          </w:p>
        </w:tc>
      </w:tr>
      <w:t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Sprint 4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Conflicts + CapabilityState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Migrations 071–073, explanations</w:t>
            </w:r>
          </w:p>
        </w:tc>
      </w:tr>
      <w:t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Sprint 5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Continuing Review vertical slice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End-to-end production-like flow</w:t>
            </w:r>
          </w:p>
        </w:tc>
      </w:tr>
      <w:t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Sprint 6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PI identity resolution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Public-source candidates + review</w:t>
            </w:r>
          </w:p>
        </w:tc>
      </w:tr>
      <w:t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Sprint 7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ProtocolVersion + Requirements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Migrations 074–075, protocol workspace</w:t>
            </w:r>
          </w:p>
        </w:tc>
      </w:tr>
      <w:t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Sprint 8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Assessment Engine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Migrations 076–077, golden cases</w:t>
            </w:r>
          </w:p>
        </w:tc>
      </w:tr>
      <w:t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Sprint 9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Vilo real protocol assessment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Assessment report + gaps</w:t>
            </w:r>
          </w:p>
        </w:tc>
      </w:tr>
      <w:t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Sprint 10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KnowledgeSnapshot + publication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Migrations 078–079, Passport v2</w:t>
            </w:r>
          </w:p>
        </w:tc>
      </w:tr>
      <w:t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Sprint 11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Sharing + governance hardening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Migration 080, external pilot gate</w:t>
            </w:r>
          </w:p>
        </w:tc>
      </w:tr>
    </w:tbl>
    <w:p>
      <w:pPr>
        <w:spacing w:after="40"/>
      </w:pPr>
    </w:p>
    <w:p>
      <w:pPr>
        <w:pStyle w:val="Heading1"/>
      </w:pPr>
      <w:r>
        <w:t>7. Sprint contract obligatorio</w:t>
      </w:r>
    </w:p>
    <w:p>
      <w:pPr>
        <w:pStyle w:val="CodeBlock"/>
        <w:shd w:fill="F3F6F8"/>
      </w:pPr>
      <w:r>
        <w:t>Context</w:t>
      </w:r>
    </w:p>
    <w:p>
      <w:pPr>
        <w:pStyle w:val="CodeBlock"/>
        <w:shd w:fill="F3F6F8"/>
      </w:pPr>
      <w:r>
        <w:t>Problem</w:t>
      </w:r>
    </w:p>
    <w:p>
      <w:pPr>
        <w:pStyle w:val="CodeBlock"/>
        <w:shd w:fill="F3F6F8"/>
      </w:pPr>
      <w:r>
        <w:t>Objective</w:t>
      </w:r>
    </w:p>
    <w:p>
      <w:pPr>
        <w:pStyle w:val="CodeBlock"/>
        <w:shd w:fill="F3F6F8"/>
      </w:pPr>
      <w:r>
        <w:t>Domain invariants</w:t>
      </w:r>
    </w:p>
    <w:p>
      <w:pPr>
        <w:pStyle w:val="CodeBlock"/>
        <w:shd w:fill="F3F6F8"/>
      </w:pPr>
      <w:r>
        <w:t>In scope / Out of scope</w:t>
      </w:r>
    </w:p>
    <w:p>
      <w:pPr>
        <w:pStyle w:val="CodeBlock"/>
        <w:shd w:fill="F3F6F8"/>
      </w:pPr>
      <w:r>
        <w:t>Schema and API impact</w:t>
      </w:r>
    </w:p>
    <w:p>
      <w:pPr>
        <w:pStyle w:val="CodeBlock"/>
        <w:shd w:fill="F3F6F8"/>
      </w:pPr>
      <w:r>
        <w:t>Migration and rollback strategy</w:t>
      </w:r>
    </w:p>
    <w:p>
      <w:pPr>
        <w:pStyle w:val="CodeBlock"/>
        <w:shd w:fill="F3F6F8"/>
      </w:pPr>
      <w:r>
        <w:t>Security / RLS impact</w:t>
      </w:r>
    </w:p>
    <w:p>
      <w:pPr>
        <w:pStyle w:val="CodeBlock"/>
        <w:shd w:fill="F3F6F8"/>
      </w:pPr>
      <w:r>
        <w:t>Events emitted</w:t>
      </w:r>
    </w:p>
    <w:p>
      <w:pPr>
        <w:pStyle w:val="CodeBlock"/>
        <w:shd w:fill="F3F6F8"/>
      </w:pPr>
      <w:r>
        <w:t>Tests and golden cases</w:t>
      </w:r>
    </w:p>
    <w:p>
      <w:pPr>
        <w:pStyle w:val="CodeBlock"/>
        <w:shd w:fill="F3F6F8"/>
      </w:pPr>
      <w:r>
        <w:t>Validation commands</w:t>
      </w:r>
    </w:p>
    <w:p>
      <w:pPr>
        <w:pStyle w:val="CodeBlock"/>
        <w:shd w:fill="F3F6F8"/>
      </w:pPr>
      <w:r>
        <w:t>Deliverables</w:t>
      </w:r>
    </w:p>
    <w:p>
      <w:pPr>
        <w:pStyle w:val="CodeBlock"/>
        <w:shd w:fill="F3F6F8"/>
      </w:pPr>
      <w:r>
        <w:t>Deferred risks</w:t>
      </w:r>
    </w:p>
    <w:p>
      <w:pPr>
        <w:pStyle w:val="CodeBlock"/>
        <w:shd w:fill="F3F6F8"/>
      </w:pPr>
      <w:r>
        <w:t>Stop condition</w:t>
      </w:r>
    </w:p>
    <w:p>
      <w:pPr>
        <w:pStyle w:val="Heading1"/>
      </w:pPr>
      <w:r>
        <w:t>8. Matriz de decisiones actuales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67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144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460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Implicación</w:t>
            </w:r>
          </w:p>
        </w:tc>
      </w:tr>
      <w:tr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Capability Intelligence es el centro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Aprobada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Priorizar capacidad sobre UI y documentos.</w:t>
            </w:r>
          </w:p>
        </w:tc>
      </w:tr>
      <w:tr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Passport es proyección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Aprobada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No guardar campos independientes.</w:t>
            </w:r>
          </w:p>
        </w:tc>
      </w:tr>
      <w:tr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No universal site score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Aprobada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Assessment contextual por protocolo.</w:t>
            </w:r>
          </w:p>
        </w:tc>
      </w:tr>
      <w:tr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Sources before manual entry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Aprobada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Crear Source Catalog antes de formularios nuevos.</w:t>
            </w:r>
          </w:p>
        </w:tc>
      </w:tr>
      <w:tr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Modular monolith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Recomendada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No microservicios en Fase I.</w:t>
            </w:r>
          </w:p>
        </w:tc>
      </w:tr>
      <w:tr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Relational graph first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Recomendada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Postgres como fuente; graph DB solo por evidencia.</w:t>
            </w:r>
          </w:p>
        </w:tc>
      </w:tr>
      <w:tr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LLM candidate, human authority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Aprobada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Review gate para publicación.</w:t>
            </w:r>
          </w:p>
        </w:tc>
      </w:tr>
      <w:tr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First slice Continuing Review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Aprobada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Implementar antes de identidad pública.</w:t>
            </w:r>
          </w:p>
        </w:tc>
      </w:tr>
      <w:tr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Vilo as validation institution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Aprobada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Datos reales controlados y medibles.</w:t>
            </w:r>
          </w:p>
        </w:tc>
      </w:tr>
    </w:tbl>
    <w:p>
      <w:pPr>
        <w:spacing w:after="40"/>
      </w:pPr>
    </w:p>
    <w:p>
      <w:pPr>
        <w:pStyle w:val="Heading1"/>
      </w:pPr>
      <w:r>
        <w:t>9. Métricas de éxito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0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Dimensión</w:t>
            </w:r>
          </w:p>
        </w:tc>
        <w:tc>
          <w:tcPr>
            <w:tcW w:type="dxa" w:w="741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Métrica Fase I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Acquisition</w:t>
            </w:r>
          </w:p>
        </w:tc>
        <w:tc>
          <w:tcPr>
            <w:tcW w:type="dxa" w:w="74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≥80% de atributos del slice sin entrada manual repetida.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Traceability</w:t>
            </w:r>
          </w:p>
        </w:tc>
        <w:tc>
          <w:tcPr>
            <w:tcW w:type="dxa" w:w="74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100% de claims publicados enlazados a provenance.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Freshness</w:t>
            </w:r>
          </w:p>
        </w:tc>
        <w:tc>
          <w:tcPr>
            <w:tcW w:type="dxa" w:w="74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100% de atributos críticos con política de vigencia.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Conflict</w:t>
            </w:r>
          </w:p>
        </w:tc>
        <w:tc>
          <w:tcPr>
            <w:tcW w:type="dxa" w:w="74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Conflictos preservados y visibles; cero overwrites silenciosos.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Reusability</w:t>
            </w:r>
          </w:p>
        </w:tc>
        <w:tc>
          <w:tcPr>
            <w:tcW w:type="dxa" w:w="74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Mismo claim usado en Passport y Assessment.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Explainability</w:t>
            </w:r>
          </w:p>
        </w:tc>
        <w:tc>
          <w:tcPr>
            <w:tcW w:type="dxa" w:w="74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Cada requirement result incluye matched evidence/reason.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Migration</w:t>
            </w:r>
          </w:p>
        </w:tc>
        <w:tc>
          <w:tcPr>
            <w:tcW w:type="dxa" w:w="74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Cero pérdida de claims/evidence legacy.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Quality</w:t>
            </w:r>
          </w:p>
        </w:tc>
        <w:tc>
          <w:tcPr>
            <w:tcW w:type="dxa" w:w="74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Baseline tests sin regresiones + golden cases nuevos.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Security</w:t>
            </w:r>
          </w:p>
        </w:tc>
        <w:tc>
          <w:tcPr>
            <w:tcW w:type="dxa" w:w="74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RLS y ShareGrant probados en integración.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Decision value</w:t>
            </w:r>
          </w:p>
        </w:tc>
        <w:tc>
          <w:tcPr>
            <w:tcW w:type="dxa" w:w="74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Assessment real produce gaps accionables para Vilo.</w:t>
            </w:r>
          </w:p>
        </w:tc>
      </w:tr>
    </w:tbl>
    <w:p>
      <w:pPr>
        <w:spacing w:after="40"/>
      </w:pPr>
    </w:p>
    <w:p>
      <w:pPr>
        <w:pStyle w:val="Heading1"/>
      </w:pPr>
      <w:r>
        <w:t>10. Riesgos y controles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16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655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Control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Sobremodelado antes de valor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Limitar catálogo al alcance de los vertical slices y expandir por uso.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IA presentada como verdad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Epistemic type, review gate y provenance obligatoria.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Migración rompe flujo actual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Dual-read temporal, backfill, feature flags y regression suite.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Fuentes públicas ambiguas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Candidate resolution y confirmación humana.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Confidence se vuelve score opaco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Dimensiones + reasons + evidence references.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Passport diverge del núcleo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Snapshot and projection only.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Integraciones consumen roadmap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Source prioritization formula y conectores después del slice.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Datos sensibles exceden necesidad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Data minimization, classification y ADR para excepciones.</w:t>
            </w:r>
          </w:p>
        </w:tc>
      </w:tr>
    </w:tbl>
    <w:p>
      <w:pPr>
        <w:spacing w:after="40"/>
      </w:pPr>
    </w:p>
    <w:p>
      <w:pPr>
        <w:pStyle w:val="Heading1"/>
      </w:pPr>
      <w:r>
        <w:t>11. Artefactos obligatorios por fase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58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813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Artefactos</w:t>
            </w:r>
          </w:p>
        </w:tc>
      </w:tr>
      <w:t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</w:t>
            </w:r>
          </w:p>
        </w:tc>
        <w:tc>
          <w:tcPr>
            <w:tcW w:type="dxa" w:w="81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Audit report, entity map, table map, API inventory, keep/modify/archive matrix</w:t>
            </w:r>
          </w:p>
        </w:tc>
      </w:tr>
      <w:t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B</w:t>
            </w:r>
          </w:p>
        </w:tc>
        <w:tc>
          <w:tcPr>
            <w:tcW w:type="dxa" w:w="81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Attribute Catalog, Source Catalog, Knowledge Taxonomy, glossary</w:t>
            </w:r>
          </w:p>
        </w:tc>
      </w:tr>
      <w:t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</w:t>
            </w:r>
          </w:p>
        </w:tc>
        <w:tc>
          <w:tcPr>
            <w:tcW w:type="dxa" w:w="81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ADRs, migrations, domain types, repository contracts, backfill report</w:t>
            </w:r>
          </w:p>
        </w:tc>
      </w:tr>
      <w:t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D/E/G</w:t>
            </w:r>
          </w:p>
        </w:tc>
        <w:tc>
          <w:tcPr>
            <w:tcW w:type="dxa" w:w="81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Vertical slice spec, fixtures, golden cases, implementation report, demo evidence</w:t>
            </w:r>
          </w:p>
        </w:tc>
      </w:tr>
      <w:t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F</w:t>
            </w:r>
          </w:p>
        </w:tc>
        <w:tc>
          <w:tcPr>
            <w:tcW w:type="dxa" w:w="81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Protocol schema, requirement taxonomy, rule catalog</w:t>
            </w:r>
          </w:p>
        </w:tc>
      </w:tr>
      <w:t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H</w:t>
            </w:r>
          </w:p>
        </w:tc>
        <w:tc>
          <w:tcPr>
            <w:tcW w:type="dxa" w:w="81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Snapshot contract, package schema, sharing policy tests</w:t>
            </w:r>
          </w:p>
        </w:tc>
      </w:tr>
      <w:t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I</w:t>
            </w:r>
          </w:p>
        </w:tc>
        <w:tc>
          <w:tcPr>
            <w:tcW w:type="dxa" w:w="81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Security report, observability dashboard spec, pilot runbook</w:t>
            </w:r>
          </w:p>
        </w:tc>
      </w:tr>
    </w:tbl>
    <w:p>
      <w:pPr>
        <w:spacing w:after="40"/>
      </w:pPr>
    </w:p>
    <w:p>
      <w:pPr>
        <w:pStyle w:val="Heading1"/>
      </w:pPr>
      <w:r>
        <w:t>12. Stop conditions</w:t>
      </w:r>
    </w:p>
    <w:p>
      <w:pPr>
        <w:pStyle w:val="ListBullet"/>
        <w:spacing w:after="40"/>
      </w:pPr>
      <w:r>
        <w:t>No avanzar a Protocol Intelligence si ClaimVersion y provenance no son estables.</w:t>
      </w:r>
    </w:p>
    <w:p>
      <w:pPr>
        <w:pStyle w:val="ListBullet"/>
        <w:spacing w:after="40"/>
      </w:pPr>
      <w:r>
        <w:t>No publicar Passport v2 si KnowledgeSnapshot no puede reconstruirse.</w:t>
      </w:r>
    </w:p>
    <w:p>
      <w:pPr>
        <w:pStyle w:val="ListBullet"/>
        <w:spacing w:after="40"/>
      </w:pPr>
      <w:r>
        <w:t>No integrar nuevas fuentes si no alimentan atributos priorizados.</w:t>
      </w:r>
    </w:p>
    <w:p>
      <w:pPr>
        <w:pStyle w:val="ListBullet"/>
        <w:spacing w:after="40"/>
      </w:pPr>
      <w:r>
        <w:t>No declarar assessment listo si faltan explicaciones por requisito.</w:t>
      </w:r>
    </w:p>
    <w:p>
      <w:pPr>
        <w:pStyle w:val="ListBullet"/>
        <w:spacing w:after="40"/>
      </w:pPr>
      <w:r>
        <w:t>No iniciar piloto externo si RLS, revocación y auditoría no tienen pruebas de integración.</w:t>
      </w:r>
    </w:p>
    <w:p>
      <w:pPr>
        <w:pStyle w:val="Heading1"/>
      </w:pPr>
      <w:r>
        <w:t>13. Primera orden de ejecución</w:t>
      </w:r>
    </w:p>
    <w:p>
      <w:pPr>
        <w:pStyle w:val="ListNumber"/>
        <w:spacing w:after="40"/>
      </w:pPr>
      <w:r>
        <w:t>Congelar features no relacionadas con el núcleo.</w:t>
      </w:r>
    </w:p>
    <w:p>
      <w:pPr>
        <w:pStyle w:val="ListNumber"/>
        <w:spacing w:after="40"/>
      </w:pPr>
      <w:r>
        <w:t>Generar el Architecture Alignment Audit contra el repositorio real.</w:t>
      </w:r>
    </w:p>
    <w:p>
      <w:pPr>
        <w:pStyle w:val="ListNumber"/>
        <w:spacing w:after="40"/>
      </w:pPr>
      <w:r>
        <w:t>Aprobar Canonical Knowledge Lexicon y primeros 40–60 atributos del slice.</w:t>
      </w:r>
    </w:p>
    <w:p>
      <w:pPr>
        <w:pStyle w:val="ListNumber"/>
        <w:spacing w:after="40"/>
      </w:pPr>
      <w:r>
        <w:t>Implementar EvidenceSource y SourceRecord.</w:t>
      </w:r>
    </w:p>
    <w:p>
      <w:pPr>
        <w:pStyle w:val="ListNumber"/>
        <w:spacing w:after="40"/>
      </w:pPr>
      <w:r>
        <w:t>Implementar ProvenanceRecord y ExtractionRun.</w:t>
      </w:r>
    </w:p>
    <w:p>
      <w:pPr>
        <w:pStyle w:val="ListNumber"/>
        <w:spacing w:after="40"/>
      </w:pPr>
      <w:r>
        <w:t>Migrar claims a ClaimVersion sin romper IDs actuales.</w:t>
      </w:r>
    </w:p>
    <w:p>
      <w:pPr>
        <w:pStyle w:val="ListNumber"/>
        <w:spacing w:after="40"/>
      </w:pPr>
      <w:r>
        <w:t>Construir Vertical Slice 1 con un Continuing Review real de Vilo.</w:t>
      </w:r>
    </w:p>
    <w:p>
      <w:pPr>
        <w:pStyle w:val="ListNumber"/>
        <w:spacing w:after="40"/>
      </w:pPr>
      <w:r>
        <w:t>Usar los hallazgos para corregir el modelo antes de continuar.</w:t>
      </w:r>
    </w:p>
    <w:p>
      <w:pPr>
        <w:pStyle w:val="Heading1"/>
      </w:pPr>
      <w:r>
        <w:t>14. Resultado esperado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50" w:type="dxa"/>
              <w:start w:w="180" w:type="dxa"/>
              <w:bottom w:w="150" w:type="dxa"/>
              <w:end w:w="180" w:type="dxa"/>
            </w:tcMar>
            <w:shd w:fill="EAF2F6"/>
          </w:tcPr>
          <w:p>
            <w:r>
              <w:rPr>
                <w:rFonts w:ascii="Aptos" w:hAnsi="Aptos"/>
                <w:b/>
                <w:color w:val="2A8C82"/>
                <w:sz w:val="20"/>
              </w:rPr>
              <w:t>Fase I completa</w:t>
              <w:br/>
            </w:r>
            <w:r>
              <w:rPr>
                <w:rFonts w:ascii="Aptos" w:hAnsi="Aptos"/>
                <w:b/>
                <w:color w:val="17324D"/>
                <w:sz w:val="21"/>
              </w:rPr>
              <w:t>KADARN podrá adquirir un registro existente, preservar su origen, extraer datos, convertirlos en evidencia y claims temporales, componer capacidades, compararlas con requisitos de un protocolo, explicar brechas y publicar una instantánea autorizada; todo sin reintroducir manualmente la misma información.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064"/>
      <w:gridCol w:w="1872"/>
    </w:tblGrid>
    <w:tr>
      <w:tc>
        <w:tcPr>
          <w:tcW w:type="dxa" w:w="4968"/>
        </w:tcPr>
        <w:p>
          <w:r>
            <w:rPr>
              <w:rFonts w:ascii="Aptos" w:hAnsi="Aptos"/>
              <w:color w:val="5B6570"/>
              <w:sz w:val="16"/>
            </w:rPr>
            <w:t>Versión 2.0 · Plan de ejecución</w:t>
          </w:r>
        </w:p>
      </w:tc>
      <w:tc>
        <w:tcPr>
          <w:tcW w:type="dxa" w:w="4968"/>
        </w:tcPr>
        <w:p>
          <w:pPr>
            <w:jc w:val="right"/>
          </w:pPr>
          <w:r>
            <w:rPr>
              <w:rFonts w:ascii="Aptos" w:hAnsi="Aptos"/>
              <w:color w:val="5B6570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570"/>
        <w:sz w:val="16"/>
      </w:rPr>
      <w:t>KADARN  ·  INSTITUTIONAL CAPABILITY INTELLIGENCE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E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6A8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8C8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8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00"/>
    </w:pPr>
    <w:rPr>
      <w:rFonts w:asciiTheme="majorHAnsi" w:eastAsiaTheme="majorEastAsia" w:hAnsiTheme="majorHAnsi" w:cstheme="majorBidi" w:ascii="Aptos" w:hAnsi="Aptos"/>
      <w:b w:val="0"/>
      <w:i/>
      <w:iCs/>
      <w:color w:val="2A8C82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59" w:right="259"/>
    </w:pPr>
    <w:rPr>
      <w:rFonts w:ascii="Consolas" w:hAnsi="Consolas"/>
      <w:color w:val="1E29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