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Microsoft YaHei" w:cs="Microsoft YaHei" w:eastAsia="Microsoft YaHei" w:hAnsi="Microsoft YaHei"/>
          <w:b/>
          <w:bCs/>
          <w:color w:val="253F71"/>
          <w:sz w:val="64"/>
          <w:szCs w:val="64"/>
        </w:rPr>
        <w:t xml:space="preserve">IM168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40"/>
          <w:szCs w:val="40"/>
        </w:rPr>
        <w:t xml:space="preserve">Phase “B” 需求 Brief</w:t>
      </w:r>
    </w:p>
    <w:p>
      <w:pPr>
        <w:spacing w:after="600"/>
      </w:pPr>
      <w:r>
        <w:rPr>
          <w:rFonts w:ascii="Microsoft YaHei" w:cs="Microsoft YaHei" w:eastAsia="Microsoft YaHei" w:hAnsi="Microsoft YaHei"/>
          <w:color w:val="6B7280"/>
          <w:sz w:val="24"/>
          <w:szCs w:val="24"/>
        </w:rPr>
        <w:t xml:space="preserve">（暂定名 · 聊天平台嵌入彩票投注）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color w:val="4A5568"/>
          <w:sz w:val="22"/>
          <w:szCs w:val="22"/>
        </w:rPr>
        <w:t xml:space="preserve">文档性质：客户需求复述 + 功能 / 流程规格 + 待确认事项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color w:val="4A5568"/>
          <w:sz w:val="22"/>
          <w:szCs w:val="22"/>
        </w:rPr>
        <w:t xml:space="preserve">适用对象：内部设计 / 开发团队落地，亦可回客户确认范围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color w:val="4A5568"/>
          <w:sz w:val="22"/>
          <w:szCs w:val="22"/>
        </w:rPr>
        <w:t xml:space="preserve">版本：v0.1 草稿　|　日期：2026-06-26　|　整理：Hec</w:t>
      </w:r>
    </w:p>
    <w:p>
      <w:pPr>
        <w:pageBreakBefore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1. 背景与目标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IM168 是一个聊天平台，定位为替代微信、Telegram（飞机）等通讯工具，作为彩票玩家社群的私域沟通载体。产品结构为：频道（群组 / Channel）内嵌套群聊（Chat Group）。出于合规考量，不上架任何应用商店，通过其他渠道分发。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Phase A 已聚焦在聊天平台本体与既有彩票平台的视觉体系（既有设计系统：Noto Sans SC、深蓝 #253F71、粉 #F75979、蓝 #0077E7、灰 #8F9DB8，游戏含 PK10 极速赛车、SSC 时时彩、龙虎等）。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Phase B 的核心目标：把彩票投注能力嵌入聊天 UI，让玩家在社群内直接完成选号、下注、自动化投注与战绩查看，而不必离开 App。</w:t>
      </w:r>
    </w:p>
    <w:p>
      <w:pPr>
        <w:pBdr>
          <w:left w:val="single" w:color="253F71" w:sz="18" w:space="12"/>
        </w:pBdr>
        <w:spacing w:after="160" w:before="100" w:line="276"/>
        <w:ind w:left="240"/>
      </w:pPr>
      <w:r>
        <w:rPr>
          <w:rFonts w:ascii="Microsoft YaHei" w:cs="Microsoft YaHei" w:eastAsia="Microsoft YaHei" w:hAnsi="Microsoft YaHei"/>
          <w:i/>
          <w:iCs/>
          <w:color w:val="4A5568"/>
        </w:rPr>
        <w:t xml:space="preserve">一句话定位：聊天是入口与社交粘性，投注是商业闭环；两者既要融合，又要可分离。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2. 范围与平台约束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253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253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平台形态</w:t>
            </w:r>
          </w:p>
        </w:tc>
        <w:tc>
          <w:tcPr>
            <w:tcW w:type="dxa" w:w="71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移动 App 为主，不上架应用商店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与聊天的关系</w:t>
            </w:r>
          </w:p>
        </w:tc>
        <w:tc>
          <w:tcPr>
            <w:tcW w:type="dxa" w:w="71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投注（Bet）与聊天（Chat）在信息架构上分离，但在 Bet Room 内并存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Web 端</w:t>
            </w:r>
          </w:p>
        </w:tc>
        <w:tc>
          <w:tcPr>
            <w:tcW w:type="dxa" w:w="71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笔记已标注：Web 端可能因资源下载量大而偏慢，需在性能 / 加载策略上单独评估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依赖系统</w:t>
            </w:r>
          </w:p>
        </w:tc>
        <w:tc>
          <w:tcPr>
            <w:tcW w:type="dxa" w:w="71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强依赖客户既有彩票平台（账号、额度、赔率、开奖数据均来自该平台）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后台</w:t>
            </w:r>
          </w:p>
        </w:tc>
        <w:tc>
          <w:tcPr>
            <w:tcW w:type="dxa" w:w="71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客户需登录 Backoffice（BO）设定赔率 / 抽成 %，与 App 同一套凭证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3. 角色与权限层级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笔记中的层级（君主 → 群主 / Owner → 成员）映射如下：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253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253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来源</w:t>
            </w:r>
          </w:p>
        </w:tc>
        <w:tc>
          <w:tcPr>
            <w:tcW w:type="dxa" w:w="4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253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主要能力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频道主 / 群主（Channel Owner）</w:t>
            </w:r>
          </w:p>
        </w:tc>
        <w:tc>
          <w:tcPr>
            <w:tcW w:type="dxa" w:w="2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由既有彩票平台玩家注册转化而来</w:t>
            </w:r>
          </w:p>
        </w:tc>
        <w:tc>
          <w:tcPr>
            <w:tcW w:type="dxa" w:w="4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同一套凭证登录 BO + App；创建频道 / 群组；持有平台主额度；向成员分配额度；设定抽成 %；代成员投注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成员（Member）</w:t>
            </w:r>
          </w:p>
        </w:tc>
        <w:tc>
          <w:tcPr>
            <w:tcW w:type="dxa" w:w="2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受群主邀请进入频道 / 群组</w:t>
            </w:r>
          </w:p>
        </w:tc>
        <w:tc>
          <w:tcPr>
            <w:tcW w:type="dxa" w:w="4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在 Bet Room 内用群主分配的额度选号、下注、使用公式投；查看自己的战绩</w:t>
            </w:r>
          </w:p>
        </w:tc>
      </w:tr>
    </w:tbl>
    <w:p>
      <w:pPr>
        <w:pBdr>
          <w:left w:val="single" w:color="253F71" w:sz="18" w:space="12"/>
        </w:pBdr>
        <w:spacing w:after="160" w:before="100" w:line="276"/>
        <w:ind w:left="240"/>
      </w:pPr>
      <w:r>
        <w:rPr>
          <w:rFonts w:ascii="Microsoft YaHei" w:cs="Microsoft YaHei" w:eastAsia="Microsoft YaHei" w:hAnsi="Microsoft YaHei"/>
          <w:i/>
          <w:iCs/>
          <w:color w:val="4A5568"/>
        </w:rPr>
        <w:t xml:space="preserve">关键机制：成员的投注实际是用群主的主账号在彩票平台代投，对外形成一笔“团体注（Group Bet）”。群主从中按设定 % 赚取差额（赔率差）。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4. 核心功能模块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玩家注册与账号打通（Onboarding）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为来自既有彩票平台的玩家建立一条注册转化流程，在 IM168 内为其开通一个「频道主（Channel Owner）」级别账号。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同一套凭证（single credentials）可同时登录：Backoffice 与 IM168 App。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注册后即可在 App 内或从 BO 创建频道（Channel）与群组（Chat Group）。</w:t>
      </w:r>
    </w:p>
    <w:p>
      <w:pPr>
        <w:pBdr>
          <w:left w:val="single" w:color="253F71" w:sz="18" w:space="12"/>
        </w:pBdr>
        <w:spacing w:after="160" w:before="100" w:line="276"/>
        <w:ind w:left="240"/>
      </w:pPr>
      <w:r>
        <w:rPr>
          <w:rFonts w:ascii="Microsoft YaHei" w:cs="Microsoft YaHei" w:eastAsia="Microsoft YaHei" w:hAnsi="Microsoft YaHei"/>
          <w:i/>
          <w:iCs/>
          <w:color w:val="4A5568"/>
        </w:rPr>
        <w:t xml:space="preserve">待确认：注册是平台间 SSO 打通，还是导入式开户？见第 7 节。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Bet Room（投注房间）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频道下仅有一个群组会被设为 “Bet Room”。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Bet Room = 彩票选号 UI + 常规聊天 并存的特殊群组。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笔记标注需提供两种版本 / 模式，供不同社群风格切换：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253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253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取向</w:t>
            </w:r>
          </w:p>
        </w:tc>
        <w:tc>
          <w:tcPr>
            <w:tcW w:type="dxa" w:w="55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253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Clean 版</w:t>
            </w:r>
          </w:p>
        </w:tc>
        <w:tc>
          <w:tcPr>
            <w:tcW w:type="dxa" w:w="1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纯净</w:t>
            </w:r>
          </w:p>
        </w:tc>
        <w:tc>
          <w:tcPr>
            <w:tcW w:type="dxa" w:w="55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投注与聊天界面分离、克制，专注下单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Bet Synergy 版</w:t>
            </w:r>
          </w:p>
        </w:tc>
        <w:tc>
          <w:tcPr>
            <w:tcW w:type="dxa" w:w="1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融合</w:t>
            </w:r>
          </w:p>
        </w:tc>
        <w:tc>
          <w:tcPr>
            <w:tcW w:type="dxa" w:w="55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投注信息与聊天流融合呈现（如下注、开奖结果以消息形式滚动）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信息架构上沿用笔记草图的 Bet / Chat 双 Tab：左侧 / 上方投注面板，右侧 / 下方聊天流。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4.3 公式投（Formula Bet）— 自动化投注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允许玩家通过设置面板，把投注模式自动化。可切换的设定包含（不限于）：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重复轮次（Repeated Round）：连续多期自动跟投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倍投 / 倍率（Multiplier）：按规则放大注额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追龙 / 斩龙（追龙斩龙）：连续同结果时加注 / 收手的策略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止盈止损（Stop Win / Stop Lose）：达到设定盈亏自动停止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其他潜在策略设定（预留扩展）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b/>
          <w:bCs/>
        </w:rPr>
        <w:t xml:space="preserve">要求：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公式参数集中在一个设置页（Formula Setting Page）配置。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玩家可监控公式投的运行进度。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在某处提供用公式投下的注单列表 / 战绩查看入口。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4.4 额度分配与团体代投（Credit Distribution &amp; Group Bet）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</w:rPr>
        <w:t xml:space="preserve">核心商业逻辑，分三步：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群主持有主额度（来自彩票平台主账号），例如 1000。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群主向受邀成员分配额度：如 A=500、B=300、C=200。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成员在 Bet Room 用 UI 在分配额度内选号下注 → 系统用群主主账号在彩票平台代投，合并为一笔“团体注”。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群主可设定抽成 %，赚取赔率差额（earn the difference）。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赔率 / 抽成 % 需到 Backoffice 设定（笔记：need to go to BO to set odds / %）。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笔记数字示意：1K 主额度 → 500 / 300 / 250 分配（待与客户核对具体分法与上限规则）。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4.5 聊天内 / 命令 下注（Chat-to-Bet Command）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在聊天中通过 / 命令 触发投注，无需切换到完整投注面板。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笔记示例：当 x2 combo（二串一 / 连组）下注于 X，即用命令快速下达组合注。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「公式投」命令 → 跳转 / 唤起对应的公式设置页。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4.6 Live Summary（实时战报）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投注与开奖结果以消息形式实时推送进聊天流（Result in message form）。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提供实时汇总（Live Summary），让群内成员同步看到下注与中奖动态。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4.7 游戏类型与设置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首批游戏：PK10（极速赛车）、SSC（时时彩），相关玩法 / 参数进入设置（Settings）。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复用既有彩票平台的玩法定义与开奖数据。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5. 关键用户流程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5.1 玩家转化注册流程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既有彩票平台玩家发起 IM168 注册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系统校验其平台身份 → 开通 Channel Owner 账号（同一凭证打通 BO + App）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登录后创建频道 / 群组 → 指定其中一个群组为 Bet Room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5.2 额度分配 → 团体代投流程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群主在 App / BO 查看主额度（如 1000）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向成员分配额度（A 500 / B 300 / C 200）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成员在 Bet Room 选号下注（限额度内）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系统以群主主账号在彩票平台合并代投为一笔团体注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开奖 → 结算 → 群主按设定 % 取差额，成员获各自结果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5.3 公式投流程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玩家在设置页配置公式（轮次 / 倍率 / 追斩龙 / 止盈止损）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启动公式投 → 系统按规则自动逐期下注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玩家在进度面板监控运行状态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任意时刻查看公式投注单列表与盈亏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触发止盈 / 止损或额度用尽 → 自动停止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5.4 聊天 / 命令 快投流程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玩家在聊天框输入 / 命令（如组合注 x2 on X）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系统解析命令 → 弹出确认 / 直接下单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Microsoft YaHei" w:cs="Microsoft YaHei" w:eastAsia="Microsoft YaHei" w:hAnsi="Microsoft YaHei"/>
        </w:rPr>
        <w:t xml:space="preserve">结果以消息形式回流聊天 + Live Summary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6. UX / 设计考量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Bet 与 Chat 的分离与融合：双 Tab 是基础结构；Clean 与 Bet Synergy 两版本本质是“投注信息混入聊天流的程度”差异，建议用同一套组件 + 布局开关实现，避免维护两套界面。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额度的可视化：成员需随时清楚“我还剩多少可投”，群主需清楚“我分出去多少、回收多少、赚了多少差额”——这是信任的核心，建议有专门的额度 / 结算视图。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公式投的可控感：自动化下注最大的焦虑是“失控”。进度面板要让玩家随时能看到、能急停，止盈止损状态要显著。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结果以消息呈现：开奖 / 中奖进聊天流要克制，避免刷屏淹没正常对话（Clean 版尤其）。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Web 性能：笔记已点名 Web 端资源下载偏慢，需评估懒加载、资源分包、是否优先做移动端。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避免“AI 感”视觉：沿用既有设计系统的真实质感，UI / 插图不要呈现明显 AI 生成痕迹。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7. 待确认 / 风险点（建议向客户澄清）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4000"/>
      </w:tblGrid>
      <w:tr>
        <w:trPr>
          <w:tblHeader/>
        </w:trPr>
        <w:tc>
          <w:tcPr>
            <w:tcW w:type="dxa" w:w="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253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7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253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dxa" w:w="4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253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为什么重要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账号打通是真正的 SSO，还是导入式开户？平台间数据如何同步？</w:t>
            </w:r>
          </w:p>
        </w:tc>
        <w:tc>
          <w:tcPr>
            <w:tcW w:type="dxa" w:w="4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决定注册流程与技术架构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“团体代投”用群主主账号下单 — 成员注单的结算、对账、纠纷如何处理？</w:t>
            </w:r>
          </w:p>
        </w:tc>
        <w:tc>
          <w:tcPr>
            <w:tcW w:type="dxa" w:w="4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涉及资金信任与合规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抽成 % 的计算口径（按注额？按盈利？按赔率差？）与展示透明度</w:t>
            </w:r>
          </w:p>
        </w:tc>
        <w:tc>
          <w:tcPr>
            <w:tcW w:type="dxa" w:w="4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影响商业模型与成员信任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额度分配是否可回收 / 调整？是否有最低 / 最高限制？</w:t>
            </w:r>
          </w:p>
        </w:tc>
        <w:tc>
          <w:tcPr>
            <w:tcW w:type="dxa" w:w="4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影响 UI 与逻辑边界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公式投的策略是否有平台层面的风控上限（防止单笔过大）？</w:t>
            </w:r>
          </w:p>
        </w:tc>
        <w:tc>
          <w:tcPr>
            <w:tcW w:type="dxa" w:w="4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风控与合规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每个频道是否只能有一个 Bet Room？多个 Bet Room 是否未来需求？</w:t>
            </w:r>
          </w:p>
        </w:tc>
        <w:tc>
          <w:tcPr>
            <w:tcW w:type="dxa" w:w="4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影响信息架构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不上架商店的分发方式（企业签 / TestFlight / PWA / APK）？</w:t>
            </w:r>
          </w:p>
        </w:tc>
        <w:tc>
          <w:tcPr>
            <w:tcW w:type="dxa" w:w="4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直接影响 Web / 原生取舍与性能策略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/ 命令 的完整命令集与语法规范由谁定义？</w:t>
            </w:r>
          </w:p>
        </w:tc>
        <w:tc>
          <w:tcPr>
            <w:tcW w:type="dxa" w:w="4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影响交互设计与文案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合规与法律边界（代投、抽成、跨平台资金）是否已有法务意见？</w:t>
            </w:r>
          </w:p>
        </w:tc>
        <w:tc>
          <w:tcPr>
            <w:tcW w:type="dxa" w:w="4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高风险，建议优先确认</w:t>
            </w:r>
          </w:p>
        </w:tc>
      </w:tr>
    </w:tbl>
    <w:p>
      <w:pPr>
        <w:spacing w:after="6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附录：术语表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253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253F7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频道 / 群组（Channel）</w:t>
            </w:r>
          </w:p>
        </w:tc>
        <w:tc>
          <w:tcPr>
            <w:tcW w:type="dxa" w:w="6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顶层社群容器，可嵌套多个群聊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群聊 / 群组（Chat Group）</w:t>
            </w:r>
          </w:p>
        </w:tc>
        <w:tc>
          <w:tcPr>
            <w:tcW w:type="dxa" w:w="6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频道内的聊天单元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Bet Room</w:t>
            </w:r>
          </w:p>
        </w:tc>
        <w:tc>
          <w:tcPr>
            <w:tcW w:type="dxa" w:w="6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频道内唯一具备投注 UI 的特殊群聊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频道主 / 群主（Channel Owner）</w:t>
            </w:r>
          </w:p>
        </w:tc>
        <w:tc>
          <w:tcPr>
            <w:tcW w:type="dxa" w:w="6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持主额度、可分配额度、代投并抽成的角色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团体注（Group Bet）</w:t>
            </w:r>
          </w:p>
        </w:tc>
        <w:tc>
          <w:tcPr>
            <w:tcW w:type="dxa" w:w="6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用群主主账号合并多名成员注单的一笔投注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公式投（Formula Bet）</w:t>
            </w:r>
          </w:p>
        </w:tc>
        <w:tc>
          <w:tcPr>
            <w:tcW w:type="dxa" w:w="6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可配置轮次 / 倍率 / 追斩龙 / 止盈止损的自动化投注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追龙 / 斩龙</w:t>
            </w:r>
          </w:p>
        </w:tc>
        <w:tc>
          <w:tcPr>
            <w:tcW w:type="dxa" w:w="6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连续同结果时加注 / 收手的投注策略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止盈止损（Stop Win / Lose）</w:t>
            </w:r>
          </w:p>
        </w:tc>
        <w:tc>
          <w:tcPr>
            <w:tcW w:type="dxa" w:w="6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达到设定盈亏自动停止下注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Backoffice（BO）</w:t>
            </w:r>
          </w:p>
        </w:tc>
        <w:tc>
          <w:tcPr>
            <w:tcW w:type="dxa" w:w="6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群主设定赔率与抽成 % 的后台，与 App 同凭证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Live Summary</w:t>
            </w:r>
          </w:p>
        </w:tc>
        <w:tc>
          <w:tcPr>
            <w:tcW w:type="dxa" w:w="6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投注 / 开奖结果以消息形式推送的实时战报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PK10 / SSC</w:t>
            </w:r>
          </w:p>
        </w:tc>
        <w:tc>
          <w:tcPr>
            <w:tcW w:type="dxa" w:w="6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极速赛车 / 时时彩，首批接入的彩种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Microsoft YaHei" w:cs="Microsoft YaHei" w:eastAsia="Microsoft YaHei" w:hAnsi="Microsoft YaHei"/>
        <w:color w:val="9AA5B5"/>
        <w:sz w:val="16"/>
        <w:szCs w:val="16"/>
      </w:rPr>
      <w:t xml:space="preserve">IM168 Phase B Brief · v0.1</w:t>
    </w:r>
    <w:r>
      <w:rPr>
        <w:rFonts w:ascii="Microsoft YaHei" w:cs="Microsoft YaHei" w:eastAsia="Microsoft YaHei" w:hAnsi="Microsoft YaHei"/>
      </w:rPr>
      <w:t xml:space="preserve">	</w:t>
    </w:r>
    <w:r>
      <w:rPr>
        <w:rFonts w:ascii="Microsoft YaHei" w:cs="Microsoft YaHei" w:eastAsia="Microsoft YaHei" w:hAnsi="Microsoft YaHei"/>
        <w:color w:val="9AA5B5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3F71" w:sz="6" w:space="6"/>
      </w:pBd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253F7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A274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1A27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2026-06-26T01:25:38.215Z</dcterms:created>
  <dcterms:modified xsi:type="dcterms:W3CDTF">2026-06-26T01:25:38.215Z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