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1DD7B" w14:textId="77777777" w:rsidR="00680BCC" w:rsidRPr="000D4ACF" w:rsidRDefault="00680BCC" w:rsidP="00943427">
      <w:pPr>
        <w:rPr>
          <w:b/>
          <w:bCs/>
        </w:rPr>
      </w:pPr>
      <w:r w:rsidRPr="000D4ACF">
        <w:rPr>
          <w:b/>
          <w:bCs/>
        </w:rPr>
        <w:t xml:space="preserve">Metabolic breadth of avirulent colonizers underlying protection against </w:t>
      </w:r>
      <w:r w:rsidRPr="000D4ACF">
        <w:rPr>
          <w:b/>
          <w:bCs/>
          <w:i/>
          <w:iCs/>
        </w:rPr>
        <w:t>Clostridioides difficile</w:t>
      </w:r>
      <w:r w:rsidRPr="000D4ACF">
        <w:rPr>
          <w:b/>
          <w:bCs/>
        </w:rPr>
        <w:t xml:space="preserve"> infection</w:t>
      </w:r>
    </w:p>
    <w:p w14:paraId="5FDA847C" w14:textId="77777777" w:rsidR="00680BCC" w:rsidRPr="0044624E" w:rsidRDefault="00680BCC" w:rsidP="0044624E">
      <w:r w:rsidRPr="000D4ACF">
        <w:t>Vishwas Mishra</w:t>
      </w:r>
      <w:r w:rsidRPr="000D4ACF">
        <w:rPr>
          <w:vertAlign w:val="superscript"/>
        </w:rPr>
        <w:t>1,2</w:t>
      </w:r>
      <w:r w:rsidRPr="0044624E">
        <w:t xml:space="preserve">, </w:t>
      </w:r>
      <w:r w:rsidRPr="000D4ACF">
        <w:t>Chloe Lindberg</w:t>
      </w:r>
      <w:r w:rsidRPr="000D4ACF">
        <w:rPr>
          <w:vertAlign w:val="superscript"/>
        </w:rPr>
        <w:t>4</w:t>
      </w:r>
      <w:r w:rsidRPr="0044624E">
        <w:t xml:space="preserve">, </w:t>
      </w:r>
      <w:r w:rsidRPr="000D4ACF">
        <w:t>Sneh Sharma</w:t>
      </w:r>
      <w:r w:rsidRPr="000D4ACF">
        <w:rPr>
          <w:vertAlign w:val="superscript"/>
        </w:rPr>
        <w:t>2</w:t>
      </w:r>
      <w:r w:rsidRPr="0044624E">
        <w:t xml:space="preserve">, </w:t>
      </w:r>
      <w:r w:rsidRPr="000D4ACF">
        <w:t>Ana Djukovic</w:t>
      </w:r>
      <w:r w:rsidRPr="000D4ACF">
        <w:rPr>
          <w:vertAlign w:val="superscript"/>
        </w:rPr>
        <w:t>3</w:t>
      </w:r>
      <w:r w:rsidRPr="0044624E">
        <w:t xml:space="preserve">, </w:t>
      </w:r>
      <w:r w:rsidRPr="000D4ACF">
        <w:t>Michelle Wu</w:t>
      </w:r>
      <w:r w:rsidRPr="000D4ACF">
        <w:rPr>
          <w:vertAlign w:val="superscript"/>
        </w:rPr>
        <w:t>2</w:t>
      </w:r>
      <w:r w:rsidRPr="0044624E">
        <w:t xml:space="preserve">, </w:t>
      </w:r>
      <w:r w:rsidRPr="000D4ACF">
        <w:t>Kevin Sia</w:t>
      </w:r>
      <w:r w:rsidRPr="000D4ACF">
        <w:rPr>
          <w:vertAlign w:val="superscript"/>
        </w:rPr>
        <w:t>2</w:t>
      </w:r>
      <w:r w:rsidRPr="0044624E">
        <w:t xml:space="preserve">, </w:t>
      </w:r>
      <w:r w:rsidRPr="000D4ACF">
        <w:t>Joao B. Xavier</w:t>
      </w:r>
      <w:r w:rsidRPr="000D4ACF">
        <w:rPr>
          <w:vertAlign w:val="superscript"/>
        </w:rPr>
        <w:t>2</w:t>
      </w:r>
    </w:p>
    <w:p w14:paraId="5D1969DA" w14:textId="77777777" w:rsidR="00680BCC" w:rsidRPr="0044624E" w:rsidRDefault="00680BCC" w:rsidP="0044624E">
      <w:r w:rsidRPr="0044624E">
        <w:t xml:space="preserve">1 </w:t>
      </w:r>
      <w:r>
        <w:t xml:space="preserve">Physiology, Biophysics and Systems </w:t>
      </w:r>
      <w:r w:rsidRPr="000D4ACF">
        <w:t>Biology Program, Weill Cornell Graduate School of Medical Sciences, Weill Cornell Medicine, New York, NY 10065, USA</w:t>
      </w:r>
      <w:r w:rsidRPr="0044624E">
        <w:br/>
        <w:t xml:space="preserve">2 </w:t>
      </w:r>
      <w:r w:rsidRPr="000D4ACF">
        <w:t>Program for Computational and Systems Biology, Sloan Kettering Institute, Memorial Sloan Kettering Cancer Center, New York, NY 10065, USA</w:t>
      </w:r>
      <w:r w:rsidRPr="0044624E">
        <w:br/>
        <w:t xml:space="preserve">3 </w:t>
      </w:r>
      <w:r w:rsidRPr="000D4ACF">
        <w:t xml:space="preserve">Centro de </w:t>
      </w:r>
      <w:proofErr w:type="spellStart"/>
      <w:r w:rsidRPr="000D4ACF">
        <w:t>Investigación</w:t>
      </w:r>
      <w:proofErr w:type="spellEnd"/>
      <w:r w:rsidRPr="000D4ACF">
        <w:t xml:space="preserve"> Príncipe Felipe (CIPF), Valencia, Spain</w:t>
      </w:r>
      <w:r w:rsidRPr="0044624E">
        <w:br/>
        <w:t xml:space="preserve">4 </w:t>
      </w:r>
      <w:r w:rsidRPr="000D4ACF">
        <w:t>Brown University, Providence, RI 02912, USA</w:t>
      </w:r>
    </w:p>
    <w:p w14:paraId="32FEC41C" w14:textId="77777777" w:rsidR="00680BCC" w:rsidRDefault="00680BCC" w:rsidP="002B7239">
      <w:pPr>
        <w:pStyle w:val="Heading1"/>
      </w:pPr>
      <w:r>
        <w:t>Abstract</w:t>
      </w:r>
    </w:p>
    <w:p w14:paraId="72B63FEF" w14:textId="77777777" w:rsidR="00680BCC" w:rsidRPr="00731591" w:rsidRDefault="00680BCC" w:rsidP="00943427">
      <w:r w:rsidRPr="00AD001C">
        <w:rPr>
          <w:i/>
          <w:iCs/>
        </w:rPr>
        <w:t>Clostridioides</w:t>
      </w:r>
      <w:r w:rsidRPr="00731591">
        <w:rPr>
          <w:i/>
          <w:iCs/>
        </w:rPr>
        <w:t xml:space="preserve"> difficile</w:t>
      </w:r>
      <w:r w:rsidRPr="00731591">
        <w:t xml:space="preserve"> infection affects nearly 500,000 patients annually in the US, with recurrence in ~30% of cases despite antibiotic treatment. </w:t>
      </w:r>
      <w:r>
        <w:t>Colonization by an</w:t>
      </w:r>
      <w:r w:rsidRPr="00731591">
        <w:t xml:space="preserve"> avirulent strain </w:t>
      </w:r>
      <w:r>
        <w:t>is known to</w:t>
      </w:r>
      <w:r w:rsidRPr="00731591">
        <w:t xml:space="preserve"> protect against </w:t>
      </w:r>
      <w:r>
        <w:t xml:space="preserve">infection by a </w:t>
      </w:r>
      <w:r w:rsidRPr="00731591">
        <w:t xml:space="preserve">secondary virulent </w:t>
      </w:r>
      <w:r>
        <w:t>strain</w:t>
      </w:r>
      <w:r w:rsidRPr="00731591">
        <w:t xml:space="preserve">, but the mechanisms underlying this protection remain poorly understood. </w:t>
      </w:r>
      <w:r>
        <w:t xml:space="preserve">Here, we compared </w:t>
      </w:r>
      <w:r w:rsidRPr="00731591">
        <w:t xml:space="preserve">21 clinical MLST1 isolates that </w:t>
      </w:r>
      <w:r>
        <w:t>have ANI</w:t>
      </w:r>
      <w:r w:rsidRPr="00731591">
        <w:t xml:space="preserve"> &gt;99.84% yet span the full range of </w:t>
      </w:r>
      <w:proofErr w:type="gramStart"/>
      <w:r w:rsidRPr="00731591">
        <w:t xml:space="preserve">virulence, </w:t>
      </w:r>
      <w:r>
        <w:t>and</w:t>
      </w:r>
      <w:proofErr w:type="gramEnd"/>
      <w:r w:rsidRPr="00731591">
        <w:t xml:space="preserve"> </w:t>
      </w:r>
      <w:r>
        <w:t xml:space="preserve">investigated their interaction with the </w:t>
      </w:r>
      <w:r w:rsidRPr="00731591">
        <w:t xml:space="preserve">hypervirulent VPI10463 strain in a mouse </w:t>
      </w:r>
      <w:r>
        <w:t>co-</w:t>
      </w:r>
      <w:r w:rsidRPr="00731591">
        <w:t>colonization model</w:t>
      </w:r>
      <w:r>
        <w:t>. We observed that while some</w:t>
      </w:r>
      <w:r w:rsidRPr="00731591">
        <w:t xml:space="preserve"> avirulent strains confer protection against the </w:t>
      </w:r>
      <w:r>
        <w:t xml:space="preserve">hypervirulent strain, </w:t>
      </w:r>
      <w:r w:rsidRPr="00731591">
        <w:t>others do not</w:t>
      </w:r>
      <w:r>
        <w:t>, and the p</w:t>
      </w:r>
      <w:r w:rsidRPr="00731591">
        <w:t>rotection</w:t>
      </w:r>
      <w:r>
        <w:t xml:space="preserve"> phenotype</w:t>
      </w:r>
      <w:r w:rsidRPr="00731591">
        <w:t xml:space="preserve"> is independent of adaptive immunity, microbiome composition, and common genetic determinants</w:t>
      </w:r>
      <w:r>
        <w:t>,</w:t>
      </w:r>
      <w:r w:rsidRPr="00731591">
        <w:t xml:space="preserve"> including core genome variation, and accessory gene content. </w:t>
      </w:r>
      <w:r>
        <w:t xml:space="preserve">Then, using </w:t>
      </w:r>
      <w:r w:rsidRPr="00731591">
        <w:t>BIOLOG phenotype microarray profiling across 2,</w:t>
      </w:r>
      <w:r>
        <w:t>090</w:t>
      </w:r>
      <w:r w:rsidRPr="00731591">
        <w:t xml:space="preserve"> strain-by-metabolite conditions</w:t>
      </w:r>
      <w:r>
        <w:t>, we discover that the avirulent protection is correlated with the ability to utilize a</w:t>
      </w:r>
      <w:r w:rsidRPr="00731591">
        <w:t xml:space="preserve"> broader </w:t>
      </w:r>
      <w:r>
        <w:t xml:space="preserve">set of </w:t>
      </w:r>
      <w:r w:rsidRPr="00731591">
        <w:t xml:space="preserve">carbon sources, </w:t>
      </w:r>
      <w:r>
        <w:t>a feature we term</w:t>
      </w:r>
      <w:r w:rsidRPr="00731591">
        <w:t xml:space="preserve"> metabolic </w:t>
      </w:r>
      <w:r>
        <w:t>breadth</w:t>
      </w:r>
      <w:r w:rsidRPr="00731591">
        <w:t xml:space="preserve">. </w:t>
      </w:r>
      <w:r>
        <w:t>C</w:t>
      </w:r>
      <w:r w:rsidRPr="00731591">
        <w:t xml:space="preserve">onsistent with the </w:t>
      </w:r>
      <w:r w:rsidRPr="00731591">
        <w:rPr>
          <w:i/>
          <w:iCs/>
        </w:rPr>
        <w:t>in vivo</w:t>
      </w:r>
      <w:r w:rsidRPr="00731591">
        <w:t xml:space="preserve"> observations</w:t>
      </w:r>
      <w:r>
        <w:t>,</w:t>
      </w:r>
      <w:r w:rsidRPr="00731591" w:rsidDel="001818ED">
        <w:t xml:space="preserve"> </w:t>
      </w:r>
      <w:r>
        <w:t>a</w:t>
      </w:r>
      <w:r w:rsidRPr="00731591">
        <w:t xml:space="preserve"> consumer-resource model parameterized from th</w:t>
      </w:r>
      <w:r>
        <w:t>ese</w:t>
      </w:r>
      <w:r w:rsidRPr="00731591">
        <w:t xml:space="preserve"> data predicts </w:t>
      </w:r>
      <w:r>
        <w:t xml:space="preserve">that an avirulent strain with wider metabolic breadth can exclude a virulent strain of narrower metabolic breadth, whereas avirulent strains with narrower metabolic breadth would </w:t>
      </w:r>
      <w:r w:rsidRPr="00731591">
        <w:t>coexist</w:t>
      </w:r>
      <w:r>
        <w:t xml:space="preserve"> and fail to protect</w:t>
      </w:r>
      <w:r w:rsidRPr="00731591">
        <w:t xml:space="preserve">. These findings establish </w:t>
      </w:r>
      <w:r>
        <w:t xml:space="preserve">metabolic breadth as a determinant of </w:t>
      </w:r>
      <w:r w:rsidRPr="00731591">
        <w:t xml:space="preserve">inter-strain </w:t>
      </w:r>
      <w:r>
        <w:t>competition outcomes</w:t>
      </w:r>
      <w:r w:rsidRPr="00731591">
        <w:t xml:space="preserve">, offering an </w:t>
      </w:r>
      <w:r>
        <w:t>ecological framework</w:t>
      </w:r>
      <w:r w:rsidRPr="00731591">
        <w:t xml:space="preserve"> for </w:t>
      </w:r>
      <w:r>
        <w:t xml:space="preserve">the rational selection of </w:t>
      </w:r>
      <w:r w:rsidRPr="00731591">
        <w:t xml:space="preserve">live biotherapeutics against </w:t>
      </w:r>
      <w:r>
        <w:rPr>
          <w:i/>
          <w:iCs/>
        </w:rPr>
        <w:t>C. difficile</w:t>
      </w:r>
      <w:r>
        <w:t xml:space="preserve"> infection</w:t>
      </w:r>
      <w:r w:rsidRPr="00731591">
        <w:t>.</w:t>
      </w:r>
    </w:p>
    <w:p w14:paraId="54BFA4E4" w14:textId="77777777" w:rsidR="00680BCC" w:rsidRDefault="00680BCC" w:rsidP="0069662D">
      <w:pPr>
        <w:pStyle w:val="Heading1"/>
      </w:pPr>
      <w:r w:rsidRPr="0069662D">
        <w:t>Introduction</w:t>
      </w:r>
    </w:p>
    <w:p w14:paraId="57259C6A" w14:textId="77777777" w:rsidR="00680BCC" w:rsidRDefault="00680BCC" w:rsidP="00E34666">
      <w:pPr>
        <w:ind w:firstLine="720"/>
        <w:rPr>
          <w:rFonts w:ascii="Aptos" w:eastAsia="Times New Roman" w:hAnsi="Aptos"/>
        </w:rPr>
      </w:pPr>
      <w:r w:rsidRPr="0069662D">
        <w:rPr>
          <w:i/>
          <w:iCs/>
        </w:rPr>
        <w:t>Clostridioides</w:t>
      </w:r>
      <w:r>
        <w:rPr>
          <w:i/>
          <w:iCs/>
        </w:rPr>
        <w:t xml:space="preserve"> </w:t>
      </w:r>
      <w:r w:rsidRPr="0069662D">
        <w:rPr>
          <w:i/>
          <w:iCs/>
        </w:rPr>
        <w:t>difficile</w:t>
      </w:r>
      <w:r w:rsidRPr="0069662D">
        <w:t xml:space="preserve"> is a </w:t>
      </w:r>
      <w:r>
        <w:t>g</w:t>
      </w:r>
      <w:r w:rsidRPr="0069662D">
        <w:t>ram-positive</w:t>
      </w:r>
      <w:r>
        <w:t>,</w:t>
      </w:r>
      <w:r w:rsidRPr="0069662D">
        <w:t xml:space="preserve"> obligate anaerob</w:t>
      </w:r>
      <w:r>
        <w:t>ic</w:t>
      </w:r>
      <w:r w:rsidRPr="0069662D">
        <w:t xml:space="preserve"> bacteri</w:t>
      </w:r>
      <w:r>
        <w:t>um that infects the gastrointestinal tract,</w:t>
      </w:r>
      <w:r w:rsidRPr="0069662D">
        <w:t xml:space="preserve"> </w:t>
      </w:r>
      <w:r>
        <w:t xml:space="preserve">causing severe </w:t>
      </w:r>
      <w:r w:rsidRPr="0069662D">
        <w:t xml:space="preserve">diarrhea </w:t>
      </w:r>
      <w:r>
        <w:t>and</w:t>
      </w:r>
      <w:r w:rsidRPr="0069662D">
        <w:t xml:space="preserve"> pseudomembranous colitis</w:t>
      </w:r>
      <w:r>
        <w:t xml:space="preserve"> </w:t>
      </w:r>
      <w:hyperlink r:id="rId8" w:history="1">
        <w:r>
          <w:rPr>
            <w:rFonts w:ascii="Aptos" w:eastAsia="Times New Roman" w:hAnsi="Aptos"/>
          </w:rPr>
          <w:t>(Seekatz </w:t>
        </w:r>
        <w:r>
          <w:rPr>
            <w:rFonts w:ascii="Aptos" w:eastAsia="Times New Roman" w:hAnsi="Aptos"/>
          </w:rPr>
          <w:lastRenderedPageBreak/>
          <w:t>and Young, 2014)</w:t>
        </w:r>
      </w:hyperlink>
      <w:r w:rsidRPr="0069662D">
        <w:t xml:space="preserve">. </w:t>
      </w:r>
      <w:r>
        <w:t xml:space="preserve">This leading cause of hospital-acquired infection disproportionally affects </w:t>
      </w:r>
      <w:r w:rsidRPr="00F950E1">
        <w:rPr>
          <w:rFonts w:ascii="Aptos" w:eastAsia="Times New Roman" w:hAnsi="Aptos"/>
        </w:rPr>
        <w:t xml:space="preserve">patients with </w:t>
      </w:r>
      <w:r>
        <w:rPr>
          <w:rFonts w:ascii="Aptos" w:eastAsia="Times New Roman" w:hAnsi="Aptos"/>
        </w:rPr>
        <w:t xml:space="preserve">predispositions </w:t>
      </w:r>
      <w:r w:rsidRPr="00F950E1">
        <w:rPr>
          <w:rFonts w:ascii="Aptos" w:eastAsia="Times New Roman" w:hAnsi="Aptos"/>
        </w:rPr>
        <w:t>such as age over 60</w:t>
      </w:r>
      <w:r>
        <w:rPr>
          <w:rFonts w:ascii="Aptos" w:eastAsia="Times New Roman" w:hAnsi="Aptos"/>
        </w:rPr>
        <w:t xml:space="preserve"> years</w:t>
      </w:r>
      <w:r w:rsidRPr="00F950E1">
        <w:rPr>
          <w:rFonts w:ascii="Aptos" w:eastAsia="Times New Roman" w:hAnsi="Aptos"/>
        </w:rPr>
        <w:t>, weakened immunity due to conditions like HIV/AIDS, cancer, or organ transplantation</w:t>
      </w:r>
      <w:r>
        <w:rPr>
          <w:rFonts w:ascii="Aptos" w:eastAsia="Times New Roman" w:hAnsi="Aptos"/>
        </w:rPr>
        <w:t xml:space="preserve"> </w:t>
      </w:r>
      <w:hyperlink r:id="rId9" w:history="1">
        <w:r>
          <w:rPr>
            <w:rFonts w:ascii="Aptos" w:eastAsia="Times New Roman" w:hAnsi="Aptos"/>
          </w:rPr>
          <w:t>(Jump, 2013)</w:t>
        </w:r>
      </w:hyperlink>
      <w:hyperlink r:id="rId10" w:history="1">
        <w:r>
          <w:rPr>
            <w:rFonts w:ascii="Aptos" w:eastAsia="Times New Roman" w:hAnsi="Aptos"/>
          </w:rPr>
          <w:t>(Revolinski and Munoz‑Price, 2019)</w:t>
        </w:r>
      </w:hyperlink>
      <w:r>
        <w:t xml:space="preserve">, and raises the cost of healthcare substantially </w:t>
      </w:r>
      <w:hyperlink r:id="rId11" w:history="1">
        <w:r>
          <w:rPr>
            <w:rFonts w:ascii="Aptos" w:eastAsia="Times New Roman" w:hAnsi="Aptos"/>
          </w:rPr>
          <w:t>(Dubberke and Olsen, 2012)</w:t>
        </w:r>
      </w:hyperlink>
      <w:r>
        <w:rPr>
          <w:rFonts w:ascii="Aptos" w:eastAsia="Times New Roman" w:hAnsi="Aptos"/>
        </w:rPr>
        <w:t xml:space="preserve">. </w:t>
      </w:r>
      <w:r w:rsidRPr="000D4ACF">
        <w:rPr>
          <w:rFonts w:ascii="Aptos" w:eastAsia="Times New Roman" w:hAnsi="Aptos"/>
          <w:i/>
          <w:iCs/>
        </w:rPr>
        <w:t>C. difficile</w:t>
      </w:r>
      <w:r>
        <w:rPr>
          <w:rFonts w:ascii="Aptos" w:eastAsia="Times New Roman" w:hAnsi="Aptos"/>
        </w:rPr>
        <w:t xml:space="preserve"> enters the gastrointestinal tract as spores that germinate to viable cells when they encounter suitable conditions in the gut lumen</w:t>
      </w:r>
      <w:r w:rsidRPr="00407EBC">
        <w:rPr>
          <w:rFonts w:ascii="Aptos" w:eastAsia="Times New Roman" w:hAnsi="Aptos"/>
        </w:rPr>
        <w:t xml:space="preserve"> </w:t>
      </w:r>
      <w:hyperlink r:id="rId12" w:history="1">
        <w:r>
          <w:rPr>
            <w:rFonts w:ascii="Aptos" w:eastAsia="Times New Roman" w:hAnsi="Aptos"/>
          </w:rPr>
          <w:t>(Rupnik, Wilcox and Gerding, 2009)</w:t>
        </w:r>
      </w:hyperlink>
      <w:r>
        <w:t xml:space="preserve">. </w:t>
      </w:r>
      <w:r>
        <w:rPr>
          <w:rFonts w:ascii="Aptos" w:eastAsia="Times New Roman" w:hAnsi="Aptos"/>
        </w:rPr>
        <w:t xml:space="preserve">The main risk factor is </w:t>
      </w:r>
      <w:r>
        <w:rPr>
          <w:rFonts w:ascii="Aptos" w:eastAsia="Times New Roman" w:hAnsi="Aptos"/>
          <w:kern w:val="0"/>
          <w14:ligatures w14:val="none"/>
        </w:rPr>
        <w:t xml:space="preserve">antibiotics, which disrupt the gut microbiota and create conditions suitable for colonization by reducing the natural ability of the commensal ecosystem to resist colonization </w:t>
      </w:r>
      <w:hyperlink r:id="rId13" w:history="1">
        <w:r>
          <w:rPr>
            <w:rFonts w:ascii="Aptos" w:eastAsia="Times New Roman" w:hAnsi="Aptos"/>
          </w:rPr>
          <w:t>(Buffie and Pamer, 2013)</w:t>
        </w:r>
      </w:hyperlink>
      <w:r>
        <w:rPr>
          <w:rFonts w:ascii="Aptos" w:eastAsia="Times New Roman" w:hAnsi="Aptos"/>
          <w:kern w:val="0"/>
          <w14:ligatures w14:val="none"/>
        </w:rPr>
        <w:t>.</w:t>
      </w:r>
      <w:r>
        <w:rPr>
          <w:rFonts w:ascii="Aptos" w:eastAsia="Times New Roman" w:hAnsi="Aptos"/>
        </w:rPr>
        <w:t xml:space="preserve"> Paradoxically, antibiotic treatment is the standard treatment against </w:t>
      </w:r>
      <w:r>
        <w:rPr>
          <w:rFonts w:ascii="Aptos" w:eastAsia="Times New Roman" w:hAnsi="Aptos"/>
          <w:i/>
          <w:iCs/>
        </w:rPr>
        <w:t xml:space="preserve">C. difficile </w:t>
      </w:r>
      <w:r>
        <w:rPr>
          <w:rFonts w:ascii="Aptos" w:eastAsia="Times New Roman" w:hAnsi="Aptos"/>
        </w:rPr>
        <w:t xml:space="preserve">infection, perpetuating the gut dysbiosis and facilitating recurrence, which occurs in 30% of cases </w:t>
      </w:r>
      <w:hyperlink r:id="rId14" w:history="1">
        <w:r>
          <w:rPr>
            <w:rFonts w:ascii="Aptos" w:eastAsia="Times New Roman" w:hAnsi="Aptos"/>
          </w:rPr>
          <w:t>(Kelly and LaMont, 2008)</w:t>
        </w:r>
      </w:hyperlink>
      <w:r>
        <w:rPr>
          <w:rFonts w:ascii="Aptos" w:eastAsia="Times New Roman" w:hAnsi="Aptos"/>
        </w:rPr>
        <w:t>.</w:t>
      </w:r>
      <w:r w:rsidRPr="00F950E1">
        <w:rPr>
          <w:rFonts w:ascii="Aptos" w:eastAsia="Times New Roman" w:hAnsi="Aptos"/>
        </w:rPr>
        <w:t xml:space="preserve"> </w:t>
      </w:r>
      <w:r>
        <w:rPr>
          <w:rFonts w:ascii="Aptos" w:eastAsia="Times New Roman" w:hAnsi="Aptos"/>
        </w:rPr>
        <w:t>This paradox creates the need for a different therapy.</w:t>
      </w:r>
    </w:p>
    <w:p w14:paraId="58EE6353" w14:textId="77777777" w:rsidR="00680BCC" w:rsidRDefault="00680BCC" w:rsidP="00DE1516">
      <w:pPr>
        <w:ind w:firstLine="720"/>
        <w:rPr>
          <w:rFonts w:ascii="Aptos" w:eastAsia="Times New Roman" w:hAnsi="Aptos"/>
        </w:rPr>
      </w:pPr>
      <w:r>
        <w:rPr>
          <w:rFonts w:ascii="Aptos" w:eastAsia="Times New Roman" w:hAnsi="Aptos"/>
        </w:rPr>
        <w:t>Live biotherapeutics are a promising alternative. Fecal</w:t>
      </w:r>
      <w:r>
        <w:rPr>
          <w:rFonts w:ascii="Aptos" w:eastAsia="Times New Roman" w:hAnsi="Aptos"/>
          <w:kern w:val="0"/>
          <w14:ligatures w14:val="none"/>
        </w:rPr>
        <w:t xml:space="preserve"> microbiota transplantation (FMT) restores the commensal gut microbiota and has been shown to</w:t>
      </w:r>
      <w:r>
        <w:rPr>
          <w:rFonts w:ascii="Aptos" w:eastAsia="Times New Roman" w:hAnsi="Aptos"/>
        </w:rPr>
        <w:t xml:space="preserve"> treat recurrent infection </w:t>
      </w:r>
      <w:hyperlink r:id="rId15" w:history="1">
        <w:r>
          <w:rPr>
            <w:rFonts w:ascii="Aptos" w:eastAsia="Times New Roman" w:hAnsi="Aptos"/>
          </w:rPr>
          <w:t>(Liubakka and Vaughn, 2016)</w:t>
        </w:r>
      </w:hyperlink>
      <w:r>
        <w:rPr>
          <w:rFonts w:ascii="Aptos" w:eastAsia="Times New Roman" w:hAnsi="Aptos"/>
        </w:rPr>
        <w:t xml:space="preserve"> </w:t>
      </w:r>
      <w:hyperlink r:id="rId16" w:history="1">
        <w:r>
          <w:rPr>
            <w:rFonts w:ascii="Aptos" w:eastAsia="Times New Roman" w:hAnsi="Aptos"/>
          </w:rPr>
          <w:t>(van Nood </w:t>
        </w:r>
        <w:r>
          <w:rPr>
            <w:rFonts w:ascii="Aptos" w:eastAsia="Times New Roman" w:hAnsi="Aptos"/>
            <w:i/>
          </w:rPr>
          <w:t>et al.</w:t>
        </w:r>
        <w:r>
          <w:rPr>
            <w:rFonts w:ascii="Aptos" w:eastAsia="Times New Roman" w:hAnsi="Aptos"/>
          </w:rPr>
          <w:t>, 2013)</w:t>
        </w:r>
      </w:hyperlink>
      <w:r>
        <w:rPr>
          <w:rFonts w:ascii="Aptos" w:eastAsia="Times New Roman" w:hAnsi="Aptos"/>
        </w:rPr>
        <w:t xml:space="preserve">. Still, FMT is investigational and is only permitted for cases unresponsive to antibiotics due to safety concerns </w:t>
      </w:r>
      <w:hyperlink r:id="rId17" w:history="1">
        <w:r>
          <w:rPr>
            <w:rFonts w:ascii="Aptos" w:eastAsia="Times New Roman" w:hAnsi="Aptos"/>
          </w:rPr>
          <w:t>(McDonald </w:t>
        </w:r>
        <w:r>
          <w:rPr>
            <w:rFonts w:ascii="Aptos" w:eastAsia="Times New Roman" w:hAnsi="Aptos"/>
            <w:i/>
          </w:rPr>
          <w:t>et al.</w:t>
        </w:r>
        <w:r>
          <w:rPr>
            <w:rFonts w:ascii="Aptos" w:eastAsia="Times New Roman" w:hAnsi="Aptos"/>
          </w:rPr>
          <w:t>, 2018)</w:t>
        </w:r>
      </w:hyperlink>
      <w:r>
        <w:rPr>
          <w:rFonts w:ascii="Aptos" w:eastAsia="Times New Roman" w:hAnsi="Aptos"/>
        </w:rPr>
        <w:t xml:space="preserve">; FMT can expose patients to new risks such as antibiotic-resistant pathogens contained in donor feces (FDA, March 2020) </w:t>
      </w:r>
      <w:hyperlink r:id="rId18" w:history="1">
        <w:r>
          <w:rPr>
            <w:rFonts w:ascii="Aptos" w:eastAsia="Times New Roman" w:hAnsi="Aptos"/>
          </w:rPr>
          <w:t>(</w:t>
        </w:r>
        <w:r>
          <w:rPr>
            <w:rFonts w:ascii="Aptos" w:eastAsia="Times New Roman" w:hAnsi="Aptos"/>
            <w:i/>
          </w:rPr>
          <w:t>Safety Alert Regarding Use of Fecal Microbiota for Transplantation and Risk of Serious Adverse Events Likely Due to Transmission of Pathogenic Organisms | FDA</w:t>
        </w:r>
        <w:r>
          <w:rPr>
            <w:rFonts w:ascii="Aptos" w:eastAsia="Times New Roman" w:hAnsi="Aptos"/>
          </w:rPr>
          <w:t>, no date)</w:t>
        </w:r>
      </w:hyperlink>
      <w:r>
        <w:rPr>
          <w:rFonts w:ascii="Aptos" w:eastAsia="Times New Roman" w:hAnsi="Aptos"/>
        </w:rPr>
        <w:t xml:space="preserve">. Probiotics can </w:t>
      </w:r>
      <w:r w:rsidRPr="00561CCB">
        <w:rPr>
          <w:rFonts w:ascii="Aptos" w:eastAsia="Times New Roman" w:hAnsi="Aptos"/>
        </w:rPr>
        <w:t xml:space="preserve">lower the risk of </w:t>
      </w:r>
      <w:r w:rsidRPr="008F3061">
        <w:rPr>
          <w:rFonts w:ascii="Aptos" w:eastAsia="Times New Roman" w:hAnsi="Aptos"/>
          <w:i/>
          <w:iCs/>
        </w:rPr>
        <w:t>C. difficile</w:t>
      </w:r>
      <w:r>
        <w:rPr>
          <w:rFonts w:ascii="Aptos" w:eastAsia="Times New Roman" w:hAnsi="Aptos"/>
        </w:rPr>
        <w:t xml:space="preserve"> infection without the safety concerns of FMT </w:t>
      </w:r>
      <w:hyperlink r:id="rId19" w:history="1">
        <w:r>
          <w:rPr>
            <w:rFonts w:ascii="Aptos" w:eastAsia="Times New Roman" w:hAnsi="Aptos"/>
          </w:rPr>
          <w:t>(Al Sharaby </w:t>
        </w:r>
        <w:r>
          <w:rPr>
            <w:rFonts w:ascii="Aptos" w:eastAsia="Times New Roman" w:hAnsi="Aptos"/>
            <w:i/>
          </w:rPr>
          <w:t>et al.</w:t>
        </w:r>
        <w:r>
          <w:rPr>
            <w:rFonts w:ascii="Aptos" w:eastAsia="Times New Roman" w:hAnsi="Aptos"/>
          </w:rPr>
          <w:t>, 2022)</w:t>
        </w:r>
      </w:hyperlink>
      <w:r>
        <w:rPr>
          <w:rFonts w:ascii="Aptos" w:eastAsia="Times New Roman" w:hAnsi="Aptos"/>
        </w:rPr>
        <w:t>. However,</w:t>
      </w:r>
      <w:r w:rsidRPr="00561CCB">
        <w:rPr>
          <w:rFonts w:ascii="Aptos" w:eastAsia="Times New Roman" w:hAnsi="Aptos"/>
        </w:rPr>
        <w:t xml:space="preserve"> differences in probiotic formulations, </w:t>
      </w:r>
      <w:r>
        <w:rPr>
          <w:rFonts w:ascii="Aptos" w:eastAsia="Times New Roman" w:hAnsi="Aptos"/>
        </w:rPr>
        <w:t>administration</w:t>
      </w:r>
      <w:r w:rsidRPr="00561CCB">
        <w:rPr>
          <w:rFonts w:ascii="Aptos" w:eastAsia="Times New Roman" w:hAnsi="Aptos"/>
        </w:rPr>
        <w:t xml:space="preserve"> </w:t>
      </w:r>
      <w:r>
        <w:rPr>
          <w:rFonts w:ascii="Aptos" w:eastAsia="Times New Roman" w:hAnsi="Aptos"/>
        </w:rPr>
        <w:t>timing</w:t>
      </w:r>
      <w:r w:rsidRPr="00561CCB">
        <w:rPr>
          <w:rFonts w:ascii="Aptos" w:eastAsia="Times New Roman" w:hAnsi="Aptos"/>
        </w:rPr>
        <w:t xml:space="preserve">, and study </w:t>
      </w:r>
      <w:r>
        <w:rPr>
          <w:rFonts w:ascii="Aptos" w:eastAsia="Times New Roman" w:hAnsi="Aptos"/>
          <w:kern w:val="0"/>
          <w14:ligatures w14:val="none"/>
        </w:rPr>
        <w:t xml:space="preserve">duration have led to inconsistent results </w:t>
      </w:r>
      <w:hyperlink r:id="rId20" w:history="1">
        <w:r>
          <w:rPr>
            <w:rFonts w:ascii="Aptos" w:eastAsia="Times New Roman" w:hAnsi="Aptos"/>
          </w:rPr>
          <w:t>(Allen </w:t>
        </w:r>
        <w:r>
          <w:rPr>
            <w:rFonts w:ascii="Aptos" w:eastAsia="Times New Roman" w:hAnsi="Aptos"/>
            <w:i/>
          </w:rPr>
          <w:t>et al.</w:t>
        </w:r>
        <w:r>
          <w:rPr>
            <w:rFonts w:ascii="Aptos" w:eastAsia="Times New Roman" w:hAnsi="Aptos"/>
          </w:rPr>
          <w:t>, 2013)</w:t>
        </w:r>
      </w:hyperlink>
      <w:r>
        <w:rPr>
          <w:rFonts w:ascii="Aptos" w:eastAsia="Times New Roman" w:hAnsi="Aptos"/>
          <w:kern w:val="0"/>
          <w14:ligatures w14:val="none"/>
        </w:rPr>
        <w:t>.</w:t>
      </w:r>
      <w:r>
        <w:rPr>
          <w:rFonts w:ascii="Aptos" w:eastAsia="Times New Roman" w:hAnsi="Aptos"/>
        </w:rPr>
        <w:t xml:space="preserve"> Patients asymptomatically colonized with a primary symptomless </w:t>
      </w:r>
      <w:r>
        <w:rPr>
          <w:rFonts w:ascii="Aptos" w:eastAsia="Times New Roman" w:hAnsi="Aptos"/>
          <w:i/>
          <w:iCs/>
        </w:rPr>
        <w:t xml:space="preserve">C. difficile </w:t>
      </w:r>
      <w:r>
        <w:rPr>
          <w:rFonts w:ascii="Aptos" w:eastAsia="Times New Roman" w:hAnsi="Aptos"/>
        </w:rPr>
        <w:t xml:space="preserve">have a lower risk of developing disease </w:t>
      </w:r>
      <w:hyperlink r:id="rId21" w:history="1">
        <w:r>
          <w:rPr>
            <w:rFonts w:ascii="Aptos" w:eastAsia="Times New Roman" w:hAnsi="Aptos"/>
          </w:rPr>
          <w:t>(Shim </w:t>
        </w:r>
        <w:r>
          <w:rPr>
            <w:rFonts w:ascii="Aptos" w:eastAsia="Times New Roman" w:hAnsi="Aptos"/>
            <w:i/>
          </w:rPr>
          <w:t>et al.</w:t>
        </w:r>
        <w:r>
          <w:rPr>
            <w:rFonts w:ascii="Aptos" w:eastAsia="Times New Roman" w:hAnsi="Aptos"/>
          </w:rPr>
          <w:t>, 1998)</w:t>
        </w:r>
      </w:hyperlink>
      <w:r>
        <w:rPr>
          <w:rFonts w:ascii="Aptos" w:eastAsia="Times New Roman" w:hAnsi="Aptos"/>
        </w:rPr>
        <w:t xml:space="preserve">. This observation has motivated clinical trials, but the exact mechanisms </w:t>
      </w:r>
      <w:r w:rsidRPr="003D13CA">
        <w:rPr>
          <w:rFonts w:ascii="Aptos" w:eastAsia="Times New Roman" w:hAnsi="Aptos"/>
        </w:rPr>
        <w:t>underlying</w:t>
      </w:r>
      <w:r>
        <w:rPr>
          <w:rFonts w:ascii="Aptos" w:eastAsia="Times New Roman" w:hAnsi="Aptos"/>
        </w:rPr>
        <w:t xml:space="preserve"> the protection that an avirulent </w:t>
      </w:r>
      <w:r>
        <w:rPr>
          <w:rFonts w:ascii="Aptos" w:eastAsia="Times New Roman" w:hAnsi="Aptos"/>
          <w:i/>
          <w:iCs/>
        </w:rPr>
        <w:t xml:space="preserve">C. difficile </w:t>
      </w:r>
      <w:r w:rsidRPr="000D4ACF">
        <w:rPr>
          <w:rFonts w:ascii="Aptos" w:eastAsia="Times New Roman" w:hAnsi="Aptos"/>
        </w:rPr>
        <w:t>provides</w:t>
      </w:r>
      <w:r>
        <w:rPr>
          <w:rFonts w:ascii="Aptos" w:eastAsia="Times New Roman" w:hAnsi="Aptos"/>
          <w:i/>
          <w:iCs/>
        </w:rPr>
        <w:t xml:space="preserve"> </w:t>
      </w:r>
      <w:r>
        <w:rPr>
          <w:rFonts w:ascii="Aptos" w:eastAsia="Times New Roman" w:hAnsi="Aptos"/>
        </w:rPr>
        <w:t>against a more virulent one</w:t>
      </w:r>
      <w:r w:rsidDel="007B1BFB">
        <w:rPr>
          <w:rFonts w:ascii="Aptos" w:eastAsia="Times New Roman" w:hAnsi="Aptos"/>
        </w:rPr>
        <w:t xml:space="preserve"> </w:t>
      </w:r>
      <w:r>
        <w:rPr>
          <w:rFonts w:ascii="Aptos" w:eastAsia="Times New Roman" w:hAnsi="Aptos"/>
        </w:rPr>
        <w:t>remain unclear. Animal models offer</w:t>
      </w:r>
      <w:r w:rsidRPr="003D13CA">
        <w:rPr>
          <w:rFonts w:ascii="Aptos" w:eastAsia="Times New Roman" w:hAnsi="Aptos"/>
        </w:rPr>
        <w:t xml:space="preserve"> the </w:t>
      </w:r>
      <w:r>
        <w:rPr>
          <w:rFonts w:ascii="Aptos" w:eastAsia="Times New Roman" w:hAnsi="Aptos"/>
        </w:rPr>
        <w:t>opportun</w:t>
      </w:r>
      <w:r w:rsidRPr="003D13CA">
        <w:rPr>
          <w:rFonts w:ascii="Aptos" w:eastAsia="Times New Roman" w:hAnsi="Aptos"/>
        </w:rPr>
        <w:t xml:space="preserve">ity </w:t>
      </w:r>
      <w:r>
        <w:rPr>
          <w:rFonts w:ascii="Aptos" w:eastAsia="Times New Roman" w:hAnsi="Aptos"/>
        </w:rPr>
        <w:t>to</w:t>
      </w:r>
      <w:r w:rsidRPr="003D13CA">
        <w:rPr>
          <w:rFonts w:ascii="Aptos" w:eastAsia="Times New Roman" w:hAnsi="Aptos"/>
        </w:rPr>
        <w:t xml:space="preserve"> discover the mechanism</w:t>
      </w:r>
      <w:r>
        <w:rPr>
          <w:rFonts w:ascii="Aptos" w:eastAsia="Times New Roman" w:hAnsi="Aptos"/>
        </w:rPr>
        <w:t xml:space="preserve">. For example, the non-toxigenic </w:t>
      </w:r>
      <w:r w:rsidRPr="00535A72">
        <w:rPr>
          <w:rFonts w:ascii="Aptos" w:eastAsia="Times New Roman" w:hAnsi="Aptos"/>
          <w:i/>
          <w:iCs/>
        </w:rPr>
        <w:t>C. difficile</w:t>
      </w:r>
      <w:r>
        <w:rPr>
          <w:rFonts w:ascii="Aptos" w:eastAsia="Times New Roman" w:hAnsi="Aptos"/>
        </w:rPr>
        <w:t xml:space="preserve"> strain (NTCD)-M3 protects against a virulent strain in hamsters </w:t>
      </w:r>
      <w:hyperlink r:id="rId22" w:history="1">
        <w:r>
          <w:rPr>
            <w:rFonts w:ascii="Aptos" w:eastAsia="Times New Roman" w:hAnsi="Aptos"/>
          </w:rPr>
          <w:t>(Borriello and Barclay, 1985)</w:t>
        </w:r>
      </w:hyperlink>
      <w:r>
        <w:rPr>
          <w:rFonts w:ascii="Aptos" w:eastAsia="Times New Roman" w:hAnsi="Aptos"/>
        </w:rPr>
        <w:t xml:space="preserve"> </w:t>
      </w:r>
      <w:hyperlink r:id="rId23" w:history="1">
        <w:r>
          <w:rPr>
            <w:rFonts w:ascii="Aptos" w:eastAsia="Times New Roman" w:hAnsi="Aptos"/>
          </w:rPr>
          <w:t>(Merrigan </w:t>
        </w:r>
        <w:r>
          <w:rPr>
            <w:rFonts w:ascii="Aptos" w:eastAsia="Times New Roman" w:hAnsi="Aptos"/>
            <w:i/>
          </w:rPr>
          <w:t>et al.</w:t>
        </w:r>
        <w:r>
          <w:rPr>
            <w:rFonts w:ascii="Aptos" w:eastAsia="Times New Roman" w:hAnsi="Aptos"/>
          </w:rPr>
          <w:t>, 2003)</w:t>
        </w:r>
      </w:hyperlink>
      <w:r>
        <w:rPr>
          <w:rFonts w:ascii="Aptos" w:eastAsia="Times New Roman" w:hAnsi="Aptos"/>
        </w:rPr>
        <w:t xml:space="preserve">, and the results were consistent in a phase 2b clinical trial </w:t>
      </w:r>
      <w:hyperlink r:id="rId24" w:history="1">
        <w:r>
          <w:rPr>
            <w:rFonts w:ascii="Aptos" w:eastAsia="Times New Roman" w:hAnsi="Aptos"/>
          </w:rPr>
          <w:t>(Gerding </w:t>
        </w:r>
        <w:r>
          <w:rPr>
            <w:rFonts w:ascii="Aptos" w:eastAsia="Times New Roman" w:hAnsi="Aptos"/>
            <w:i/>
          </w:rPr>
          <w:t>et al.</w:t>
        </w:r>
        <w:r>
          <w:rPr>
            <w:rFonts w:ascii="Aptos" w:eastAsia="Times New Roman" w:hAnsi="Aptos"/>
          </w:rPr>
          <w:t>, 2015)</w:t>
        </w:r>
      </w:hyperlink>
      <w:r>
        <w:rPr>
          <w:rFonts w:ascii="Aptos" w:eastAsia="Times New Roman" w:hAnsi="Aptos"/>
        </w:rPr>
        <w:t xml:space="preserve">. In mice, the avirulent strain CD630 (a </w:t>
      </w:r>
      <w:proofErr w:type="spellStart"/>
      <w:r>
        <w:rPr>
          <w:rFonts w:ascii="Aptos" w:eastAsia="Times New Roman" w:hAnsi="Aptos"/>
        </w:rPr>
        <w:t>ribotype</w:t>
      </w:r>
      <w:proofErr w:type="spellEnd"/>
      <w:r>
        <w:rPr>
          <w:rFonts w:ascii="Aptos" w:eastAsia="Times New Roman" w:hAnsi="Aptos"/>
        </w:rPr>
        <w:t xml:space="preserve"> R012 strain) can colonize asymptomatically and consume glycine important for the spore germination of </w:t>
      </w:r>
      <w:proofErr w:type="spellStart"/>
      <w:r>
        <w:rPr>
          <w:rFonts w:ascii="Aptos" w:eastAsia="Times New Roman" w:hAnsi="Aptos"/>
        </w:rPr>
        <w:t>asecondary</w:t>
      </w:r>
      <w:proofErr w:type="spellEnd"/>
      <w:r>
        <w:rPr>
          <w:rFonts w:ascii="Aptos" w:eastAsia="Times New Roman" w:hAnsi="Aptos"/>
        </w:rPr>
        <w:t xml:space="preserve"> challenge by the more virulent </w:t>
      </w:r>
      <w:r w:rsidRPr="003D13CA">
        <w:rPr>
          <w:rFonts w:ascii="Aptos" w:eastAsia="Times New Roman" w:hAnsi="Aptos"/>
        </w:rPr>
        <w:t>VPI10463</w:t>
      </w:r>
      <w:r>
        <w:rPr>
          <w:rFonts w:ascii="Aptos" w:eastAsia="Times New Roman" w:hAnsi="Aptos"/>
        </w:rPr>
        <w:t xml:space="preserve"> </w:t>
      </w:r>
      <w:r w:rsidRPr="00535A72">
        <w:rPr>
          <w:rFonts w:ascii="Aptos" w:eastAsia="Times New Roman" w:hAnsi="Aptos"/>
          <w:i/>
          <w:iCs/>
        </w:rPr>
        <w:t>C. difficile</w:t>
      </w:r>
      <w:r>
        <w:rPr>
          <w:rFonts w:ascii="Aptos" w:eastAsia="Times New Roman" w:hAnsi="Aptos"/>
        </w:rPr>
        <w:t xml:space="preserve"> strain </w:t>
      </w:r>
      <w:hyperlink r:id="rId25" w:history="1">
        <w:r>
          <w:rPr>
            <w:rFonts w:ascii="Aptos" w:eastAsia="Times New Roman" w:hAnsi="Aptos"/>
          </w:rPr>
          <w:t>(Leslie </w:t>
        </w:r>
        <w:r>
          <w:rPr>
            <w:rFonts w:ascii="Aptos" w:eastAsia="Times New Roman" w:hAnsi="Aptos"/>
            <w:i/>
          </w:rPr>
          <w:t>et al.</w:t>
        </w:r>
        <w:r>
          <w:rPr>
            <w:rFonts w:ascii="Aptos" w:eastAsia="Times New Roman" w:hAnsi="Aptos"/>
          </w:rPr>
          <w:t>, 2021)</w:t>
        </w:r>
      </w:hyperlink>
      <w:r>
        <w:rPr>
          <w:rFonts w:ascii="Aptos" w:eastAsia="Times New Roman" w:hAnsi="Aptos"/>
        </w:rPr>
        <w:t>.</w:t>
      </w:r>
    </w:p>
    <w:p w14:paraId="4C6558AB" w14:textId="77777777" w:rsidR="00680BCC" w:rsidRDefault="00680BCC" w:rsidP="00421891">
      <w:pPr>
        <w:ind w:firstLine="720"/>
        <w:rPr>
          <w:rFonts w:ascii="Aptos" w:eastAsia="Times New Roman" w:hAnsi="Aptos"/>
        </w:rPr>
      </w:pPr>
      <w:r>
        <w:rPr>
          <w:rFonts w:ascii="Aptos" w:eastAsia="Times New Roman" w:hAnsi="Aptos"/>
        </w:rPr>
        <w:t xml:space="preserve">Selecting </w:t>
      </w:r>
      <w:r w:rsidRPr="000D4ACF">
        <w:rPr>
          <w:rFonts w:ascii="Aptos" w:eastAsia="Times New Roman" w:hAnsi="Aptos"/>
          <w:i/>
          <w:iCs/>
        </w:rPr>
        <w:t>C. difficile</w:t>
      </w:r>
      <w:r>
        <w:rPr>
          <w:rFonts w:ascii="Aptos" w:eastAsia="Times New Roman" w:hAnsi="Aptos"/>
        </w:rPr>
        <w:t xml:space="preserve"> strains for biotherapeutics is complicated by their vast genetic and phenotypic diversity </w:t>
      </w:r>
      <w:hyperlink r:id="rId26" w:history="1">
        <w:r>
          <w:rPr>
            <w:rFonts w:ascii="Aptos" w:eastAsia="Times New Roman" w:hAnsi="Aptos"/>
          </w:rPr>
          <w:t>(Lewis </w:t>
        </w:r>
        <w:r>
          <w:rPr>
            <w:rFonts w:ascii="Aptos" w:eastAsia="Times New Roman" w:hAnsi="Aptos"/>
            <w:i/>
          </w:rPr>
          <w:t>et al.</w:t>
        </w:r>
        <w:r>
          <w:rPr>
            <w:rFonts w:ascii="Aptos" w:eastAsia="Times New Roman" w:hAnsi="Aptos"/>
          </w:rPr>
          <w:t>, 2017; Miles‑Jay </w:t>
        </w:r>
        <w:r>
          <w:rPr>
            <w:rFonts w:ascii="Aptos" w:eastAsia="Times New Roman" w:hAnsi="Aptos"/>
            <w:i/>
          </w:rPr>
          <w:t>et al.</w:t>
        </w:r>
        <w:r>
          <w:rPr>
            <w:rFonts w:ascii="Aptos" w:eastAsia="Times New Roman" w:hAnsi="Aptos"/>
          </w:rPr>
          <w:t>, 2021)</w:t>
        </w:r>
      </w:hyperlink>
      <w:r>
        <w:rPr>
          <w:rFonts w:ascii="Aptos" w:eastAsia="Times New Roman" w:hAnsi="Aptos"/>
        </w:rPr>
        <w:t xml:space="preserve">. A recent study of </w:t>
      </w:r>
      <w:r w:rsidRPr="00C97953">
        <w:rPr>
          <w:rFonts w:ascii="Aptos" w:eastAsia="Times New Roman" w:hAnsi="Aptos"/>
          <w:kern w:val="0"/>
          <w14:ligatures w14:val="none"/>
        </w:rPr>
        <w:t>451</w:t>
      </w:r>
      <w:r>
        <w:rPr>
          <w:rFonts w:ascii="Aptos" w:eastAsia="Times New Roman" w:hAnsi="Aptos"/>
          <w:kern w:val="0"/>
          <w14:ligatures w14:val="none"/>
        </w:rPr>
        <w:t xml:space="preserve"> genomes </w:t>
      </w:r>
      <w:r>
        <w:rPr>
          <w:rFonts w:ascii="Aptos" w:eastAsia="Times New Roman" w:hAnsi="Aptos"/>
        </w:rPr>
        <w:t>documented</w:t>
      </w:r>
      <w:r w:rsidRPr="00C97953">
        <w:rPr>
          <w:rFonts w:ascii="Aptos" w:eastAsia="Times New Roman" w:hAnsi="Aptos"/>
          <w:kern w:val="0"/>
          <w14:ligatures w14:val="none"/>
        </w:rPr>
        <w:t xml:space="preserve"> extensive genetic diversity, with only 2,899 genes (29%) defined as core, 2,968 genes (30%) unique to individual strains, and thousands of accessory genes</w:t>
      </w:r>
      <w:r>
        <w:rPr>
          <w:rFonts w:ascii="Aptos" w:eastAsia="Times New Roman" w:hAnsi="Aptos"/>
          <w:kern w:val="0"/>
          <w14:ligatures w14:val="none"/>
        </w:rPr>
        <w:t xml:space="preserve">, </w:t>
      </w:r>
      <w:r w:rsidRPr="00C97953">
        <w:rPr>
          <w:rFonts w:ascii="Aptos" w:eastAsia="Times New Roman" w:hAnsi="Aptos"/>
          <w:kern w:val="0"/>
          <w14:ligatures w14:val="none"/>
        </w:rPr>
        <w:lastRenderedPageBreak/>
        <w:t>4,057 (41%)</w:t>
      </w:r>
      <w:r>
        <w:rPr>
          <w:rFonts w:ascii="Aptos" w:eastAsia="Times New Roman" w:hAnsi="Aptos"/>
          <w:kern w:val="0"/>
          <w14:ligatures w14:val="none"/>
        </w:rPr>
        <w:t xml:space="preserve"> </w:t>
      </w:r>
      <w:hyperlink r:id="rId27" w:history="1">
        <w:r>
          <w:rPr>
            <w:rFonts w:ascii="Aptos" w:eastAsia="Times New Roman" w:hAnsi="Aptos"/>
          </w:rPr>
          <w:t>(Norsigian </w:t>
        </w:r>
        <w:r>
          <w:rPr>
            <w:rFonts w:ascii="Aptos" w:eastAsia="Times New Roman" w:hAnsi="Aptos"/>
            <w:i/>
          </w:rPr>
          <w:t>et al.</w:t>
        </w:r>
        <w:r>
          <w:rPr>
            <w:rFonts w:ascii="Aptos" w:eastAsia="Times New Roman" w:hAnsi="Aptos"/>
          </w:rPr>
          <w:t>, 2022)</w:t>
        </w:r>
      </w:hyperlink>
      <w:r>
        <w:rPr>
          <w:rFonts w:ascii="Aptos" w:eastAsia="Times New Roman" w:hAnsi="Aptos"/>
          <w:kern w:val="0"/>
          <w14:ligatures w14:val="none"/>
        </w:rPr>
        <w:t xml:space="preserve">.  </w:t>
      </w:r>
      <w:r>
        <w:rPr>
          <w:rFonts w:ascii="Aptos" w:eastAsia="Times New Roman" w:hAnsi="Aptos"/>
        </w:rPr>
        <w:t xml:space="preserve">Another study, using 23 strains from MLST1, showed that </w:t>
      </w:r>
      <w:r>
        <w:rPr>
          <w:rFonts w:ascii="Aptos" w:eastAsia="Times New Roman" w:hAnsi="Aptos"/>
          <w:kern w:val="0"/>
          <w14:ligatures w14:val="none"/>
        </w:rPr>
        <w:t xml:space="preserve">virulence can vary widely even among closely related strains </w:t>
      </w:r>
      <w:hyperlink r:id="rId28" w:history="1">
        <w:r>
          <w:rPr>
            <w:rFonts w:ascii="Aptos" w:eastAsia="Times New Roman" w:hAnsi="Aptos"/>
          </w:rPr>
          <w:t>(Dong </w:t>
        </w:r>
        <w:r>
          <w:rPr>
            <w:rFonts w:ascii="Aptos" w:eastAsia="Times New Roman" w:hAnsi="Aptos"/>
            <w:i/>
          </w:rPr>
          <w:t>et al.</w:t>
        </w:r>
        <w:r>
          <w:rPr>
            <w:rFonts w:ascii="Aptos" w:eastAsia="Times New Roman" w:hAnsi="Aptos"/>
          </w:rPr>
          <w:t>, 2023a)</w:t>
        </w:r>
      </w:hyperlink>
      <w:r>
        <w:rPr>
          <w:rFonts w:ascii="Aptos" w:eastAsia="Times New Roman" w:hAnsi="Aptos"/>
          <w:kern w:val="0"/>
          <w14:ligatures w14:val="none"/>
        </w:rPr>
        <w:t>.</w:t>
      </w:r>
      <w:r>
        <w:rPr>
          <w:rFonts w:ascii="Aptos" w:eastAsia="Times New Roman" w:hAnsi="Aptos"/>
        </w:rPr>
        <w:t xml:space="preserve"> That study identified two avirulent strains, ST1.75 and ST1.35, that shared a genetic variant—a 69-bp deletion in the response regulator for the binary toxin, </w:t>
      </w:r>
      <w:proofErr w:type="spellStart"/>
      <w:r w:rsidRPr="008F5304">
        <w:rPr>
          <w:rFonts w:ascii="Aptos" w:eastAsia="Times New Roman" w:hAnsi="Aptos"/>
          <w:i/>
          <w:iCs/>
        </w:rPr>
        <w:t>cdtR</w:t>
      </w:r>
      <w:proofErr w:type="spellEnd"/>
      <w:r>
        <w:rPr>
          <w:rFonts w:ascii="Aptos" w:eastAsia="Times New Roman" w:hAnsi="Aptos"/>
        </w:rPr>
        <w:t xml:space="preserve">—but not all avirulent strains carried that deletion. A follow-up study showed that MLST1 </w:t>
      </w:r>
      <w:r w:rsidRPr="00FD6F26">
        <w:rPr>
          <w:rFonts w:ascii="Aptos" w:eastAsia="Times New Roman" w:hAnsi="Aptos"/>
        </w:rPr>
        <w:t xml:space="preserve">isolates </w:t>
      </w:r>
      <w:r>
        <w:rPr>
          <w:rFonts w:ascii="Aptos" w:eastAsia="Times New Roman" w:hAnsi="Aptos"/>
        </w:rPr>
        <w:t>with</w:t>
      </w:r>
      <w:r w:rsidRPr="00FD6F26">
        <w:rPr>
          <w:rFonts w:ascii="Aptos" w:eastAsia="Times New Roman" w:hAnsi="Aptos"/>
        </w:rPr>
        <w:t xml:space="preserve"> heterogene</w:t>
      </w:r>
      <w:r>
        <w:rPr>
          <w:rFonts w:ascii="Aptos" w:eastAsia="Times New Roman" w:hAnsi="Aptos"/>
        </w:rPr>
        <w:t>ous</w:t>
      </w:r>
      <w:r w:rsidRPr="00FD6F26">
        <w:rPr>
          <w:rFonts w:ascii="Aptos" w:eastAsia="Times New Roman" w:hAnsi="Aptos"/>
        </w:rPr>
        <w:t xml:space="preserve"> </w:t>
      </w:r>
      <w:r>
        <w:rPr>
          <w:rFonts w:ascii="Aptos" w:eastAsia="Times New Roman" w:hAnsi="Aptos"/>
          <w:kern w:val="0"/>
          <w14:ligatures w14:val="none"/>
        </w:rPr>
        <w:t xml:space="preserve">flagellar gene expression exhibit greater virulence </w:t>
      </w:r>
      <w:r>
        <w:rPr>
          <w:rFonts w:ascii="Aptos" w:eastAsia="Times New Roman" w:hAnsi="Aptos"/>
          <w:i/>
          <w:iCs/>
          <w:kern w:val="0"/>
          <w14:ligatures w14:val="none"/>
        </w:rPr>
        <w:t>in vivo</w:t>
      </w:r>
      <w:r>
        <w:rPr>
          <w:rFonts w:ascii="Aptos" w:eastAsia="Times New Roman" w:hAnsi="Aptos"/>
          <w:kern w:val="0"/>
          <w14:ligatures w14:val="none"/>
        </w:rPr>
        <w:t xml:space="preserve">, providing another genetic explanation </w:t>
      </w:r>
      <w:hyperlink r:id="rId29" w:history="1">
        <w:r>
          <w:rPr>
            <w:rFonts w:ascii="Aptos" w:eastAsia="Times New Roman" w:hAnsi="Aptos"/>
          </w:rPr>
          <w:t>(Nhu </w:t>
        </w:r>
        <w:r>
          <w:rPr>
            <w:rFonts w:ascii="Aptos" w:eastAsia="Times New Roman" w:hAnsi="Aptos"/>
            <w:i/>
          </w:rPr>
          <w:t>et al.</w:t>
        </w:r>
        <w:r>
          <w:rPr>
            <w:rFonts w:ascii="Aptos" w:eastAsia="Times New Roman" w:hAnsi="Aptos"/>
          </w:rPr>
          <w:t>, 2025)</w:t>
        </w:r>
      </w:hyperlink>
      <w:r>
        <w:rPr>
          <w:rFonts w:ascii="Aptos" w:eastAsia="Times New Roman" w:hAnsi="Aptos"/>
          <w:kern w:val="0"/>
          <w14:ligatures w14:val="none"/>
        </w:rPr>
        <w:t>.</w:t>
      </w:r>
      <w:r>
        <w:rPr>
          <w:rFonts w:ascii="Aptos" w:eastAsia="Times New Roman" w:hAnsi="Aptos"/>
        </w:rPr>
        <w:t xml:space="preserve"> The genetically encoded ability to utilize specific nutrients may also matter for virulence . T</w:t>
      </w:r>
      <w:r w:rsidRPr="008F5304">
        <w:rPr>
          <w:rFonts w:ascii="Aptos" w:eastAsia="Times New Roman" w:hAnsi="Aptos"/>
        </w:rPr>
        <w:t>he BI/NAP1/027 strain</w:t>
      </w:r>
      <w:r>
        <w:rPr>
          <w:rFonts w:ascii="Aptos" w:eastAsia="Times New Roman" w:hAnsi="Aptos"/>
        </w:rPr>
        <w:t>, i</w:t>
      </w:r>
      <w:r w:rsidRPr="008F5304">
        <w:rPr>
          <w:rFonts w:ascii="Aptos" w:eastAsia="Times New Roman" w:hAnsi="Aptos"/>
        </w:rPr>
        <w:t>dentified as sequence type 1 (ST1)</w:t>
      </w:r>
      <w:r>
        <w:rPr>
          <w:rFonts w:ascii="Aptos" w:eastAsia="Times New Roman" w:hAnsi="Aptos"/>
        </w:rPr>
        <w:t xml:space="preserve">, </w:t>
      </w:r>
      <w:r w:rsidRPr="008F5304">
        <w:rPr>
          <w:rFonts w:ascii="Aptos" w:eastAsia="Times New Roman" w:hAnsi="Aptos"/>
        </w:rPr>
        <w:t xml:space="preserve">linked to a surge in </w:t>
      </w:r>
      <w:r w:rsidRPr="008F5304">
        <w:rPr>
          <w:rFonts w:ascii="Aptos" w:eastAsia="Times New Roman" w:hAnsi="Aptos"/>
          <w:i/>
          <w:iCs/>
        </w:rPr>
        <w:t>C. difficile</w:t>
      </w:r>
      <w:r w:rsidRPr="008F5304">
        <w:rPr>
          <w:rFonts w:ascii="Aptos" w:eastAsia="Times New Roman" w:hAnsi="Aptos"/>
        </w:rPr>
        <w:t xml:space="preserve"> infection</w:t>
      </w:r>
      <w:r>
        <w:rPr>
          <w:rFonts w:ascii="Aptos" w:eastAsia="Times New Roman" w:hAnsi="Aptos"/>
        </w:rPr>
        <w:t>s</w:t>
      </w:r>
      <w:r w:rsidRPr="008F5304">
        <w:rPr>
          <w:rFonts w:ascii="Aptos" w:eastAsia="Times New Roman" w:hAnsi="Aptos"/>
        </w:rPr>
        <w:t xml:space="preserve"> across North America and Europe</w:t>
      </w:r>
      <w:r>
        <w:rPr>
          <w:rFonts w:ascii="Aptos" w:eastAsia="Times New Roman" w:hAnsi="Aptos"/>
        </w:rPr>
        <w:t xml:space="preserve"> </w:t>
      </w:r>
      <w:hyperlink r:id="rId30" w:history="1">
        <w:r>
          <w:rPr>
            <w:rFonts w:ascii="Aptos" w:eastAsia="Times New Roman" w:hAnsi="Aptos"/>
          </w:rPr>
          <w:t>(Rao </w:t>
        </w:r>
        <w:r>
          <w:rPr>
            <w:rFonts w:ascii="Aptos" w:eastAsia="Times New Roman" w:hAnsi="Aptos"/>
            <w:i/>
          </w:rPr>
          <w:t>et al.</w:t>
        </w:r>
        <w:r>
          <w:rPr>
            <w:rFonts w:ascii="Aptos" w:eastAsia="Times New Roman" w:hAnsi="Aptos"/>
          </w:rPr>
          <w:t>, 2015)</w:t>
        </w:r>
      </w:hyperlink>
      <w:r>
        <w:rPr>
          <w:rFonts w:ascii="Aptos" w:eastAsia="Times New Roman" w:hAnsi="Aptos"/>
        </w:rPr>
        <w:t>, is partially explained by a metabolic trait: a single mutation in the trehalose repressor gene</w:t>
      </w:r>
      <w:r w:rsidDel="008773C8">
        <w:rPr>
          <w:rFonts w:ascii="Aptos" w:eastAsia="Times New Roman" w:hAnsi="Aptos"/>
        </w:rPr>
        <w:t xml:space="preserve"> </w:t>
      </w:r>
      <w:proofErr w:type="spellStart"/>
      <w:r>
        <w:rPr>
          <w:rFonts w:ascii="Aptos" w:eastAsia="Times New Roman" w:hAnsi="Aptos"/>
          <w:i/>
          <w:iCs/>
        </w:rPr>
        <w:t>treR</w:t>
      </w:r>
      <w:proofErr w:type="spellEnd"/>
      <w:r>
        <w:rPr>
          <w:rFonts w:ascii="Aptos" w:eastAsia="Times New Roman" w:hAnsi="Aptos"/>
        </w:rPr>
        <w:t xml:space="preserve">, thus increasing the sensitivity to trehalose by more than 500-fold </w:t>
      </w:r>
      <w:hyperlink r:id="rId31" w:history="1">
        <w:r>
          <w:rPr>
            <w:rFonts w:ascii="Aptos" w:eastAsia="Times New Roman" w:hAnsi="Aptos"/>
          </w:rPr>
          <w:t>(Collins </w:t>
        </w:r>
        <w:r>
          <w:rPr>
            <w:rFonts w:ascii="Aptos" w:eastAsia="Times New Roman" w:hAnsi="Aptos"/>
            <w:i/>
          </w:rPr>
          <w:t>et al.</w:t>
        </w:r>
        <w:r>
          <w:rPr>
            <w:rFonts w:ascii="Aptos" w:eastAsia="Times New Roman" w:hAnsi="Aptos"/>
          </w:rPr>
          <w:t>, 2018)</w:t>
        </w:r>
      </w:hyperlink>
      <w:r>
        <w:rPr>
          <w:rFonts w:ascii="Aptos" w:eastAsia="Times New Roman" w:hAnsi="Aptos"/>
        </w:rPr>
        <w:t xml:space="preserve">. Consistent with this notion, a more recent study showed ST1.75 depletes amino acids faster than the more virulent ST1 strain R20291 </w:t>
      </w:r>
      <w:hyperlink r:id="rId32" w:history="1">
        <w:r>
          <w:rPr>
            <w:rFonts w:ascii="Aptos" w:eastAsia="Times New Roman" w:hAnsi="Aptos"/>
          </w:rPr>
          <w:t>(Dong </w:t>
        </w:r>
        <w:r>
          <w:rPr>
            <w:rFonts w:ascii="Aptos" w:eastAsia="Times New Roman" w:hAnsi="Aptos"/>
            <w:i/>
          </w:rPr>
          <w:t>et al.</w:t>
        </w:r>
        <w:r>
          <w:rPr>
            <w:rFonts w:ascii="Aptos" w:eastAsia="Times New Roman" w:hAnsi="Aptos"/>
          </w:rPr>
          <w:t>, 2025)</w:t>
        </w:r>
      </w:hyperlink>
      <w:r w:rsidRPr="00797479">
        <w:rPr>
          <w:rFonts w:ascii="Aptos" w:eastAsia="Times New Roman" w:hAnsi="Aptos"/>
        </w:rPr>
        <w:t>.</w:t>
      </w:r>
      <w:r>
        <w:rPr>
          <w:rFonts w:ascii="Aptos" w:eastAsia="Times New Roman" w:hAnsi="Aptos"/>
        </w:rPr>
        <w:t xml:space="preserve"> Supplementing amino acids removes this advantage, suggesting that the protective strain prevents virulence via amino acid depletion.</w:t>
      </w:r>
    </w:p>
    <w:p w14:paraId="67077914" w14:textId="77777777" w:rsidR="00680BCC" w:rsidRDefault="00680BCC" w:rsidP="001C348A">
      <w:pPr>
        <w:ind w:firstLine="720"/>
      </w:pPr>
      <w:r>
        <w:rPr>
          <w:rFonts w:ascii="Aptos" w:hAnsi="Aptos"/>
          <w:color w:val="000000"/>
        </w:rPr>
        <w:t>We investigate 21 genetically similar ST1 strains differing in their virulence in a mono-infection model and their ability to buffer disease caused by a hypervirulent strain in a co-infection model. We find that ST1 strains vary widely in these phenotypes, and especially that avirulent strains vary in their protective ability. We</w:t>
      </w:r>
      <w:r w:rsidRPr="000D4ACF">
        <w:rPr>
          <w:rFonts w:ascii="Aptos" w:hAnsi="Aptos"/>
          <w:color w:val="000000"/>
        </w:rPr>
        <w:t xml:space="preserve"> rule out host immunity, microbiome changes, and </w:t>
      </w:r>
      <w:r>
        <w:rPr>
          <w:rFonts w:ascii="Aptos" w:hAnsi="Aptos"/>
          <w:color w:val="000000"/>
        </w:rPr>
        <w:t>genetic</w:t>
      </w:r>
      <w:r w:rsidRPr="000D4ACF">
        <w:rPr>
          <w:rFonts w:ascii="Aptos" w:hAnsi="Aptos"/>
          <w:color w:val="000000"/>
        </w:rPr>
        <w:t xml:space="preserve"> </w:t>
      </w:r>
      <w:r>
        <w:rPr>
          <w:rFonts w:ascii="Aptos" w:hAnsi="Aptos"/>
          <w:color w:val="000000"/>
        </w:rPr>
        <w:t>factor</w:t>
      </w:r>
      <w:r w:rsidRPr="000D4ACF">
        <w:rPr>
          <w:rFonts w:ascii="Aptos" w:hAnsi="Aptos"/>
          <w:color w:val="000000"/>
        </w:rPr>
        <w:t xml:space="preserve">s </w:t>
      </w:r>
      <w:r>
        <w:rPr>
          <w:rFonts w:ascii="Aptos" w:hAnsi="Aptos"/>
          <w:color w:val="000000"/>
        </w:rPr>
        <w:t>as drivers of protection.</w:t>
      </w:r>
      <w:r w:rsidRPr="000D4ACF">
        <w:rPr>
          <w:rFonts w:ascii="Aptos" w:hAnsi="Aptos"/>
          <w:color w:val="000000"/>
        </w:rPr>
        <w:t xml:space="preserve"> </w:t>
      </w:r>
      <w:r>
        <w:rPr>
          <w:rFonts w:ascii="Aptos" w:hAnsi="Aptos"/>
          <w:color w:val="000000"/>
        </w:rPr>
        <w:t>I</w:t>
      </w:r>
      <w:r w:rsidRPr="000D4ACF">
        <w:rPr>
          <w:rFonts w:ascii="Aptos" w:hAnsi="Aptos"/>
          <w:color w:val="000000"/>
        </w:rPr>
        <w:t xml:space="preserve">nstead, </w:t>
      </w:r>
      <w:r>
        <w:rPr>
          <w:rFonts w:ascii="Aptos" w:hAnsi="Aptos"/>
          <w:color w:val="000000"/>
        </w:rPr>
        <w:t>we find that protective strains</w:t>
      </w:r>
      <w:r w:rsidRPr="000D4ACF">
        <w:rPr>
          <w:rFonts w:ascii="Aptos" w:hAnsi="Aptos"/>
          <w:color w:val="000000"/>
        </w:rPr>
        <w:t xml:space="preserve"> </w:t>
      </w:r>
      <w:r>
        <w:rPr>
          <w:rFonts w:ascii="Aptos" w:hAnsi="Aptos"/>
          <w:color w:val="000000"/>
        </w:rPr>
        <w:t xml:space="preserve">can utilize </w:t>
      </w:r>
      <w:r w:rsidRPr="000D4ACF">
        <w:rPr>
          <w:rFonts w:ascii="Aptos" w:hAnsi="Aptos"/>
          <w:color w:val="000000"/>
        </w:rPr>
        <w:t xml:space="preserve">a broader </w:t>
      </w:r>
      <w:r>
        <w:rPr>
          <w:rFonts w:ascii="Aptos" w:hAnsi="Aptos"/>
          <w:color w:val="000000"/>
        </w:rPr>
        <w:t xml:space="preserve">range of </w:t>
      </w:r>
      <w:r w:rsidRPr="000D4ACF">
        <w:rPr>
          <w:rFonts w:ascii="Aptos" w:hAnsi="Aptos"/>
          <w:color w:val="000000"/>
        </w:rPr>
        <w:t>substrate</w:t>
      </w:r>
      <w:r>
        <w:rPr>
          <w:rFonts w:ascii="Aptos" w:hAnsi="Aptos"/>
          <w:color w:val="000000"/>
        </w:rPr>
        <w:t>s than</w:t>
      </w:r>
      <w:r w:rsidRPr="000D4ACF">
        <w:rPr>
          <w:rFonts w:ascii="Aptos" w:hAnsi="Aptos"/>
          <w:color w:val="000000"/>
        </w:rPr>
        <w:t xml:space="preserve"> non-protective strains</w:t>
      </w:r>
      <w:r w:rsidRPr="00731591">
        <w:t xml:space="preserve">, </w:t>
      </w:r>
      <w:r>
        <w:t>a feature we term</w:t>
      </w:r>
      <w:r w:rsidRPr="00731591">
        <w:t xml:space="preserve"> metabolic </w:t>
      </w:r>
      <w:r>
        <w:t>breadth</w:t>
      </w:r>
      <w:r w:rsidRPr="000D4ACF">
        <w:rPr>
          <w:rFonts w:ascii="Aptos" w:hAnsi="Aptos"/>
          <w:color w:val="000000"/>
        </w:rPr>
        <w:t xml:space="preserve">. </w:t>
      </w:r>
      <w:r>
        <w:rPr>
          <w:rFonts w:ascii="Aptos" w:hAnsi="Aptos"/>
          <w:color w:val="000000"/>
        </w:rPr>
        <w:t>To interpret these results within ecological theory, we employ a mathematical model based on modern</w:t>
      </w:r>
      <w:r w:rsidRPr="008F3061">
        <w:rPr>
          <w:rFonts w:ascii="Aptos" w:hAnsi="Aptos"/>
          <w:color w:val="000000"/>
        </w:rPr>
        <w:t xml:space="preserve"> coexistence theory</w:t>
      </w:r>
      <w:r>
        <w:rPr>
          <w:rFonts w:ascii="Aptos" w:hAnsi="Aptos"/>
          <w:color w:val="000000"/>
        </w:rPr>
        <w:t xml:space="preserve"> to</w:t>
      </w:r>
      <w:r w:rsidRPr="008F3061">
        <w:rPr>
          <w:rFonts w:ascii="Aptos" w:hAnsi="Aptos"/>
          <w:color w:val="000000"/>
        </w:rPr>
        <w:t xml:space="preserve"> explain</w:t>
      </w:r>
      <w:r>
        <w:rPr>
          <w:rFonts w:ascii="Aptos" w:hAnsi="Aptos"/>
          <w:color w:val="000000"/>
        </w:rPr>
        <w:t xml:space="preserve"> competition</w:t>
      </w:r>
      <w:r w:rsidRPr="008F3061">
        <w:rPr>
          <w:rFonts w:ascii="Aptos" w:hAnsi="Aptos"/>
          <w:color w:val="000000"/>
        </w:rPr>
        <w:t xml:space="preserve"> outcomes </w:t>
      </w:r>
      <w:r>
        <w:rPr>
          <w:rFonts w:ascii="Aptos" w:hAnsi="Aptos"/>
          <w:color w:val="000000"/>
        </w:rPr>
        <w:t>driven</w:t>
      </w:r>
      <w:r w:rsidRPr="008F3061">
        <w:rPr>
          <w:rFonts w:ascii="Aptos" w:hAnsi="Aptos"/>
          <w:color w:val="000000"/>
        </w:rPr>
        <w:t xml:space="preserve"> </w:t>
      </w:r>
      <w:r>
        <w:rPr>
          <w:rFonts w:ascii="Aptos" w:hAnsi="Aptos"/>
          <w:color w:val="000000"/>
        </w:rPr>
        <w:t>by</w:t>
      </w:r>
      <w:r w:rsidRPr="008F3061">
        <w:rPr>
          <w:rFonts w:ascii="Aptos" w:hAnsi="Aptos"/>
          <w:color w:val="000000"/>
        </w:rPr>
        <w:t xml:space="preserve"> niche and fitness differences</w:t>
      </w:r>
      <w:r>
        <w:rPr>
          <w:rFonts w:ascii="Aptos" w:hAnsi="Aptos"/>
          <w:color w:val="000000"/>
        </w:rPr>
        <w:t xml:space="preserve">. </w:t>
      </w:r>
      <w:r w:rsidRPr="000D4ACF">
        <w:rPr>
          <w:rFonts w:ascii="Aptos" w:hAnsi="Aptos"/>
          <w:color w:val="000000"/>
        </w:rPr>
        <w:t xml:space="preserve">A two-species consumer-resource model shows </w:t>
      </w:r>
      <w:r>
        <w:rPr>
          <w:rFonts w:ascii="Aptos" w:hAnsi="Aptos"/>
          <w:color w:val="000000"/>
        </w:rPr>
        <w:t xml:space="preserve">that </w:t>
      </w:r>
      <w:r w:rsidRPr="000D4ACF">
        <w:rPr>
          <w:rFonts w:ascii="Aptos" w:hAnsi="Aptos"/>
          <w:color w:val="000000"/>
        </w:rPr>
        <w:t xml:space="preserve">strain displacement relies more on cumulative niche breadth than </w:t>
      </w:r>
      <w:r>
        <w:rPr>
          <w:rFonts w:ascii="Aptos" w:hAnsi="Aptos"/>
          <w:color w:val="000000"/>
        </w:rPr>
        <w:t>on</w:t>
      </w:r>
      <w:r w:rsidRPr="000D4ACF">
        <w:rPr>
          <w:rFonts w:ascii="Aptos" w:hAnsi="Aptos"/>
          <w:color w:val="000000"/>
        </w:rPr>
        <w:t xml:space="preserve"> nutrient consumption </w:t>
      </w:r>
      <w:proofErr w:type="gramStart"/>
      <w:r>
        <w:rPr>
          <w:rFonts w:ascii="Aptos" w:hAnsi="Aptos"/>
          <w:color w:val="000000"/>
        </w:rPr>
        <w:t>rate, and</w:t>
      </w:r>
      <w:proofErr w:type="gramEnd"/>
      <w:r>
        <w:rPr>
          <w:rFonts w:ascii="Aptos" w:hAnsi="Aptos"/>
          <w:color w:val="000000"/>
        </w:rPr>
        <w:t xml:space="preserve"> supports the idea that</w:t>
      </w:r>
      <w:r w:rsidRPr="00583051">
        <w:rPr>
          <w:rFonts w:ascii="Aptos" w:hAnsi="Aptos"/>
          <w:color w:val="000000"/>
        </w:rPr>
        <w:t xml:space="preserve"> </w:t>
      </w:r>
      <w:r>
        <w:rPr>
          <w:rFonts w:ascii="Aptos" w:hAnsi="Aptos"/>
          <w:color w:val="000000"/>
        </w:rPr>
        <w:t>s</w:t>
      </w:r>
      <w:r w:rsidRPr="008F3061">
        <w:rPr>
          <w:rFonts w:ascii="Aptos" w:hAnsi="Aptos"/>
          <w:color w:val="000000"/>
        </w:rPr>
        <w:t xml:space="preserve">trains with broader metabolic </w:t>
      </w:r>
      <w:r>
        <w:rPr>
          <w:rFonts w:ascii="Aptos" w:hAnsi="Aptos"/>
          <w:color w:val="000000"/>
        </w:rPr>
        <w:t>breadth</w:t>
      </w:r>
      <w:r w:rsidRPr="008F3061">
        <w:rPr>
          <w:rFonts w:ascii="Aptos" w:hAnsi="Aptos"/>
          <w:color w:val="000000"/>
        </w:rPr>
        <w:t xml:space="preserve"> displace virulent strains more effectively, while </w:t>
      </w:r>
      <w:r>
        <w:rPr>
          <w:rFonts w:ascii="Aptos" w:hAnsi="Aptos"/>
          <w:color w:val="000000"/>
        </w:rPr>
        <w:t xml:space="preserve">a </w:t>
      </w:r>
      <w:r w:rsidRPr="008F3061">
        <w:rPr>
          <w:rFonts w:ascii="Aptos" w:hAnsi="Aptos"/>
          <w:color w:val="000000"/>
        </w:rPr>
        <w:t>greater niche overlap reduces protection.</w:t>
      </w:r>
      <w:r w:rsidRPr="000D4ACF">
        <w:rPr>
          <w:rFonts w:ascii="Aptos" w:hAnsi="Aptos"/>
          <w:color w:val="000000"/>
        </w:rPr>
        <w:t xml:space="preserve"> </w:t>
      </w:r>
      <w:r>
        <w:rPr>
          <w:rFonts w:ascii="Aptos" w:hAnsi="Aptos"/>
          <w:color w:val="000000"/>
        </w:rPr>
        <w:t>We propose that m</w:t>
      </w:r>
      <w:r w:rsidRPr="000D4ACF">
        <w:rPr>
          <w:rFonts w:ascii="Aptos" w:hAnsi="Aptos"/>
          <w:color w:val="000000"/>
        </w:rPr>
        <w:t xml:space="preserve">etabolic </w:t>
      </w:r>
      <w:r>
        <w:rPr>
          <w:rFonts w:ascii="Aptos" w:hAnsi="Aptos"/>
          <w:color w:val="000000"/>
        </w:rPr>
        <w:t>breadth</w:t>
      </w:r>
      <w:r w:rsidRPr="000D4ACF">
        <w:rPr>
          <w:rFonts w:ascii="Aptos" w:hAnsi="Aptos"/>
          <w:color w:val="000000"/>
        </w:rPr>
        <w:t xml:space="preserve"> </w:t>
      </w:r>
      <w:r>
        <w:rPr>
          <w:rFonts w:ascii="Aptos" w:hAnsi="Aptos"/>
          <w:color w:val="000000"/>
        </w:rPr>
        <w:t>determines the outcomes of inter-strain competition</w:t>
      </w:r>
      <w:r w:rsidRPr="000D4ACF">
        <w:rPr>
          <w:rFonts w:ascii="Aptos" w:hAnsi="Aptos"/>
          <w:color w:val="000000"/>
        </w:rPr>
        <w:t xml:space="preserve">, highlighting how ecological interactions can inform </w:t>
      </w:r>
      <w:proofErr w:type="gramStart"/>
      <w:r w:rsidRPr="000D4ACF">
        <w:rPr>
          <w:rFonts w:ascii="Aptos" w:hAnsi="Aptos"/>
          <w:color w:val="000000"/>
        </w:rPr>
        <w:t>single-strain</w:t>
      </w:r>
      <w:proofErr w:type="gramEnd"/>
      <w:r w:rsidRPr="000D4ACF">
        <w:rPr>
          <w:rFonts w:ascii="Aptos" w:hAnsi="Aptos"/>
          <w:color w:val="000000"/>
        </w:rPr>
        <w:t xml:space="preserve"> biotherapeutic approaches against </w:t>
      </w:r>
      <w:r w:rsidRPr="008F3061">
        <w:rPr>
          <w:rFonts w:ascii="Aptos" w:hAnsi="Aptos"/>
          <w:i/>
          <w:color w:val="000000"/>
        </w:rPr>
        <w:t>C. difficile</w:t>
      </w:r>
      <w:r w:rsidRPr="008F3061">
        <w:rPr>
          <w:rFonts w:ascii="Aptos" w:hAnsi="Aptos"/>
          <w:color w:val="000000"/>
        </w:rPr>
        <w:t xml:space="preserve"> infection</w:t>
      </w:r>
      <w:r w:rsidRPr="000D4ACF">
        <w:rPr>
          <w:rFonts w:ascii="Aptos" w:hAnsi="Aptos"/>
          <w:color w:val="000000"/>
        </w:rPr>
        <w:t>.</w:t>
      </w:r>
      <w:r>
        <w:rPr>
          <w:rFonts w:ascii="Aptos" w:hAnsi="Aptos"/>
          <w:color w:val="000000"/>
        </w:rPr>
        <w:t xml:space="preserve"> </w:t>
      </w:r>
    </w:p>
    <w:p w14:paraId="24BCCFC1" w14:textId="77777777" w:rsidR="00680BCC" w:rsidRDefault="00680BCC" w:rsidP="0069662D">
      <w:pPr>
        <w:pStyle w:val="Heading1"/>
      </w:pPr>
      <w:r>
        <w:t>Results</w:t>
      </w:r>
    </w:p>
    <w:p w14:paraId="7A7AF0A2" w14:textId="77777777" w:rsidR="00680BCC" w:rsidRDefault="00680BCC" w:rsidP="00823C29">
      <w:pPr>
        <w:pStyle w:val="Heading3"/>
      </w:pPr>
      <w:r w:rsidRPr="00823C29">
        <w:rPr>
          <w:i/>
          <w:iCs/>
        </w:rPr>
        <w:t>C. difficile</w:t>
      </w:r>
      <w:r>
        <w:t xml:space="preserve"> ST1 strains vary in their protection against VPI</w:t>
      </w:r>
    </w:p>
    <w:p w14:paraId="596E68AB" w14:textId="77777777" w:rsidR="00680BCC" w:rsidRDefault="00680BCC" w:rsidP="00244F9E">
      <w:pPr>
        <w:ind w:firstLine="720"/>
        <w:rPr>
          <w:rFonts w:ascii="Aptos" w:eastAsia="Times New Roman" w:hAnsi="Aptos"/>
        </w:rPr>
      </w:pPr>
      <w:r>
        <w:t xml:space="preserve">We selected 21 clinical isolates of </w:t>
      </w:r>
      <w:r w:rsidRPr="00823C29">
        <w:rPr>
          <w:i/>
          <w:iCs/>
        </w:rPr>
        <w:t>C. difficile</w:t>
      </w:r>
      <w:r>
        <w:t xml:space="preserve"> from MLST1 (</w:t>
      </w:r>
      <w:proofErr w:type="spellStart"/>
      <w:r>
        <w:t>ribotype</w:t>
      </w:r>
      <w:proofErr w:type="spellEnd"/>
      <w:r>
        <w:t xml:space="preserve"> RT027) </w:t>
      </w:r>
      <w:r>
        <w:rPr>
          <w:kern w:val="0"/>
          <w14:ligatures w14:val="none"/>
        </w:rPr>
        <w:t>isolated from patients with diarrhea admitted to Memorial Sloan Kettering Cancer Center, New York, during a molecular surveillance program (2013-2017)</w:t>
      </w:r>
      <w:r>
        <w:rPr>
          <w:rFonts w:ascii="Aptos" w:eastAsia="Times New Roman" w:hAnsi="Aptos"/>
          <w:kern w:val="0"/>
          <w14:ligatures w14:val="none"/>
        </w:rPr>
        <w:t>.</w:t>
      </w:r>
      <w:r>
        <w:rPr>
          <w:rFonts w:ascii="Aptos" w:eastAsia="Times New Roman" w:hAnsi="Aptos"/>
        </w:rPr>
        <w:t xml:space="preserve"> These strains have been </w:t>
      </w:r>
      <w:r>
        <w:rPr>
          <w:rFonts w:ascii="Aptos" w:eastAsia="Times New Roman" w:hAnsi="Aptos"/>
        </w:rPr>
        <w:lastRenderedPageBreak/>
        <w:t xml:space="preserve">previously </w:t>
      </w:r>
      <w:proofErr w:type="gramStart"/>
      <w:r>
        <w:rPr>
          <w:rFonts w:ascii="Aptos" w:eastAsia="Times New Roman" w:hAnsi="Aptos"/>
        </w:rPr>
        <w:t>whole-genome</w:t>
      </w:r>
      <w:proofErr w:type="gramEnd"/>
      <w:r>
        <w:rPr>
          <w:rFonts w:ascii="Aptos" w:eastAsia="Times New Roman" w:hAnsi="Aptos"/>
        </w:rPr>
        <w:t xml:space="preserve"> sequenced, revealing that these 21 have an average nucleotide identity (ANI) score &gt; 99.84% </w:t>
      </w:r>
      <w:hyperlink r:id="rId33" w:history="1">
        <w:r>
          <w:rPr>
            <w:rFonts w:ascii="Aptos" w:eastAsia="Times New Roman" w:hAnsi="Aptos"/>
          </w:rPr>
          <w:t>(Miles‑Jay </w:t>
        </w:r>
        <w:r>
          <w:rPr>
            <w:rFonts w:ascii="Aptos" w:eastAsia="Times New Roman" w:hAnsi="Aptos"/>
            <w:i/>
          </w:rPr>
          <w:t>et al.</w:t>
        </w:r>
        <w:r>
          <w:rPr>
            <w:rFonts w:ascii="Aptos" w:eastAsia="Times New Roman" w:hAnsi="Aptos"/>
          </w:rPr>
          <w:t>, 2021)</w:t>
        </w:r>
      </w:hyperlink>
      <w:r>
        <w:rPr>
          <w:rFonts w:ascii="Aptos" w:eastAsia="Times New Roman" w:hAnsi="Aptos"/>
        </w:rPr>
        <w:t xml:space="preserve">. Previous work with a similar set of strains showed wide variation in their virulence phenotypes </w:t>
      </w:r>
      <w:hyperlink r:id="rId34" w:history="1">
        <w:r>
          <w:rPr>
            <w:rFonts w:ascii="Aptos" w:eastAsia="Times New Roman" w:hAnsi="Aptos"/>
          </w:rPr>
          <w:t>(Dong </w:t>
        </w:r>
        <w:r>
          <w:rPr>
            <w:rFonts w:ascii="Aptos" w:eastAsia="Times New Roman" w:hAnsi="Aptos"/>
            <w:i/>
          </w:rPr>
          <w:t>et al.</w:t>
        </w:r>
        <w:r>
          <w:rPr>
            <w:rFonts w:ascii="Aptos" w:eastAsia="Times New Roman" w:hAnsi="Aptos"/>
          </w:rPr>
          <w:t>, 2023a)</w:t>
        </w:r>
      </w:hyperlink>
      <w:r>
        <w:rPr>
          <w:rFonts w:ascii="Aptos" w:eastAsia="Times New Roman" w:hAnsi="Aptos"/>
        </w:rPr>
        <w:t xml:space="preserve">. We also confirmed this variation among our 21 clinical isolates </w:t>
      </w:r>
      <w:proofErr w:type="spellStart"/>
      <w:r>
        <w:rPr>
          <w:rFonts w:ascii="Aptos" w:eastAsia="Times New Roman" w:hAnsi="Aptos"/>
        </w:rPr>
        <w:t>alongwith</w:t>
      </w:r>
      <w:proofErr w:type="spellEnd"/>
      <w:r>
        <w:rPr>
          <w:rFonts w:ascii="Aptos" w:eastAsia="Times New Roman" w:hAnsi="Aptos"/>
        </w:rPr>
        <w:t xml:space="preserve"> hypervirulent ST1, R20291 strain using a mouse model of mono-colonization (</w:t>
      </w:r>
      <w:r w:rsidRPr="008F3061">
        <w:rPr>
          <w:rFonts w:ascii="Aptos" w:eastAsia="Times New Roman" w:hAnsi="Aptos"/>
          <w:b/>
          <w:bCs/>
        </w:rPr>
        <w:t>Figure 1A</w:t>
      </w:r>
      <w:r>
        <w:rPr>
          <w:rFonts w:ascii="Aptos" w:eastAsia="Times New Roman" w:hAnsi="Aptos"/>
        </w:rPr>
        <w:t>). In this model, we treated conventional B6 mice (individually housed) with an antibiotic cocktail of metronidazole, neomycin, and vancomycin (MVN) in their drinking water for 3 days, followed by 2 days of antibiotic cessation, during which the mice received regular water. Then we administered clindamycin intraperitoneally (</w:t>
      </w:r>
      <w:proofErr w:type="spellStart"/>
      <w:r>
        <w:rPr>
          <w:rFonts w:ascii="Aptos" w:eastAsia="Times New Roman" w:hAnsi="Aptos"/>
        </w:rPr>
        <w:t>i.p.</w:t>
      </w:r>
      <w:proofErr w:type="spellEnd"/>
      <w:r>
        <w:rPr>
          <w:rFonts w:ascii="Aptos" w:eastAsia="Times New Roman" w:hAnsi="Aptos"/>
        </w:rPr>
        <w:t xml:space="preserve">) 2 days after and 24 hours later, mice were given a mono-strain colonization 200-400 spores of one of the 21 </w:t>
      </w:r>
      <w:r w:rsidRPr="00411A6F">
        <w:rPr>
          <w:rFonts w:ascii="Aptos" w:eastAsia="Times New Roman" w:hAnsi="Aptos"/>
          <w:i/>
          <w:iCs/>
        </w:rPr>
        <w:t>C. difficile</w:t>
      </w:r>
      <w:r>
        <w:rPr>
          <w:rFonts w:ascii="Aptos" w:eastAsia="Times New Roman" w:hAnsi="Aptos"/>
        </w:rPr>
        <w:t xml:space="preserve"> strains through oral gavage. During infection period, the mice showed different disease symptoms, including weight loss, diarrhea, and even mortality (shown in </w:t>
      </w:r>
      <w:r w:rsidRPr="000D4ACF">
        <w:rPr>
          <w:rFonts w:ascii="Aptos" w:eastAsia="Times New Roman" w:hAnsi="Aptos"/>
          <w:b/>
          <w:bCs/>
        </w:rPr>
        <w:t>Figure 1B</w:t>
      </w:r>
      <w:r w:rsidRPr="000D4ACF">
        <w:rPr>
          <w:rFonts w:ascii="Aptos" w:eastAsia="Times New Roman" w:hAnsi="Aptos"/>
        </w:rPr>
        <w:t xml:space="preserve"> for sham infection</w:t>
      </w:r>
      <w:r>
        <w:rPr>
          <w:rFonts w:ascii="Aptos" w:eastAsia="Times New Roman" w:hAnsi="Aptos"/>
        </w:rPr>
        <w:t xml:space="preserve"> and mono-</w:t>
      </w:r>
      <w:proofErr w:type="spellStart"/>
      <w:r w:rsidRPr="000D4ACF">
        <w:rPr>
          <w:rFonts w:ascii="Aptos" w:eastAsia="Times New Roman" w:hAnsi="Aptos"/>
        </w:rPr>
        <w:t>coloni</w:t>
      </w:r>
      <w:r>
        <w:rPr>
          <w:rFonts w:ascii="Aptos" w:eastAsia="Times New Roman" w:hAnsi="Aptos"/>
        </w:rPr>
        <w:t>zations</w:t>
      </w:r>
      <w:proofErr w:type="spellEnd"/>
      <w:r>
        <w:rPr>
          <w:rFonts w:ascii="Aptos" w:eastAsia="Times New Roman" w:hAnsi="Aptos"/>
        </w:rPr>
        <w:t xml:space="preserve"> by the avirulent ST1.75, and the virulent VPI10463, </w:t>
      </w:r>
      <w:r w:rsidRPr="00DA6C33">
        <w:rPr>
          <w:rFonts w:ascii="Aptos" w:eastAsia="Times New Roman" w:hAnsi="Aptos"/>
        </w:rPr>
        <w:t xml:space="preserve">and </w:t>
      </w:r>
      <w:r>
        <w:rPr>
          <w:rFonts w:ascii="Aptos" w:eastAsia="Times New Roman" w:hAnsi="Aptos"/>
        </w:rPr>
        <w:t>Supplementary</w:t>
      </w:r>
      <w:r w:rsidRPr="00DA6C33">
        <w:rPr>
          <w:rFonts w:ascii="Aptos" w:eastAsia="Times New Roman" w:hAnsi="Aptos"/>
        </w:rPr>
        <w:t xml:space="preserve"> Figure 1</w:t>
      </w:r>
      <w:r>
        <w:rPr>
          <w:rFonts w:ascii="Aptos" w:eastAsia="Times New Roman" w:hAnsi="Aptos"/>
        </w:rPr>
        <w:t>A</w:t>
      </w:r>
      <w:r w:rsidRPr="00DA6C33">
        <w:rPr>
          <w:rFonts w:ascii="Aptos" w:eastAsia="Times New Roman" w:hAnsi="Aptos"/>
        </w:rPr>
        <w:t xml:space="preserve"> for all the other strains</w:t>
      </w:r>
      <w:r>
        <w:rPr>
          <w:rFonts w:ascii="Aptos" w:eastAsia="Times New Roman" w:hAnsi="Aptos"/>
        </w:rPr>
        <w:t>)</w:t>
      </w:r>
      <w:r w:rsidRPr="00B60CA7">
        <w:rPr>
          <w:rFonts w:ascii="Aptos" w:eastAsia="Times New Roman" w:hAnsi="Aptos"/>
        </w:rPr>
        <w:t xml:space="preserve">. </w:t>
      </w:r>
      <w:r>
        <w:rPr>
          <w:rFonts w:ascii="Aptos" w:eastAsia="Times New Roman" w:hAnsi="Aptos"/>
          <w:kern w:val="0"/>
          <w14:ligatures w14:val="none"/>
        </w:rPr>
        <w:t>E</w:t>
      </w:r>
      <w:r w:rsidRPr="00B60CA7">
        <w:rPr>
          <w:rFonts w:ascii="Aptos" w:eastAsia="Times New Roman" w:hAnsi="Aptos"/>
          <w:kern w:val="0"/>
          <w14:ligatures w14:val="none"/>
        </w:rPr>
        <w:t xml:space="preserve">ach strain had an impact on the </w:t>
      </w:r>
      <w:r>
        <w:rPr>
          <w:rFonts w:ascii="Aptos" w:eastAsia="Times New Roman" w:hAnsi="Aptos"/>
          <w:kern w:val="0"/>
          <w14:ligatures w14:val="none"/>
        </w:rPr>
        <w:t xml:space="preserve">mouse </w:t>
      </w:r>
      <w:proofErr w:type="spellStart"/>
      <w:r>
        <w:rPr>
          <w:rFonts w:ascii="Aptos" w:eastAsia="Times New Roman" w:hAnsi="Aptos"/>
          <w:kern w:val="0"/>
          <w14:ligatures w14:val="none"/>
        </w:rPr>
        <w:t>weigth</w:t>
      </w:r>
      <w:proofErr w:type="spellEnd"/>
      <w:r>
        <w:rPr>
          <w:rFonts w:ascii="Aptos" w:eastAsia="Times New Roman" w:hAnsi="Aptos"/>
          <w:kern w:val="0"/>
          <w14:ligatures w14:val="none"/>
        </w:rPr>
        <w:t xml:space="preserve"> trajectory</w:t>
      </w:r>
      <w:r w:rsidRPr="00B60CA7">
        <w:rPr>
          <w:rFonts w:ascii="Aptos" w:eastAsia="Times New Roman" w:hAnsi="Aptos"/>
          <w:kern w:val="0"/>
          <w14:ligatures w14:val="none"/>
        </w:rPr>
        <w:t xml:space="preserve"> consistent with the virulence score reported earlier </w:t>
      </w:r>
      <w:hyperlink r:id="rId35" w:history="1">
        <w:r>
          <w:rPr>
            <w:rFonts w:ascii="Aptos" w:eastAsia="Times New Roman" w:hAnsi="Aptos"/>
          </w:rPr>
          <w:t>(Dong </w:t>
        </w:r>
        <w:r>
          <w:rPr>
            <w:rFonts w:ascii="Aptos" w:eastAsia="Times New Roman" w:hAnsi="Aptos"/>
            <w:i/>
          </w:rPr>
          <w:t>et al.</w:t>
        </w:r>
        <w:r>
          <w:rPr>
            <w:rFonts w:ascii="Aptos" w:eastAsia="Times New Roman" w:hAnsi="Aptos"/>
          </w:rPr>
          <w:t>, 2023b)</w:t>
        </w:r>
      </w:hyperlink>
      <w:r>
        <w:rPr>
          <w:rFonts w:ascii="Aptos" w:eastAsia="Times New Roman" w:hAnsi="Aptos"/>
          <w:kern w:val="0"/>
          <w14:ligatures w14:val="none"/>
        </w:rPr>
        <w:t>. For example, while ST1.75 and ST1.6 are avirulent colonizers,</w:t>
      </w:r>
      <w:r>
        <w:rPr>
          <w:rFonts w:ascii="Aptos" w:eastAsia="Times New Roman" w:hAnsi="Aptos"/>
        </w:rPr>
        <w:t xml:space="preserve"> </w:t>
      </w:r>
      <w:r w:rsidRPr="00DA6C33">
        <w:rPr>
          <w:rFonts w:ascii="Aptos" w:eastAsia="Times New Roman" w:hAnsi="Aptos"/>
        </w:rPr>
        <w:t>strains like ST1.2</w:t>
      </w:r>
      <w:r>
        <w:rPr>
          <w:rFonts w:ascii="Aptos" w:eastAsia="Times New Roman" w:hAnsi="Aptos"/>
        </w:rPr>
        <w:t>, R20291</w:t>
      </w:r>
      <w:r w:rsidRPr="00DA6C33">
        <w:rPr>
          <w:rFonts w:ascii="Aptos" w:eastAsia="Times New Roman" w:hAnsi="Aptos"/>
        </w:rPr>
        <w:t xml:space="preserve"> and ST1.12 </w:t>
      </w:r>
      <w:proofErr w:type="gramStart"/>
      <w:r w:rsidRPr="00DA6C33">
        <w:rPr>
          <w:rFonts w:ascii="Aptos" w:eastAsia="Times New Roman" w:hAnsi="Aptos"/>
        </w:rPr>
        <w:t>lead</w:t>
      </w:r>
      <w:proofErr w:type="gramEnd"/>
      <w:r w:rsidRPr="00DA6C33">
        <w:rPr>
          <w:rFonts w:ascii="Aptos" w:eastAsia="Times New Roman" w:hAnsi="Aptos"/>
        </w:rPr>
        <w:t xml:space="preserve"> to severe weight loss, diarrhea, and death in some cases.</w:t>
      </w:r>
      <w:r>
        <w:rPr>
          <w:rFonts w:ascii="Aptos" w:eastAsia="Times New Roman" w:hAnsi="Aptos"/>
        </w:rPr>
        <w:t xml:space="preserve"> </w:t>
      </w:r>
    </w:p>
    <w:p w14:paraId="7BB23EA9" w14:textId="77777777" w:rsidR="00680BCC" w:rsidRDefault="00680BCC" w:rsidP="00DA6C33">
      <w:pPr>
        <w:ind w:firstLine="720"/>
        <w:rPr>
          <w:rFonts w:ascii="Aptos" w:eastAsia="Times New Roman" w:hAnsi="Aptos"/>
        </w:rPr>
      </w:pPr>
      <w:r w:rsidRPr="00DA6C33">
        <w:t xml:space="preserve">We also used a linear mixed effects model to quantify the virulence of the ST1 strains. The comparison </w:t>
      </w:r>
      <w:r>
        <w:t xml:space="preserve">group for the </w:t>
      </w:r>
      <w:r w:rsidRPr="00DA6C33">
        <w:t xml:space="preserve">model was mice that received a sham infection </w:t>
      </w:r>
      <w:r>
        <w:t xml:space="preserve">with PBS, thus </w:t>
      </w:r>
      <w:r w:rsidRPr="00DA6C33">
        <w:t>showing no disease symptoms</w:t>
      </w:r>
      <w:r w:rsidRPr="00DA6C33">
        <w:rPr>
          <w:rFonts w:ascii="Aptos" w:eastAsia="Times New Roman" w:hAnsi="Aptos"/>
        </w:rPr>
        <w:t xml:space="preserve"> (</w:t>
      </w:r>
      <w:r w:rsidRPr="00DA6C33">
        <w:rPr>
          <w:rFonts w:ascii="Aptos" w:eastAsia="Times New Roman" w:hAnsi="Aptos"/>
          <w:b/>
          <w:bCs/>
        </w:rPr>
        <w:t>Figure 1C)</w:t>
      </w:r>
      <w:r>
        <w:rPr>
          <w:rFonts w:ascii="Aptos" w:eastAsia="Times New Roman" w:hAnsi="Aptos"/>
          <w:b/>
          <w:bCs/>
        </w:rPr>
        <w:t xml:space="preserve">. </w:t>
      </w:r>
      <w:r>
        <w:rPr>
          <w:rFonts w:ascii="Aptos" w:eastAsia="Times New Roman" w:hAnsi="Aptos"/>
        </w:rPr>
        <w:t xml:space="preserve">To expand on the previous findings that low virulent strains such as ST1.75 confer protection against disease caused by a virulent </w:t>
      </w:r>
      <w:bookmarkStart w:id="0" w:name="OLE_LINK2"/>
      <w:r w:rsidRPr="00093A24">
        <w:rPr>
          <w:rFonts w:ascii="Aptos" w:eastAsia="Times New Roman" w:hAnsi="Aptos"/>
        </w:rPr>
        <w:t>(Dong et al. 2025)</w:t>
      </w:r>
      <w:bookmarkEnd w:id="0"/>
      <w:r>
        <w:rPr>
          <w:rFonts w:ascii="Aptos" w:eastAsia="Times New Roman" w:hAnsi="Aptos"/>
        </w:rPr>
        <w:t xml:space="preserve">, we performed the same infection protocol explained above but at the end of the 11 days of disease symptom observations, the surviving mice received the secondary rechallenge, which consisted of infecting them with 200-400 spores of </w:t>
      </w:r>
      <w:bookmarkStart w:id="1" w:name="OLE_LINK3"/>
      <w:r>
        <w:rPr>
          <w:rFonts w:ascii="Aptos" w:eastAsia="Times New Roman" w:hAnsi="Aptos"/>
        </w:rPr>
        <w:t>VPI</w:t>
      </w:r>
      <w:r w:rsidRPr="003D13CA">
        <w:rPr>
          <w:rFonts w:ascii="Aptos" w:eastAsia="Times New Roman" w:hAnsi="Aptos"/>
        </w:rPr>
        <w:t>10463</w:t>
      </w:r>
      <w:r>
        <w:rPr>
          <w:rFonts w:ascii="Aptos" w:eastAsia="Times New Roman" w:hAnsi="Aptos"/>
        </w:rPr>
        <w:t xml:space="preserve"> </w:t>
      </w:r>
      <w:bookmarkEnd w:id="1"/>
      <w:r>
        <w:rPr>
          <w:rFonts w:ascii="Aptos" w:eastAsia="Times New Roman" w:hAnsi="Aptos"/>
        </w:rPr>
        <w:t xml:space="preserve">strain through oral gavage following the </w:t>
      </w:r>
      <w:proofErr w:type="spellStart"/>
      <w:r>
        <w:rPr>
          <w:rFonts w:ascii="Aptos" w:eastAsia="Times New Roman" w:hAnsi="Aptos"/>
        </w:rPr>
        <w:t>the</w:t>
      </w:r>
      <w:proofErr w:type="spellEnd"/>
      <w:r>
        <w:rPr>
          <w:rFonts w:ascii="Aptos" w:eastAsia="Times New Roman" w:hAnsi="Aptos"/>
        </w:rPr>
        <w:t xml:space="preserve"> set antibiotic treatment. We saw, consistent with the previous </w:t>
      </w:r>
      <w:r w:rsidRPr="0033543B">
        <w:rPr>
          <w:rFonts w:ascii="Aptos" w:eastAsia="Times New Roman" w:hAnsi="Aptos"/>
        </w:rPr>
        <w:t>studies</w:t>
      </w:r>
      <w:r>
        <w:rPr>
          <w:rFonts w:ascii="Aptos" w:eastAsia="Times New Roman" w:hAnsi="Aptos"/>
        </w:rPr>
        <w:t xml:space="preserve"> </w:t>
      </w:r>
      <w:hyperlink r:id="rId36" w:history="1">
        <w:r>
          <w:rPr>
            <w:rFonts w:ascii="Aptos" w:eastAsia="Times New Roman" w:hAnsi="Aptos"/>
          </w:rPr>
          <w:t>(Dong </w:t>
        </w:r>
        <w:r>
          <w:rPr>
            <w:rFonts w:ascii="Aptos" w:eastAsia="Times New Roman" w:hAnsi="Aptos"/>
            <w:i/>
          </w:rPr>
          <w:t>et al.</w:t>
        </w:r>
        <w:r>
          <w:rPr>
            <w:rFonts w:ascii="Aptos" w:eastAsia="Times New Roman" w:hAnsi="Aptos"/>
          </w:rPr>
          <w:t>, 2025)</w:t>
        </w:r>
      </w:hyperlink>
      <w:r w:rsidRPr="0033543B">
        <w:rPr>
          <w:rFonts w:ascii="Aptos" w:eastAsia="Times New Roman" w:hAnsi="Aptos"/>
        </w:rPr>
        <w:t xml:space="preserve"> </w:t>
      </w:r>
      <w:hyperlink r:id="rId37" w:history="1">
        <w:r>
          <w:rPr>
            <w:rFonts w:ascii="Aptos" w:eastAsia="Times New Roman" w:hAnsi="Aptos"/>
          </w:rPr>
          <w:t>(Shim </w:t>
        </w:r>
        <w:r>
          <w:rPr>
            <w:rFonts w:ascii="Aptos" w:eastAsia="Times New Roman" w:hAnsi="Aptos"/>
            <w:i/>
          </w:rPr>
          <w:t>et al.</w:t>
        </w:r>
        <w:r>
          <w:rPr>
            <w:rFonts w:ascii="Aptos" w:eastAsia="Times New Roman" w:hAnsi="Aptos"/>
          </w:rPr>
          <w:t>, 1998; Leslie </w:t>
        </w:r>
        <w:r>
          <w:rPr>
            <w:rFonts w:ascii="Aptos" w:eastAsia="Times New Roman" w:hAnsi="Aptos"/>
            <w:i/>
          </w:rPr>
          <w:t>et al.</w:t>
        </w:r>
        <w:r>
          <w:rPr>
            <w:rFonts w:ascii="Aptos" w:eastAsia="Times New Roman" w:hAnsi="Aptos"/>
          </w:rPr>
          <w:t>, 2021)</w:t>
        </w:r>
      </w:hyperlink>
      <w:r w:rsidRPr="0033543B">
        <w:rPr>
          <w:rFonts w:ascii="Aptos" w:eastAsia="Times New Roman" w:hAnsi="Aptos"/>
        </w:rPr>
        <w:t xml:space="preserve">, that </w:t>
      </w:r>
      <w:proofErr w:type="spellStart"/>
      <w:r w:rsidRPr="0033543B">
        <w:rPr>
          <w:rFonts w:ascii="Aptos" w:eastAsia="Times New Roman" w:hAnsi="Aptos"/>
        </w:rPr>
        <w:t>precolonization</w:t>
      </w:r>
      <w:proofErr w:type="spellEnd"/>
      <w:r w:rsidRPr="0033543B">
        <w:rPr>
          <w:rFonts w:ascii="Aptos" w:eastAsia="Times New Roman" w:hAnsi="Aptos"/>
        </w:rPr>
        <w:t xml:space="preserve"> </w:t>
      </w:r>
      <w:r>
        <w:rPr>
          <w:rFonts w:ascii="Aptos" w:eastAsia="Times New Roman" w:hAnsi="Aptos"/>
        </w:rPr>
        <w:t xml:space="preserve">by the avirulent strain ST1.75 protected </w:t>
      </w:r>
      <w:r w:rsidRPr="0033543B">
        <w:rPr>
          <w:rFonts w:ascii="Aptos" w:eastAsia="Times New Roman" w:hAnsi="Aptos"/>
        </w:rPr>
        <w:t xml:space="preserve">against </w:t>
      </w:r>
      <w:r>
        <w:rPr>
          <w:rFonts w:ascii="Aptos" w:eastAsia="Times New Roman" w:hAnsi="Aptos"/>
        </w:rPr>
        <w:t xml:space="preserve">the </w:t>
      </w:r>
      <w:r w:rsidRPr="0033543B">
        <w:rPr>
          <w:rFonts w:ascii="Aptos" w:eastAsia="Times New Roman" w:hAnsi="Aptos"/>
        </w:rPr>
        <w:t xml:space="preserve">secondary </w:t>
      </w:r>
      <w:r>
        <w:rPr>
          <w:rFonts w:ascii="Aptos" w:eastAsia="Times New Roman" w:hAnsi="Aptos"/>
        </w:rPr>
        <w:t>VPI</w:t>
      </w:r>
      <w:r w:rsidRPr="003D13CA">
        <w:rPr>
          <w:rFonts w:ascii="Aptos" w:eastAsia="Times New Roman" w:hAnsi="Aptos"/>
        </w:rPr>
        <w:t>10463</w:t>
      </w:r>
      <w:r>
        <w:rPr>
          <w:rFonts w:ascii="Aptos" w:eastAsia="Times New Roman" w:hAnsi="Aptos"/>
        </w:rPr>
        <w:t xml:space="preserve"> </w:t>
      </w:r>
      <w:r w:rsidRPr="0033543B">
        <w:rPr>
          <w:rFonts w:ascii="Aptos" w:eastAsia="Times New Roman" w:hAnsi="Aptos"/>
        </w:rPr>
        <w:t>infection</w:t>
      </w:r>
      <w:r>
        <w:rPr>
          <w:rFonts w:ascii="Aptos" w:eastAsia="Times New Roman" w:hAnsi="Aptos"/>
        </w:rPr>
        <w:t>, whereas the strain ST1.68 only offered partial protection (</w:t>
      </w:r>
      <w:r w:rsidRPr="000D4ACF">
        <w:rPr>
          <w:rFonts w:ascii="Aptos" w:eastAsia="Times New Roman" w:hAnsi="Aptos"/>
          <w:b/>
          <w:bCs/>
        </w:rPr>
        <w:t>Figure 1D</w:t>
      </w:r>
      <w:r>
        <w:rPr>
          <w:rFonts w:ascii="Aptos" w:eastAsia="Times New Roman" w:hAnsi="Aptos"/>
        </w:rPr>
        <w:t>)</w:t>
      </w:r>
      <w:r w:rsidRPr="0033543B">
        <w:rPr>
          <w:rFonts w:ascii="Aptos" w:eastAsia="Times New Roman" w:hAnsi="Aptos"/>
        </w:rPr>
        <w:t>.</w:t>
      </w:r>
    </w:p>
    <w:p w14:paraId="001AD1BC" w14:textId="77777777" w:rsidR="00680BCC" w:rsidRDefault="00680BCC" w:rsidP="006217D1">
      <w:pPr>
        <w:rPr>
          <w:rFonts w:ascii="Aptos" w:eastAsia="Times New Roman" w:hAnsi="Aptos"/>
        </w:rPr>
      </w:pPr>
      <w:r>
        <w:rPr>
          <w:rFonts w:ascii="Aptos" w:eastAsia="Times New Roman" w:hAnsi="Aptos"/>
        </w:rPr>
        <w:tab/>
        <w:t>Then, we developed a co-infection model where we gave VPI10463 along with a ST1 strain (</w:t>
      </w:r>
      <w:r w:rsidRPr="008F3061">
        <w:rPr>
          <w:rFonts w:ascii="Aptos" w:eastAsia="Times New Roman" w:hAnsi="Aptos"/>
          <w:b/>
          <w:bCs/>
        </w:rPr>
        <w:t>Figure 1E</w:t>
      </w:r>
      <w:r>
        <w:rPr>
          <w:rFonts w:ascii="Aptos" w:eastAsia="Times New Roman" w:hAnsi="Aptos"/>
        </w:rPr>
        <w:t>). Mice co-infected with strain ST1.75 survived the infection, showing minimal disease symptoms, whereas mice co-infected with ST1.68 showed more disease symptoms (</w:t>
      </w:r>
      <w:r w:rsidRPr="008F3061">
        <w:rPr>
          <w:rFonts w:ascii="Aptos" w:eastAsia="Times New Roman" w:hAnsi="Aptos"/>
          <w:b/>
          <w:bCs/>
        </w:rPr>
        <w:t>Figure 1</w:t>
      </w:r>
      <w:r>
        <w:rPr>
          <w:rFonts w:ascii="Aptos" w:eastAsia="Times New Roman" w:hAnsi="Aptos"/>
          <w:b/>
          <w:bCs/>
        </w:rPr>
        <w:t>F</w:t>
      </w:r>
      <w:r>
        <w:rPr>
          <w:rFonts w:ascii="Aptos" w:eastAsia="Times New Roman" w:hAnsi="Aptos"/>
        </w:rPr>
        <w:t>). This co-infection protocol allowed us to test whether the other 19 strains also offered protection. In this co-infection assay</w:t>
      </w:r>
      <w:r w:rsidRPr="0033543B">
        <w:rPr>
          <w:rFonts w:ascii="Aptos" w:eastAsia="Times New Roman" w:hAnsi="Aptos"/>
        </w:rPr>
        <w:t>, the</w:t>
      </w:r>
      <w:r>
        <w:rPr>
          <w:rFonts w:ascii="Aptos" w:eastAsia="Times New Roman" w:hAnsi="Aptos"/>
        </w:rPr>
        <w:t xml:space="preserve"> virulent</w:t>
      </w:r>
      <w:r w:rsidRPr="0033543B">
        <w:rPr>
          <w:rFonts w:ascii="Aptos" w:eastAsia="Times New Roman" w:hAnsi="Aptos"/>
        </w:rPr>
        <w:t xml:space="preserve"> strains that </w:t>
      </w:r>
      <w:r>
        <w:rPr>
          <w:rFonts w:ascii="Aptos" w:eastAsia="Times New Roman" w:hAnsi="Aptos"/>
        </w:rPr>
        <w:t>ST1</w:t>
      </w:r>
      <w:r w:rsidRPr="0033543B">
        <w:rPr>
          <w:rFonts w:ascii="Aptos" w:eastAsia="Times New Roman" w:hAnsi="Aptos"/>
        </w:rPr>
        <w:t>.2 and ST1.11</w:t>
      </w:r>
      <w:r>
        <w:rPr>
          <w:rFonts w:ascii="Aptos" w:eastAsia="Times New Roman" w:hAnsi="Aptos"/>
        </w:rPr>
        <w:t xml:space="preserve"> did not protect, as expected from their virulence (Supplementary Figure 1B). </w:t>
      </w:r>
      <w:r>
        <w:rPr>
          <w:rFonts w:ascii="Aptos" w:eastAsia="Times New Roman" w:hAnsi="Aptos"/>
          <w:kern w:val="0"/>
          <w14:ligatures w14:val="none"/>
        </w:rPr>
        <w:t>Interestingly, however, among those strains that showed intermediate virulence (like ST1.25, ST1.57),</w:t>
      </w:r>
      <w:r>
        <w:rPr>
          <w:rFonts w:ascii="Aptos" w:eastAsia="Times New Roman" w:hAnsi="Aptos"/>
        </w:rPr>
        <w:t xml:space="preserve"> some </w:t>
      </w:r>
      <w:r w:rsidRPr="00411A6F">
        <w:rPr>
          <w:rFonts w:ascii="Aptos" w:eastAsia="Times New Roman" w:hAnsi="Aptos"/>
        </w:rPr>
        <w:t xml:space="preserve">provided </w:t>
      </w:r>
      <w:r>
        <w:rPr>
          <w:rFonts w:ascii="Aptos" w:eastAsia="Times New Roman" w:hAnsi="Aptos"/>
        </w:rPr>
        <w:t>substantial</w:t>
      </w:r>
      <w:r w:rsidRPr="00411A6F">
        <w:rPr>
          <w:rFonts w:ascii="Aptos" w:eastAsia="Times New Roman" w:hAnsi="Aptos"/>
        </w:rPr>
        <w:t xml:space="preserve"> protection</w:t>
      </w:r>
      <w:r>
        <w:rPr>
          <w:rFonts w:ascii="Aptos" w:eastAsia="Times New Roman" w:hAnsi="Aptos"/>
        </w:rPr>
        <w:t xml:space="preserve"> compared to mice colonized with </w:t>
      </w:r>
      <w:r>
        <w:rPr>
          <w:rFonts w:ascii="Aptos" w:eastAsia="Times New Roman" w:hAnsi="Aptos"/>
        </w:rPr>
        <w:lastRenderedPageBreak/>
        <w:t>VPI</w:t>
      </w:r>
      <w:r w:rsidRPr="003D13CA">
        <w:rPr>
          <w:rFonts w:ascii="Aptos" w:eastAsia="Times New Roman" w:hAnsi="Aptos"/>
        </w:rPr>
        <w:t>10463</w:t>
      </w:r>
      <w:r>
        <w:rPr>
          <w:rFonts w:ascii="Aptos" w:eastAsia="Times New Roman" w:hAnsi="Aptos"/>
        </w:rPr>
        <w:t xml:space="preserve"> alone, whereas o</w:t>
      </w:r>
      <w:r w:rsidRPr="00411A6F">
        <w:rPr>
          <w:rFonts w:ascii="Aptos" w:eastAsia="Times New Roman" w:hAnsi="Aptos"/>
        </w:rPr>
        <w:t>thers</w:t>
      </w:r>
      <w:r>
        <w:rPr>
          <w:rFonts w:ascii="Aptos" w:eastAsia="Times New Roman" w:hAnsi="Aptos"/>
        </w:rPr>
        <w:t xml:space="preserve"> (like ST1.53, ST1.67, ST1.68, ST1.19) did</w:t>
      </w:r>
      <w:r w:rsidRPr="00411A6F">
        <w:rPr>
          <w:rFonts w:ascii="Aptos" w:eastAsia="Times New Roman" w:hAnsi="Aptos"/>
        </w:rPr>
        <w:t xml:space="preserve"> not confer any protection at all</w:t>
      </w:r>
      <w:r>
        <w:rPr>
          <w:rFonts w:ascii="Aptos" w:eastAsia="Times New Roman" w:hAnsi="Aptos"/>
        </w:rPr>
        <w:t xml:space="preserve"> (Supplementary Figure 1B)</w:t>
      </w:r>
      <w:r w:rsidRPr="00411A6F">
        <w:rPr>
          <w:rFonts w:ascii="Aptos" w:eastAsia="Times New Roman" w:hAnsi="Aptos"/>
        </w:rPr>
        <w:t>.</w:t>
      </w:r>
    </w:p>
    <w:p w14:paraId="1FECC1D6" w14:textId="77777777" w:rsidR="00680BCC" w:rsidRPr="00DA6C33" w:rsidRDefault="00680BCC" w:rsidP="00BB7990">
      <w:pPr>
        <w:rPr>
          <w:rFonts w:ascii="Aptos" w:eastAsia="Times New Roman" w:hAnsi="Aptos"/>
        </w:rPr>
      </w:pPr>
      <w:r w:rsidRPr="00DA6C33">
        <w:rPr>
          <w:rFonts w:ascii="Aptos" w:eastAsia="Times New Roman" w:hAnsi="Aptos"/>
        </w:rPr>
        <w:tab/>
        <w:t xml:space="preserve">To quantify the extent of protection conferred by each strain to VPI10463, we used </w:t>
      </w:r>
      <w:r>
        <w:rPr>
          <w:rFonts w:ascii="Aptos" w:eastAsia="Times New Roman" w:hAnsi="Aptos"/>
        </w:rPr>
        <w:t xml:space="preserve">a similar </w:t>
      </w:r>
      <w:r w:rsidRPr="00DA6C33">
        <w:rPr>
          <w:rFonts w:ascii="Aptos" w:eastAsia="Times New Roman" w:hAnsi="Aptos"/>
        </w:rPr>
        <w:t>linear mixed effects model</w:t>
      </w:r>
      <w:r>
        <w:rPr>
          <w:rFonts w:ascii="Aptos" w:eastAsia="Times New Roman" w:hAnsi="Aptos"/>
        </w:rPr>
        <w:t xml:space="preserve"> as shown earlier</w:t>
      </w:r>
      <w:r w:rsidRPr="00DA6C33">
        <w:rPr>
          <w:rFonts w:ascii="Aptos" w:eastAsia="Times New Roman" w:hAnsi="Aptos"/>
        </w:rPr>
        <w:t xml:space="preserve"> to </w:t>
      </w:r>
      <w:r>
        <w:rPr>
          <w:rFonts w:ascii="Aptos" w:eastAsia="Times New Roman" w:hAnsi="Aptos"/>
        </w:rPr>
        <w:t>quantify</w:t>
      </w:r>
      <w:r w:rsidRPr="00DA6C33">
        <w:rPr>
          <w:rFonts w:ascii="Aptos" w:eastAsia="Times New Roman" w:hAnsi="Aptos"/>
        </w:rPr>
        <w:t xml:space="preserve"> </w:t>
      </w:r>
      <w:r>
        <w:rPr>
          <w:rFonts w:ascii="Aptos" w:eastAsia="Times New Roman" w:hAnsi="Aptos"/>
        </w:rPr>
        <w:t>the</w:t>
      </w:r>
      <w:r w:rsidRPr="00DA6C33">
        <w:rPr>
          <w:rFonts w:ascii="Aptos" w:eastAsia="Times New Roman" w:hAnsi="Aptos"/>
        </w:rPr>
        <w:t xml:space="preserve"> weight loss during the VPI10463 rechallenge</w:t>
      </w:r>
      <w:r>
        <w:rPr>
          <w:rFonts w:ascii="Aptos" w:eastAsia="Times New Roman" w:hAnsi="Aptos"/>
        </w:rPr>
        <w:t xml:space="preserve">. </w:t>
      </w:r>
      <w:r w:rsidRPr="00DA6C33">
        <w:t xml:space="preserve">The model reference of </w:t>
      </w:r>
      <w:r w:rsidRPr="00DA6C33">
        <w:rPr>
          <w:kern w:val="0"/>
          <w14:ligatures w14:val="none"/>
        </w:rPr>
        <w:t xml:space="preserve">comparison </w:t>
      </w:r>
      <w:r>
        <w:rPr>
          <w:kern w:val="0"/>
          <w14:ligatures w14:val="none"/>
        </w:rPr>
        <w:t>are</w:t>
      </w:r>
      <w:r w:rsidRPr="00DA6C33">
        <w:rPr>
          <w:kern w:val="0"/>
          <w14:ligatures w14:val="none"/>
        </w:rPr>
        <w:t xml:space="preserve"> the mice that received a sham infection by PBS instead of the ST1 strain and therefore were</w:t>
      </w:r>
      <w:r w:rsidRPr="00DA6C33">
        <w:t xml:space="preserve"> not protected against the </w:t>
      </w:r>
      <w:r w:rsidRPr="00DA6C33">
        <w:rPr>
          <w:rFonts w:ascii="Aptos" w:eastAsia="Times New Roman" w:hAnsi="Aptos"/>
        </w:rPr>
        <w:t>VPI10463 challenge (</w:t>
      </w:r>
      <w:r w:rsidRPr="00DA6C33">
        <w:rPr>
          <w:rFonts w:ascii="Aptos" w:eastAsia="Times New Roman" w:hAnsi="Aptos"/>
          <w:b/>
          <w:bCs/>
        </w:rPr>
        <w:t>Figure 1G</w:t>
      </w:r>
      <w:r w:rsidRPr="00DA6C33">
        <w:rPr>
          <w:rFonts w:ascii="Aptos" w:eastAsia="Times New Roman" w:hAnsi="Aptos"/>
        </w:rPr>
        <w:t>). This means the effect size for each strain captures the improvement in weight conferred by its protection.</w:t>
      </w:r>
      <w:r w:rsidRPr="00DA6C33">
        <w:t xml:space="preserve"> </w:t>
      </w:r>
    </w:p>
    <w:p w14:paraId="58D4EC7C" w14:textId="77777777" w:rsidR="00680BCC" w:rsidRDefault="00680BCC" w:rsidP="00E904FA">
      <w:pPr>
        <w:ind w:firstLine="720"/>
      </w:pPr>
      <w:r>
        <w:t xml:space="preserve">We </w:t>
      </w:r>
      <w:r>
        <w:rPr>
          <w:kern w:val="0"/>
          <w14:ligatures w14:val="none"/>
        </w:rPr>
        <w:t>fit a linear model to the effect sizes for Virulence and Protection obtained from</w:t>
      </w:r>
      <w:r>
        <w:t xml:space="preserve"> the two models described above (</w:t>
      </w:r>
      <w:r w:rsidRPr="000D4ACF">
        <w:rPr>
          <w:b/>
          <w:bCs/>
        </w:rPr>
        <w:t>Figure 1H</w:t>
      </w:r>
      <w:r>
        <w:t>)</w:t>
      </w:r>
      <w:r>
        <w:rPr>
          <w:rFonts w:ascii="Aptos" w:eastAsia="Times New Roman" w:hAnsi="Aptos"/>
        </w:rPr>
        <w:t>.</w:t>
      </w:r>
      <w:r w:rsidRPr="003934FE">
        <w:t xml:space="preserve"> </w:t>
      </w:r>
      <w:r>
        <w:t>The fit produced</w:t>
      </w:r>
      <w:r w:rsidRPr="003934FE">
        <w:t xml:space="preserve"> </w:t>
      </w:r>
      <w:r>
        <w:t xml:space="preserve">a </w:t>
      </w:r>
      <w:r w:rsidRPr="003934FE">
        <w:t xml:space="preserve">negative and statistically significant </w:t>
      </w:r>
      <w:r>
        <w:t>relationship between virulence and protection effect sizes</w:t>
      </w:r>
      <w:r w:rsidRPr="003934FE">
        <w:t xml:space="preserve"> </w:t>
      </w:r>
      <w:r w:rsidRPr="00907DD2">
        <w:t>(</w:t>
      </w:r>
      <w:r>
        <w:t>R</w:t>
      </w:r>
      <w:r>
        <w:rPr>
          <w:vertAlign w:val="superscript"/>
        </w:rPr>
        <w:t xml:space="preserve">2 </w:t>
      </w:r>
      <w:r>
        <w:t>= 0.51, p-value = 0.00019</w:t>
      </w:r>
      <w:r w:rsidRPr="00907DD2">
        <w:t>).</w:t>
      </w:r>
      <w:r w:rsidRPr="003934FE">
        <w:t xml:space="preserve"> This </w:t>
      </w:r>
      <w:r>
        <w:t>indicates a broader pattern where the virulence phenotype of the</w:t>
      </w:r>
      <w:r w:rsidRPr="003934FE">
        <w:t xml:space="preserve"> ST1 </w:t>
      </w:r>
      <w:r>
        <w:t xml:space="preserve">strain determines the outcome of the co-culture infection: mice co-colonized with </w:t>
      </w:r>
      <w:r>
        <w:rPr>
          <w:rFonts w:ascii="Aptos" w:eastAsia="Times New Roman" w:hAnsi="Aptos"/>
        </w:rPr>
        <w:t>VPI</w:t>
      </w:r>
      <w:r w:rsidRPr="003D13CA">
        <w:rPr>
          <w:rFonts w:ascii="Aptos" w:eastAsia="Times New Roman" w:hAnsi="Aptos"/>
        </w:rPr>
        <w:t>10463</w:t>
      </w:r>
      <w:r>
        <w:rPr>
          <w:rFonts w:ascii="Aptos" w:eastAsia="Times New Roman" w:hAnsi="Aptos"/>
        </w:rPr>
        <w:t xml:space="preserve"> and a virulent </w:t>
      </w:r>
      <w:r>
        <w:t xml:space="preserve">ST1 strain show, as expected, severe disease, whereas mice co-colonized with </w:t>
      </w:r>
      <w:r>
        <w:rPr>
          <w:rFonts w:ascii="Aptos" w:eastAsia="Times New Roman" w:hAnsi="Aptos"/>
        </w:rPr>
        <w:t>VPI</w:t>
      </w:r>
      <w:r w:rsidRPr="003D13CA">
        <w:rPr>
          <w:rFonts w:ascii="Aptos" w:eastAsia="Times New Roman" w:hAnsi="Aptos"/>
        </w:rPr>
        <w:t>10463</w:t>
      </w:r>
      <w:r>
        <w:rPr>
          <w:rFonts w:ascii="Aptos" w:eastAsia="Times New Roman" w:hAnsi="Aptos"/>
        </w:rPr>
        <w:t xml:space="preserve"> and </w:t>
      </w:r>
      <w:proofErr w:type="gramStart"/>
      <w:r>
        <w:rPr>
          <w:rFonts w:ascii="Aptos" w:eastAsia="Times New Roman" w:hAnsi="Aptos"/>
        </w:rPr>
        <w:t>a</w:t>
      </w:r>
      <w:proofErr w:type="gramEnd"/>
      <w:r>
        <w:rPr>
          <w:rFonts w:ascii="Aptos" w:eastAsia="Times New Roman" w:hAnsi="Aptos"/>
        </w:rPr>
        <w:t xml:space="preserve"> avirulent </w:t>
      </w:r>
      <w:r>
        <w:t>ST1 strain tend to show less disease. However, there was one notable exception, ST1.68 that disagreed with that trend (statistically significant outlier by Bonferroni-corrected externally studentized residual test (t = −5.16, p = 0.0012)). This strain being the outlier</w:t>
      </w:r>
      <w:r w:rsidRPr="003934FE">
        <w:t xml:space="preserve"> </w:t>
      </w:r>
      <w:r>
        <w:t xml:space="preserve">fell </w:t>
      </w:r>
      <w:r>
        <w:rPr>
          <w:kern w:val="0"/>
          <w14:ligatures w14:val="none"/>
        </w:rPr>
        <w:t xml:space="preserve">entirely within the low virulence range but also showed low protection, suggesting that low- to intermediate-virulence strains may involve additional factors beyond virulence to explain protection against </w:t>
      </w:r>
      <w:r>
        <w:rPr>
          <w:rFonts w:ascii="Aptos" w:eastAsia="Times New Roman" w:hAnsi="Aptos"/>
          <w:kern w:val="0"/>
          <w14:ligatures w14:val="none"/>
        </w:rPr>
        <w:t>VPI10463</w:t>
      </w:r>
      <w:r>
        <w:rPr>
          <w:kern w:val="0"/>
          <w14:ligatures w14:val="none"/>
        </w:rPr>
        <w:t>.</w:t>
      </w:r>
      <w:r>
        <w:t xml:space="preserve"> This is important for determining why some strains protect while others do not.</w:t>
      </w:r>
    </w:p>
    <w:p w14:paraId="7B812CAE" w14:textId="77777777" w:rsidR="00680BCC" w:rsidRPr="00840E38" w:rsidRDefault="00680BCC" w:rsidP="00840E38">
      <w:pPr>
        <w:pStyle w:val="Heading3"/>
      </w:pPr>
      <w:r>
        <w:t xml:space="preserve">Protection phenotype is independent of adaptive immunity </w:t>
      </w:r>
    </w:p>
    <w:p w14:paraId="259C1509" w14:textId="77777777" w:rsidR="00680BCC" w:rsidRDefault="00680BCC" w:rsidP="00AF3D87">
      <w:pPr>
        <w:ind w:firstLine="720"/>
        <w:rPr>
          <w:rFonts w:ascii="Aptos" w:eastAsia="Times New Roman" w:hAnsi="Aptos"/>
        </w:rPr>
      </w:pPr>
      <w:r>
        <w:t>Next, we asked whether there changes in the h</w:t>
      </w:r>
      <w:r w:rsidRPr="001B309C">
        <w:t>ost</w:t>
      </w:r>
      <w:r>
        <w:t xml:space="preserve"> immunity </w:t>
      </w:r>
      <w:proofErr w:type="spellStart"/>
      <w:r>
        <w:t>illicitated</w:t>
      </w:r>
      <w:proofErr w:type="spellEnd"/>
      <w:r>
        <w:t xml:space="preserve"> by avirulent protective strains could play a role in protecting the mice from the virulent rechallenge </w:t>
      </w:r>
      <w:hyperlink r:id="rId38" w:history="1">
        <w:r>
          <w:rPr>
            <w:rFonts w:ascii="Aptos" w:eastAsia="Times New Roman" w:hAnsi="Aptos"/>
          </w:rPr>
          <w:t>(Round and Mazmanian, 2009)</w:t>
        </w:r>
      </w:hyperlink>
      <w:r>
        <w:rPr>
          <w:rFonts w:ascii="Aptos" w:eastAsia="Times New Roman" w:hAnsi="Aptos"/>
        </w:rPr>
        <w:t xml:space="preserve">. </w:t>
      </w:r>
      <w:r w:rsidRPr="008B60EB">
        <w:rPr>
          <w:rFonts w:ascii="Aptos" w:eastAsia="Times New Roman" w:hAnsi="Aptos"/>
        </w:rPr>
        <w:t xml:space="preserve">We compared the immune cell composition of colon and mesenteric lymph nodes harvested from uninfected mice and from mice colonized with the avirulent, protective ST1.75 strain. </w:t>
      </w:r>
      <w:r>
        <w:rPr>
          <w:rFonts w:ascii="Aptos" w:eastAsia="Times New Roman" w:hAnsi="Aptos"/>
        </w:rPr>
        <w:t>Then, w</w:t>
      </w:r>
      <w:r w:rsidRPr="008B60EB">
        <w:rPr>
          <w:rFonts w:ascii="Aptos" w:eastAsia="Times New Roman" w:hAnsi="Aptos"/>
        </w:rPr>
        <w:t>e used a multi-parameter flow cytometry panel to quantify immune subsets</w:t>
      </w:r>
      <w:r>
        <w:rPr>
          <w:rFonts w:ascii="Aptos" w:eastAsia="Times New Roman" w:hAnsi="Aptos"/>
        </w:rPr>
        <w:t>,</w:t>
      </w:r>
      <w:r w:rsidRPr="008B60EB">
        <w:rPr>
          <w:rFonts w:ascii="Aptos" w:eastAsia="Times New Roman" w:hAnsi="Aptos"/>
        </w:rPr>
        <w:t xml:space="preserve"> including B cells, CD19</w:t>
      </w:r>
      <w:r w:rsidRPr="008B60EB">
        <w:rPr>
          <w:rFonts w:ascii="Cambria Math" w:eastAsia="Times New Roman" w:hAnsi="Cambria Math" w:cs="Cambria Math"/>
        </w:rPr>
        <w:t>⁻</w:t>
      </w:r>
      <w:r w:rsidRPr="008B60EB">
        <w:rPr>
          <w:rFonts w:ascii="Aptos" w:eastAsia="Times New Roman" w:hAnsi="Aptos"/>
        </w:rPr>
        <w:t>TCRβ</w:t>
      </w:r>
      <w:r w:rsidRPr="008B60EB">
        <w:rPr>
          <w:rFonts w:ascii="Cambria Math" w:eastAsia="Times New Roman" w:hAnsi="Cambria Math" w:cs="Cambria Math"/>
        </w:rPr>
        <w:t>⁻</w:t>
      </w:r>
      <w:r w:rsidRPr="008B60EB">
        <w:rPr>
          <w:rFonts w:ascii="Aptos" w:eastAsia="Times New Roman" w:hAnsi="Aptos"/>
        </w:rPr>
        <w:t xml:space="preserve"> cells, NK cells, CD4</w:t>
      </w:r>
      <w:r w:rsidRPr="008B60EB">
        <w:rPr>
          <w:rFonts w:ascii="Cambria Math" w:eastAsia="Times New Roman" w:hAnsi="Cambria Math" w:cs="Cambria Math"/>
        </w:rPr>
        <w:t>⁺</w:t>
      </w:r>
      <w:r w:rsidRPr="008B60EB">
        <w:rPr>
          <w:rFonts w:ascii="Aptos" w:eastAsia="Times New Roman" w:hAnsi="Aptos"/>
        </w:rPr>
        <w:t xml:space="preserve"> and CD8</w:t>
      </w:r>
      <w:r w:rsidRPr="008B60EB">
        <w:rPr>
          <w:rFonts w:ascii="Cambria Math" w:eastAsia="Times New Roman" w:hAnsi="Cambria Math" w:cs="Cambria Math"/>
        </w:rPr>
        <w:t>⁺</w:t>
      </w:r>
      <w:r w:rsidRPr="008B60EB">
        <w:rPr>
          <w:rFonts w:ascii="Aptos" w:eastAsia="Times New Roman" w:hAnsi="Aptos"/>
        </w:rPr>
        <w:t xml:space="preserve"> T cells, CD11b</w:t>
      </w:r>
      <w:r w:rsidRPr="008B60EB">
        <w:rPr>
          <w:rFonts w:ascii="Cambria Math" w:eastAsia="Times New Roman" w:hAnsi="Cambria Math" w:cs="Cambria Math"/>
        </w:rPr>
        <w:t>⁺</w:t>
      </w:r>
      <w:r w:rsidRPr="008B60EB">
        <w:rPr>
          <w:rFonts w:ascii="Aptos" w:eastAsia="Times New Roman" w:hAnsi="Aptos"/>
        </w:rPr>
        <w:t xml:space="preserve"> cells, macrophages, monocytes, neutrophils, dendritic cells (DCs), and further distinguished lymphoid DCs from myeloid DCs.</w:t>
      </w:r>
      <w:r>
        <w:rPr>
          <w:rFonts w:ascii="Aptos" w:eastAsia="Times New Roman" w:hAnsi="Aptos"/>
        </w:rPr>
        <w:t xml:space="preserve"> We saw no</w:t>
      </w:r>
      <w:r w:rsidRPr="008B60EB">
        <w:rPr>
          <w:rFonts w:ascii="Aptos" w:eastAsia="Times New Roman" w:hAnsi="Aptos"/>
        </w:rPr>
        <w:t xml:space="preserve"> significant differences in any of these cell types between uninfected and ST1.75-colonized mice (Wilcoxon rank-sum, n=3 per group, all p ≥ 0.1)</w:t>
      </w:r>
      <w:r>
        <w:rPr>
          <w:rFonts w:ascii="Aptos" w:eastAsia="Times New Roman" w:hAnsi="Aptos"/>
        </w:rPr>
        <w:t xml:space="preserve"> (</w:t>
      </w:r>
      <w:r w:rsidRPr="000D4ACF">
        <w:rPr>
          <w:rFonts w:ascii="Aptos" w:eastAsia="Times New Roman" w:hAnsi="Aptos"/>
          <w:b/>
          <w:bCs/>
        </w:rPr>
        <w:t>Figure 2A</w:t>
      </w:r>
      <w:r>
        <w:rPr>
          <w:rFonts w:ascii="Aptos" w:eastAsia="Times New Roman" w:hAnsi="Aptos"/>
          <w:b/>
          <w:bCs/>
        </w:rPr>
        <w:t>,</w:t>
      </w:r>
      <w:r w:rsidRPr="000D4ACF">
        <w:rPr>
          <w:rFonts w:ascii="Aptos" w:eastAsia="Times New Roman" w:hAnsi="Aptos"/>
          <w:b/>
          <w:bCs/>
        </w:rPr>
        <w:t>B</w:t>
      </w:r>
      <w:r>
        <w:rPr>
          <w:rFonts w:ascii="Aptos" w:eastAsia="Times New Roman" w:hAnsi="Aptos"/>
        </w:rPr>
        <w:t>),</w:t>
      </w:r>
      <w:r w:rsidRPr="008B60EB">
        <w:rPr>
          <w:rFonts w:ascii="Aptos" w:eastAsia="Times New Roman" w:hAnsi="Aptos"/>
        </w:rPr>
        <w:t xml:space="preserve"> </w:t>
      </w:r>
      <w:r>
        <w:rPr>
          <w:rFonts w:ascii="Aptos" w:eastAsia="Times New Roman" w:hAnsi="Aptos"/>
        </w:rPr>
        <w:t>indicating</w:t>
      </w:r>
      <w:r w:rsidRPr="008B60EB">
        <w:rPr>
          <w:rFonts w:ascii="Aptos" w:eastAsia="Times New Roman" w:hAnsi="Aptos"/>
        </w:rPr>
        <w:t xml:space="preserve"> that colonization with the avirulent ST1.75 strain does not substantially alter local innate</w:t>
      </w:r>
      <w:r>
        <w:rPr>
          <w:rFonts w:ascii="Aptos" w:eastAsia="Times New Roman" w:hAnsi="Aptos"/>
        </w:rPr>
        <w:t xml:space="preserve"> and adaptive</w:t>
      </w:r>
      <w:r w:rsidRPr="008B60EB">
        <w:rPr>
          <w:rFonts w:ascii="Aptos" w:eastAsia="Times New Roman" w:hAnsi="Aptos"/>
        </w:rPr>
        <w:t xml:space="preserve"> </w:t>
      </w:r>
      <w:r>
        <w:rPr>
          <w:rFonts w:ascii="Aptos" w:eastAsia="Times New Roman" w:hAnsi="Aptos"/>
        </w:rPr>
        <w:t>i</w:t>
      </w:r>
      <w:r w:rsidRPr="008B60EB">
        <w:rPr>
          <w:rFonts w:ascii="Aptos" w:eastAsia="Times New Roman" w:hAnsi="Aptos"/>
        </w:rPr>
        <w:t>mmune activity.</w:t>
      </w:r>
      <w:r>
        <w:rPr>
          <w:rFonts w:ascii="Aptos" w:eastAsia="Times New Roman" w:hAnsi="Aptos"/>
        </w:rPr>
        <w:t xml:space="preserve"> </w:t>
      </w:r>
      <w:proofErr w:type="spellStart"/>
      <w:r>
        <w:rPr>
          <w:rFonts w:ascii="Aptos" w:eastAsia="Times New Roman" w:hAnsi="Aptos"/>
        </w:rPr>
        <w:t>tSNE</w:t>
      </w:r>
      <w:proofErr w:type="spellEnd"/>
      <w:r>
        <w:rPr>
          <w:rFonts w:ascii="Aptos" w:eastAsia="Times New Roman" w:hAnsi="Aptos"/>
        </w:rPr>
        <w:t xml:space="preserve"> plots for the cell distribution shown in Supplementary Figure 2A, 2B.</w:t>
      </w:r>
    </w:p>
    <w:p w14:paraId="6FDFBD7A" w14:textId="77777777" w:rsidR="00680BCC" w:rsidRDefault="00680BCC" w:rsidP="00AF3D87">
      <w:pPr>
        <w:ind w:firstLine="720"/>
        <w:rPr>
          <w:rFonts w:ascii="Aptos" w:eastAsia="Times New Roman" w:hAnsi="Aptos"/>
        </w:rPr>
      </w:pPr>
      <w:r w:rsidRPr="004C0320">
        <w:rPr>
          <w:rFonts w:ascii="Aptos" w:eastAsia="Times New Roman" w:hAnsi="Aptos"/>
        </w:rPr>
        <w:t xml:space="preserve">To </w:t>
      </w:r>
      <w:r>
        <w:rPr>
          <w:rFonts w:ascii="Aptos" w:eastAsia="Times New Roman" w:hAnsi="Aptos"/>
        </w:rPr>
        <w:t xml:space="preserve">further test whether adaptive immunity might be involved, we </w:t>
      </w:r>
      <w:r w:rsidRPr="00594A2B">
        <w:rPr>
          <w:rFonts w:ascii="Aptos" w:eastAsia="Times New Roman" w:hAnsi="Aptos"/>
        </w:rPr>
        <w:t xml:space="preserve">repeated </w:t>
      </w:r>
      <w:r>
        <w:rPr>
          <w:rFonts w:ascii="Aptos" w:eastAsia="Times New Roman" w:hAnsi="Aptos"/>
        </w:rPr>
        <w:t>the ST1.75 protection</w:t>
      </w:r>
      <w:r w:rsidRPr="00594A2B">
        <w:rPr>
          <w:rFonts w:ascii="Aptos" w:eastAsia="Times New Roman" w:hAnsi="Aptos"/>
        </w:rPr>
        <w:t xml:space="preserve"> experiment in </w:t>
      </w:r>
      <w:r w:rsidRPr="000C4CFE">
        <w:rPr>
          <w:rFonts w:ascii="Aptos" w:eastAsia="Times New Roman" w:hAnsi="Aptos"/>
        </w:rPr>
        <w:t>Rag1</w:t>
      </w:r>
      <w:r w:rsidRPr="000C4CFE">
        <w:rPr>
          <w:rFonts w:ascii="Aptos" w:eastAsia="Times New Roman" w:hAnsi="Aptos"/>
          <w:vertAlign w:val="superscript"/>
        </w:rPr>
        <w:t>-/-</w:t>
      </w:r>
      <w:r>
        <w:rPr>
          <w:rFonts w:ascii="Aptos" w:eastAsia="Times New Roman" w:hAnsi="Aptos"/>
        </w:rPr>
        <w:t xml:space="preserve"> mice. </w:t>
      </w:r>
      <w:r w:rsidRPr="000D4ACF">
        <w:rPr>
          <w:rFonts w:ascii="Aptos" w:eastAsia="Times New Roman" w:hAnsi="Aptos"/>
        </w:rPr>
        <w:t xml:space="preserve">Rag1 is involved in the generation of diverse </w:t>
      </w:r>
      <w:r w:rsidRPr="000D4ACF">
        <w:rPr>
          <w:rFonts w:ascii="Aptos" w:eastAsia="Times New Roman" w:hAnsi="Aptos"/>
        </w:rPr>
        <w:lastRenderedPageBreak/>
        <w:t xml:space="preserve">antigen receptors </w:t>
      </w:r>
      <w:r>
        <w:rPr>
          <w:rFonts w:ascii="Aptos" w:eastAsia="Times New Roman" w:hAnsi="Aptos"/>
        </w:rPr>
        <w:t xml:space="preserve">, and </w:t>
      </w:r>
      <w:r w:rsidRPr="00594A2B">
        <w:rPr>
          <w:rFonts w:ascii="Aptos" w:eastAsia="Times New Roman" w:hAnsi="Aptos"/>
        </w:rPr>
        <w:t>RAG1</w:t>
      </w:r>
      <w:r>
        <w:rPr>
          <w:rFonts w:ascii="Aptos" w:eastAsia="Times New Roman" w:hAnsi="Aptos"/>
          <w:vertAlign w:val="superscript"/>
        </w:rPr>
        <w:t>-/-</w:t>
      </w:r>
      <w:r w:rsidRPr="00594A2B">
        <w:rPr>
          <w:rFonts w:ascii="Aptos" w:eastAsia="Times New Roman" w:hAnsi="Aptos"/>
        </w:rPr>
        <w:t xml:space="preserve"> mice </w:t>
      </w:r>
      <w:r>
        <w:rPr>
          <w:rFonts w:ascii="Aptos" w:eastAsia="Times New Roman" w:hAnsi="Aptos"/>
        </w:rPr>
        <w:t xml:space="preserve">have impaired adaptive immunity </w:t>
      </w:r>
      <w:hyperlink r:id="rId39" w:history="1">
        <w:r>
          <w:rPr>
            <w:rFonts w:ascii="Aptos" w:eastAsia="Times New Roman" w:hAnsi="Aptos"/>
          </w:rPr>
          <w:t>(</w:t>
        </w:r>
        <w:proofErr w:type="spellStart"/>
        <w:r>
          <w:rPr>
            <w:rFonts w:ascii="Aptos" w:eastAsia="Times New Roman" w:hAnsi="Aptos"/>
          </w:rPr>
          <w:t>Mombaerts</w:t>
        </w:r>
        <w:proofErr w:type="spellEnd"/>
        <w:r>
          <w:rPr>
            <w:rFonts w:ascii="Aptos" w:eastAsia="Times New Roman" w:hAnsi="Aptos"/>
          </w:rPr>
          <w:t> </w:t>
        </w:r>
        <w:r>
          <w:rPr>
            <w:rFonts w:ascii="Aptos" w:eastAsia="Times New Roman" w:hAnsi="Aptos"/>
            <w:i/>
          </w:rPr>
          <w:t>et al.</w:t>
        </w:r>
        <w:r>
          <w:rPr>
            <w:rFonts w:ascii="Aptos" w:eastAsia="Times New Roman" w:hAnsi="Aptos"/>
          </w:rPr>
          <w:t>, 1992)</w:t>
        </w:r>
      </w:hyperlink>
      <w:r w:rsidRPr="00594A2B">
        <w:rPr>
          <w:rFonts w:ascii="Aptos" w:eastAsia="Times New Roman" w:hAnsi="Aptos"/>
        </w:rPr>
        <w:t xml:space="preserve">. </w:t>
      </w:r>
      <w:r>
        <w:rPr>
          <w:rFonts w:ascii="Aptos" w:eastAsia="Times New Roman" w:hAnsi="Aptos"/>
        </w:rPr>
        <w:t>W</w:t>
      </w:r>
      <w:r w:rsidRPr="00594A2B">
        <w:rPr>
          <w:rFonts w:ascii="Aptos" w:eastAsia="Times New Roman" w:hAnsi="Aptos"/>
        </w:rPr>
        <w:t xml:space="preserve">e performed a three-arm experiment with </w:t>
      </w:r>
      <w:r>
        <w:rPr>
          <w:rFonts w:ascii="Aptos" w:eastAsia="Times New Roman" w:hAnsi="Aptos"/>
        </w:rPr>
        <w:t>10</w:t>
      </w:r>
      <w:r w:rsidRPr="00594A2B">
        <w:rPr>
          <w:rFonts w:ascii="Aptos" w:eastAsia="Times New Roman" w:hAnsi="Aptos"/>
        </w:rPr>
        <w:t xml:space="preserve"> mice per group. The first group consisted of B6 mice that received PBS as the primary infection. The second group, also B6 mice, received ST1.75 for the primary infection. The third group consisted of RAG1</w:t>
      </w:r>
      <w:r>
        <w:rPr>
          <w:rFonts w:ascii="Aptos" w:eastAsia="Times New Roman" w:hAnsi="Aptos"/>
          <w:vertAlign w:val="superscript"/>
        </w:rPr>
        <w:t>-/-</w:t>
      </w:r>
      <w:r w:rsidRPr="00594A2B">
        <w:rPr>
          <w:rFonts w:ascii="Aptos" w:eastAsia="Times New Roman" w:hAnsi="Aptos"/>
        </w:rPr>
        <w:t xml:space="preserve"> mice, which also received ST1.75 as the primary infection.</w:t>
      </w:r>
      <w:r>
        <w:rPr>
          <w:rFonts w:ascii="Aptos" w:eastAsia="Times New Roman" w:hAnsi="Aptos"/>
        </w:rPr>
        <w:t xml:space="preserve"> All the mice across these groups received VPI10463 spores by oral gavage on day 16 post-primary infection.</w:t>
      </w:r>
      <w:r w:rsidRPr="00594A2B">
        <w:rPr>
          <w:rFonts w:ascii="Aptos" w:eastAsia="Times New Roman" w:hAnsi="Aptos"/>
        </w:rPr>
        <w:t xml:space="preserve"> </w:t>
      </w:r>
      <w:r>
        <w:rPr>
          <w:rFonts w:ascii="Aptos" w:eastAsia="Times New Roman" w:hAnsi="Aptos"/>
        </w:rPr>
        <w:t>All</w:t>
      </w:r>
      <w:r w:rsidRPr="00594A2B">
        <w:rPr>
          <w:rFonts w:ascii="Aptos" w:eastAsia="Times New Roman" w:hAnsi="Aptos"/>
        </w:rPr>
        <w:t xml:space="preserve"> mice</w:t>
      </w:r>
      <w:r>
        <w:rPr>
          <w:rFonts w:ascii="Aptos" w:eastAsia="Times New Roman" w:hAnsi="Aptos"/>
        </w:rPr>
        <w:t xml:space="preserve"> </w:t>
      </w:r>
      <w:r w:rsidRPr="00594A2B">
        <w:rPr>
          <w:rFonts w:ascii="Aptos" w:eastAsia="Times New Roman" w:hAnsi="Aptos"/>
        </w:rPr>
        <w:t>pre-infected with ST1.75</w:t>
      </w:r>
      <w:r>
        <w:rPr>
          <w:rFonts w:ascii="Aptos" w:eastAsia="Times New Roman" w:hAnsi="Aptos"/>
        </w:rPr>
        <w:t xml:space="preserve">, </w:t>
      </w:r>
      <w:r w:rsidRPr="00594A2B">
        <w:rPr>
          <w:rFonts w:ascii="Aptos" w:eastAsia="Times New Roman" w:hAnsi="Aptos"/>
        </w:rPr>
        <w:t>both B6 and RAG1</w:t>
      </w:r>
      <w:r>
        <w:rPr>
          <w:rFonts w:ascii="Aptos" w:eastAsia="Times New Roman" w:hAnsi="Aptos"/>
          <w:vertAlign w:val="superscript"/>
        </w:rPr>
        <w:t>-/-</w:t>
      </w:r>
      <w:r>
        <w:rPr>
          <w:rFonts w:ascii="Aptos" w:eastAsia="Times New Roman" w:hAnsi="Aptos"/>
        </w:rPr>
        <w:t>,</w:t>
      </w:r>
      <w:r w:rsidRPr="00594A2B">
        <w:rPr>
          <w:rFonts w:ascii="Aptos" w:eastAsia="Times New Roman" w:hAnsi="Aptos"/>
        </w:rPr>
        <w:t xml:space="preserve"> were </w:t>
      </w:r>
      <w:r>
        <w:rPr>
          <w:rFonts w:ascii="Aptos" w:eastAsia="Times New Roman" w:hAnsi="Aptos"/>
        </w:rPr>
        <w:t>similarly</w:t>
      </w:r>
      <w:r w:rsidRPr="00594A2B">
        <w:rPr>
          <w:rFonts w:ascii="Aptos" w:eastAsia="Times New Roman" w:hAnsi="Aptos"/>
        </w:rPr>
        <w:t xml:space="preserve"> protected against the secondary </w:t>
      </w:r>
      <w:r>
        <w:rPr>
          <w:rFonts w:ascii="Aptos" w:eastAsia="Times New Roman" w:hAnsi="Aptos"/>
        </w:rPr>
        <w:t>VPI</w:t>
      </w:r>
      <w:r w:rsidRPr="003D13CA">
        <w:rPr>
          <w:rFonts w:ascii="Aptos" w:eastAsia="Times New Roman" w:hAnsi="Aptos"/>
        </w:rPr>
        <w:t>10463</w:t>
      </w:r>
      <w:r>
        <w:rPr>
          <w:rFonts w:ascii="Aptos" w:eastAsia="Times New Roman" w:hAnsi="Aptos"/>
        </w:rPr>
        <w:t xml:space="preserve"> </w:t>
      </w:r>
      <w:r w:rsidRPr="00594A2B">
        <w:rPr>
          <w:rFonts w:ascii="Aptos" w:eastAsia="Times New Roman" w:hAnsi="Aptos"/>
        </w:rPr>
        <w:t>challenge</w:t>
      </w:r>
      <w:r>
        <w:rPr>
          <w:rFonts w:ascii="Aptos" w:eastAsia="Times New Roman" w:hAnsi="Aptos"/>
        </w:rPr>
        <w:t xml:space="preserve"> compared to control mice that received the sham primary </w:t>
      </w:r>
      <w:proofErr w:type="spellStart"/>
      <w:r>
        <w:rPr>
          <w:rFonts w:ascii="Aptos" w:eastAsia="Times New Roman" w:hAnsi="Aptos"/>
        </w:rPr>
        <w:t>clonization</w:t>
      </w:r>
      <w:proofErr w:type="spellEnd"/>
      <w:r>
        <w:rPr>
          <w:rFonts w:ascii="Aptos" w:eastAsia="Times New Roman" w:hAnsi="Aptos"/>
        </w:rPr>
        <w:t>, indicating that the protection by</w:t>
      </w:r>
      <w:r w:rsidRPr="00594A2B">
        <w:rPr>
          <w:rFonts w:ascii="Aptos" w:eastAsia="Times New Roman" w:hAnsi="Aptos"/>
        </w:rPr>
        <w:t xml:space="preserve"> ST1.75 </w:t>
      </w:r>
      <w:r>
        <w:rPr>
          <w:rFonts w:ascii="Aptos" w:eastAsia="Times New Roman" w:hAnsi="Aptos"/>
        </w:rPr>
        <w:t xml:space="preserve">is independent of </w:t>
      </w:r>
      <w:r w:rsidRPr="00594A2B">
        <w:rPr>
          <w:rFonts w:ascii="Aptos" w:eastAsia="Times New Roman" w:hAnsi="Aptos"/>
        </w:rPr>
        <w:t>adaptive immunity</w:t>
      </w:r>
      <w:r>
        <w:rPr>
          <w:rFonts w:ascii="Aptos" w:eastAsia="Times New Roman" w:hAnsi="Aptos"/>
        </w:rPr>
        <w:t xml:space="preserve"> (</w:t>
      </w:r>
      <w:r w:rsidRPr="000D4ACF">
        <w:rPr>
          <w:rFonts w:ascii="Aptos" w:eastAsia="Times New Roman" w:hAnsi="Aptos"/>
          <w:b/>
          <w:bCs/>
        </w:rPr>
        <w:t>Figure 2C</w:t>
      </w:r>
      <w:r>
        <w:rPr>
          <w:rFonts w:ascii="Aptos" w:eastAsia="Times New Roman" w:hAnsi="Aptos"/>
          <w:b/>
          <w:bCs/>
        </w:rPr>
        <w:t>,</w:t>
      </w:r>
      <w:r w:rsidRPr="000D4ACF">
        <w:rPr>
          <w:rFonts w:ascii="Aptos" w:eastAsia="Times New Roman" w:hAnsi="Aptos"/>
          <w:b/>
          <w:bCs/>
        </w:rPr>
        <w:t>D</w:t>
      </w:r>
      <w:r>
        <w:rPr>
          <w:rFonts w:ascii="Aptos" w:eastAsia="Times New Roman" w:hAnsi="Aptos"/>
        </w:rPr>
        <w:t>)</w:t>
      </w:r>
      <w:r w:rsidRPr="00594A2B">
        <w:rPr>
          <w:rFonts w:ascii="Aptos" w:eastAsia="Times New Roman" w:hAnsi="Aptos"/>
        </w:rPr>
        <w:t>.</w:t>
      </w:r>
    </w:p>
    <w:p w14:paraId="7574EEE6" w14:textId="77777777" w:rsidR="00680BCC" w:rsidRPr="00840E38" w:rsidRDefault="00680BCC" w:rsidP="00312E4D">
      <w:pPr>
        <w:pStyle w:val="Heading3"/>
      </w:pPr>
      <w:bookmarkStart w:id="2" w:name="OLE_LINK4"/>
      <w:r>
        <w:t>Pre-colonization with an avirulent ST1 strains has no impact on remnant microbiota</w:t>
      </w:r>
      <w:bookmarkEnd w:id="2"/>
    </w:p>
    <w:p w14:paraId="21FDD7E1" w14:textId="77777777" w:rsidR="00680BCC" w:rsidRPr="00E376FB" w:rsidRDefault="00680BCC" w:rsidP="00512835">
      <w:pPr>
        <w:ind w:firstLine="720"/>
        <w:rPr>
          <w:rFonts w:ascii="Aptos" w:eastAsia="Times New Roman" w:hAnsi="Aptos"/>
        </w:rPr>
      </w:pPr>
      <w:r>
        <w:rPr>
          <w:rFonts w:ascii="Aptos" w:eastAsia="Times New Roman" w:hAnsi="Aptos"/>
        </w:rPr>
        <w:t>The</w:t>
      </w:r>
      <w:r w:rsidRPr="001B309C">
        <w:rPr>
          <w:rFonts w:ascii="Aptos" w:eastAsia="Times New Roman" w:hAnsi="Aptos"/>
        </w:rPr>
        <w:t xml:space="preserve"> microbiome </w:t>
      </w:r>
      <w:r>
        <w:rPr>
          <w:rFonts w:ascii="Aptos" w:eastAsia="Times New Roman" w:hAnsi="Aptos"/>
        </w:rPr>
        <w:t>composition of</w:t>
      </w:r>
      <w:r w:rsidRPr="001B309C">
        <w:rPr>
          <w:rFonts w:ascii="Aptos" w:eastAsia="Times New Roman" w:hAnsi="Aptos"/>
        </w:rPr>
        <w:t xml:space="preserve"> </w:t>
      </w:r>
      <w:r>
        <w:rPr>
          <w:rFonts w:ascii="Aptos" w:eastAsia="Times New Roman" w:hAnsi="Aptos"/>
        </w:rPr>
        <w:t>mice colonized with avirulent strains</w:t>
      </w:r>
      <w:r w:rsidRPr="001B309C">
        <w:rPr>
          <w:rFonts w:ascii="Aptos" w:eastAsia="Times New Roman" w:hAnsi="Aptos"/>
        </w:rPr>
        <w:t xml:space="preserve"> could </w:t>
      </w:r>
      <w:r>
        <w:rPr>
          <w:rFonts w:ascii="Aptos" w:eastAsia="Times New Roman" w:hAnsi="Aptos"/>
        </w:rPr>
        <w:t xml:space="preserve">also </w:t>
      </w:r>
      <w:r w:rsidRPr="001B309C">
        <w:rPr>
          <w:rFonts w:ascii="Aptos" w:eastAsia="Times New Roman" w:hAnsi="Aptos"/>
        </w:rPr>
        <w:t>play a critical role in mediating protection</w:t>
      </w:r>
      <w:r>
        <w:rPr>
          <w:rFonts w:ascii="Aptos" w:eastAsia="Times New Roman" w:hAnsi="Aptos"/>
        </w:rPr>
        <w:t xml:space="preserve"> indirectly through colonization resistance </w:t>
      </w:r>
      <w:hyperlink r:id="rId40" w:history="1">
        <w:r>
          <w:rPr>
            <w:rFonts w:ascii="Aptos" w:eastAsia="Times New Roman" w:hAnsi="Aptos"/>
          </w:rPr>
          <w:t>(Khan </w:t>
        </w:r>
        <w:r>
          <w:rPr>
            <w:rFonts w:ascii="Aptos" w:eastAsia="Times New Roman" w:hAnsi="Aptos"/>
            <w:i/>
          </w:rPr>
          <w:t>et al.</w:t>
        </w:r>
        <w:r>
          <w:rPr>
            <w:rFonts w:ascii="Aptos" w:eastAsia="Times New Roman" w:hAnsi="Aptos"/>
          </w:rPr>
          <w:t>, 2021)</w:t>
        </w:r>
      </w:hyperlink>
      <w:r w:rsidRPr="001B309C">
        <w:rPr>
          <w:rFonts w:ascii="Aptos" w:eastAsia="Times New Roman" w:hAnsi="Aptos"/>
        </w:rPr>
        <w:t xml:space="preserve">. </w:t>
      </w:r>
      <w:r>
        <w:rPr>
          <w:rFonts w:ascii="Aptos" w:eastAsia="Times New Roman" w:hAnsi="Aptos"/>
        </w:rPr>
        <w:t xml:space="preserve">A previous study already suggested that the protection phenotype might be independent of the microbiota using germ-free mice, which lack a conventional microbiota </w:t>
      </w:r>
      <w:hyperlink r:id="rId41" w:history="1">
        <w:r>
          <w:rPr>
            <w:rFonts w:ascii="Aptos" w:eastAsia="Times New Roman" w:hAnsi="Aptos"/>
          </w:rPr>
          <w:t>(Dong </w:t>
        </w:r>
        <w:r>
          <w:rPr>
            <w:rFonts w:ascii="Aptos" w:eastAsia="Times New Roman" w:hAnsi="Aptos"/>
            <w:i/>
          </w:rPr>
          <w:t>et al.</w:t>
        </w:r>
        <w:r>
          <w:rPr>
            <w:rFonts w:ascii="Aptos" w:eastAsia="Times New Roman" w:hAnsi="Aptos"/>
          </w:rPr>
          <w:t>, 2025)</w:t>
        </w:r>
      </w:hyperlink>
      <w:r>
        <w:rPr>
          <w:rFonts w:ascii="Aptos" w:eastAsia="Times New Roman" w:hAnsi="Aptos"/>
        </w:rPr>
        <w:t xml:space="preserve">. </w:t>
      </w:r>
      <w:r w:rsidRPr="00E376FB">
        <w:rPr>
          <w:rFonts w:ascii="Aptos" w:eastAsia="Times New Roman" w:hAnsi="Aptos"/>
        </w:rPr>
        <w:t xml:space="preserve">Here, we added to those findings by </w:t>
      </w:r>
      <w:r>
        <w:rPr>
          <w:rFonts w:ascii="Aptos" w:eastAsia="Times New Roman" w:hAnsi="Aptos"/>
        </w:rPr>
        <w:t>comparing</w:t>
      </w:r>
      <w:r w:rsidRPr="00E376FB">
        <w:rPr>
          <w:rFonts w:ascii="Aptos" w:eastAsia="Times New Roman" w:hAnsi="Aptos"/>
        </w:rPr>
        <w:t xml:space="preserve"> </w:t>
      </w:r>
      <w:r>
        <w:rPr>
          <w:rFonts w:ascii="Aptos" w:eastAsia="Times New Roman" w:hAnsi="Aptos"/>
        </w:rPr>
        <w:t xml:space="preserve">the microbiota compositions of mice colonized </w:t>
      </w:r>
      <w:r w:rsidRPr="00E376FB">
        <w:rPr>
          <w:rFonts w:ascii="Aptos" w:eastAsia="Times New Roman" w:hAnsi="Aptos"/>
        </w:rPr>
        <w:t>by the protective strain ST1.75 or the non-protective strain ST1.12</w:t>
      </w:r>
      <w:r>
        <w:rPr>
          <w:rFonts w:ascii="Aptos" w:eastAsia="Times New Roman" w:hAnsi="Aptos"/>
        </w:rPr>
        <w:t xml:space="preserve">. Longitudinal microbiota analysis reveals that prior to antibiotic treatment, the microbiota </w:t>
      </w:r>
      <w:proofErr w:type="gramStart"/>
      <w:r>
        <w:rPr>
          <w:rFonts w:ascii="Aptos" w:eastAsia="Times New Roman" w:hAnsi="Aptos"/>
        </w:rPr>
        <w:t>were</w:t>
      </w:r>
      <w:proofErr w:type="gramEnd"/>
      <w:r>
        <w:rPr>
          <w:rFonts w:ascii="Aptos" w:eastAsia="Times New Roman" w:hAnsi="Aptos"/>
        </w:rPr>
        <w:t xml:space="preserve"> compositionally similar, and the administration of antibiotics caused a significant shift and a decrease in alpha-diversity. (</w:t>
      </w:r>
      <w:r w:rsidRPr="000D4ACF">
        <w:rPr>
          <w:rFonts w:ascii="Aptos" w:eastAsia="Times New Roman" w:hAnsi="Aptos"/>
          <w:b/>
          <w:bCs/>
        </w:rPr>
        <w:t>Figure 3A,B</w:t>
      </w:r>
      <w:r>
        <w:rPr>
          <w:rFonts w:ascii="Aptos" w:eastAsia="Times New Roman" w:hAnsi="Aptos"/>
        </w:rPr>
        <w:t>)</w:t>
      </w:r>
      <w:r w:rsidRPr="00E376FB">
        <w:rPr>
          <w:rFonts w:ascii="Aptos" w:eastAsia="Times New Roman" w:hAnsi="Aptos"/>
        </w:rPr>
        <w:t xml:space="preserve">. </w:t>
      </w:r>
      <w:r>
        <w:rPr>
          <w:rFonts w:ascii="Aptos" w:eastAsia="Times New Roman" w:hAnsi="Aptos"/>
        </w:rPr>
        <w:t>After colonization, a</w:t>
      </w:r>
      <w:r w:rsidRPr="00E376FB">
        <w:rPr>
          <w:rFonts w:ascii="Aptos" w:eastAsia="Times New Roman" w:hAnsi="Aptos"/>
        </w:rPr>
        <w:t xml:space="preserve">lpha diversity did not differ significantly between ST1.75 and ST1.12 colonized mice at any timepoint </w:t>
      </w:r>
      <w:r>
        <w:rPr>
          <w:rFonts w:ascii="Aptos" w:eastAsia="Times New Roman" w:hAnsi="Aptos"/>
        </w:rPr>
        <w:t>(</w:t>
      </w:r>
      <w:r w:rsidRPr="000D4ACF">
        <w:rPr>
          <w:rFonts w:ascii="Aptos" w:eastAsia="Times New Roman" w:hAnsi="Aptos"/>
          <w:b/>
          <w:bCs/>
        </w:rPr>
        <w:t>Figure 3C</w:t>
      </w:r>
      <w:r>
        <w:rPr>
          <w:rFonts w:ascii="Aptos" w:eastAsia="Times New Roman" w:hAnsi="Aptos"/>
        </w:rPr>
        <w:t>)</w:t>
      </w:r>
      <w:r w:rsidRPr="00E376FB">
        <w:rPr>
          <w:rFonts w:ascii="Aptos" w:eastAsia="Times New Roman" w:hAnsi="Aptos"/>
        </w:rPr>
        <w:t>. Beta diversity ion confirmed that microbial community composition was indistinguishable</w:t>
      </w:r>
      <w:r>
        <w:rPr>
          <w:rFonts w:ascii="Aptos" w:eastAsia="Times New Roman" w:hAnsi="Aptos"/>
        </w:rPr>
        <w:t>, indicating that colonization by a protective vs a non-</w:t>
      </w:r>
      <w:proofErr w:type="spellStart"/>
      <w:r>
        <w:rPr>
          <w:rFonts w:ascii="Aptos" w:eastAsia="Times New Roman" w:hAnsi="Aptos"/>
        </w:rPr>
        <w:t>protecive</w:t>
      </w:r>
      <w:proofErr w:type="spellEnd"/>
      <w:r>
        <w:rPr>
          <w:rFonts w:ascii="Aptos" w:eastAsia="Times New Roman" w:hAnsi="Aptos"/>
        </w:rPr>
        <w:t xml:space="preserve"> strain has no impact in the </w:t>
      </w:r>
      <w:proofErr w:type="spellStart"/>
      <w:r>
        <w:rPr>
          <w:rFonts w:ascii="Aptos" w:eastAsia="Times New Roman" w:hAnsi="Aptos"/>
        </w:rPr>
        <w:t>remant</w:t>
      </w:r>
      <w:proofErr w:type="spellEnd"/>
      <w:r>
        <w:rPr>
          <w:rFonts w:ascii="Aptos" w:eastAsia="Times New Roman" w:hAnsi="Aptos"/>
        </w:rPr>
        <w:t xml:space="preserve"> </w:t>
      </w:r>
      <w:proofErr w:type="spellStart"/>
      <w:r>
        <w:rPr>
          <w:rFonts w:ascii="Aptos" w:eastAsia="Times New Roman" w:hAnsi="Aptos"/>
        </w:rPr>
        <w:t>microbiora</w:t>
      </w:r>
      <w:proofErr w:type="spellEnd"/>
      <w:r>
        <w:rPr>
          <w:rFonts w:ascii="Aptos" w:eastAsia="Times New Roman" w:hAnsi="Aptos"/>
        </w:rPr>
        <w:t xml:space="preserve"> (Supplementary Figure 3A,B)</w:t>
      </w:r>
      <w:r w:rsidRPr="00E376FB">
        <w:rPr>
          <w:rFonts w:ascii="Aptos" w:eastAsia="Times New Roman" w:hAnsi="Aptos"/>
        </w:rPr>
        <w:t>.</w:t>
      </w:r>
      <w:r>
        <w:rPr>
          <w:rFonts w:ascii="Aptos" w:eastAsia="Times New Roman" w:hAnsi="Aptos"/>
        </w:rPr>
        <w:t xml:space="preserve"> </w:t>
      </w:r>
      <w:r w:rsidRPr="006608D3">
        <w:rPr>
          <w:rFonts w:ascii="Aptos" w:eastAsia="Times New Roman" w:hAnsi="Aptos"/>
        </w:rPr>
        <w:t xml:space="preserve">Furthermore, the relative abundance of the </w:t>
      </w:r>
      <w:r w:rsidRPr="0091292B">
        <w:rPr>
          <w:rFonts w:ascii="Aptos" w:eastAsia="Times New Roman" w:hAnsi="Aptos"/>
          <w:i/>
          <w:iCs/>
        </w:rPr>
        <w:t>Clostridioides</w:t>
      </w:r>
      <w:r w:rsidRPr="0091292B">
        <w:rPr>
          <w:rFonts w:ascii="Aptos" w:eastAsia="Times New Roman" w:hAnsi="Aptos"/>
        </w:rPr>
        <w:t xml:space="preserve"> </w:t>
      </w:r>
      <w:r w:rsidRPr="006608D3">
        <w:rPr>
          <w:rFonts w:ascii="Aptos" w:eastAsia="Times New Roman" w:hAnsi="Aptos"/>
        </w:rPr>
        <w:t>genus within the microbiome remained very low across all groups and time points compared to other genera</w:t>
      </w:r>
      <w:r>
        <w:rPr>
          <w:rFonts w:ascii="Aptos" w:eastAsia="Times New Roman" w:hAnsi="Aptos"/>
        </w:rPr>
        <w:t xml:space="preserve"> </w:t>
      </w:r>
      <w:r>
        <w:t>(</w:t>
      </w:r>
      <w:r w:rsidRPr="000D4ACF">
        <w:rPr>
          <w:b/>
          <w:bCs/>
        </w:rPr>
        <w:t>Figure 3D</w:t>
      </w:r>
      <w:r>
        <w:t>)</w:t>
      </w:r>
      <w:r>
        <w:rPr>
          <w:rFonts w:ascii="Aptos" w:eastAsia="Times New Roman" w:hAnsi="Aptos"/>
        </w:rPr>
        <w:t xml:space="preserve">. This is consistent with previous studies showing that </w:t>
      </w:r>
      <w:r w:rsidRPr="00395F6D">
        <w:rPr>
          <w:rFonts w:ascii="Aptos" w:eastAsia="Times New Roman" w:hAnsi="Aptos"/>
          <w:i/>
          <w:iCs/>
        </w:rPr>
        <w:t>C. difficile</w:t>
      </w:r>
      <w:r>
        <w:rPr>
          <w:rFonts w:ascii="Aptos" w:eastAsia="Times New Roman" w:hAnsi="Aptos"/>
        </w:rPr>
        <w:t xml:space="preserve"> does not rise to become a major microbiota component </w:t>
      </w:r>
      <w:hyperlink r:id="rId42" w:history="1">
        <w:r>
          <w:rPr>
            <w:rFonts w:ascii="Aptos" w:eastAsia="Times New Roman" w:hAnsi="Aptos"/>
          </w:rPr>
          <w:t>(Stein </w:t>
        </w:r>
        <w:r>
          <w:rPr>
            <w:rFonts w:ascii="Aptos" w:eastAsia="Times New Roman" w:hAnsi="Aptos"/>
            <w:i/>
          </w:rPr>
          <w:t>et al.</w:t>
        </w:r>
        <w:r>
          <w:rPr>
            <w:rFonts w:ascii="Aptos" w:eastAsia="Times New Roman" w:hAnsi="Aptos"/>
          </w:rPr>
          <w:t>, 2013)</w:t>
        </w:r>
      </w:hyperlink>
      <w:r w:rsidRPr="0091292B">
        <w:rPr>
          <w:rFonts w:ascii="Aptos" w:eastAsia="Times New Roman" w:hAnsi="Aptos"/>
        </w:rPr>
        <w:t xml:space="preserve">. </w:t>
      </w:r>
      <w:r w:rsidRPr="00E376FB">
        <w:rPr>
          <w:rFonts w:ascii="Aptos" w:eastAsia="Times New Roman" w:hAnsi="Aptos"/>
        </w:rPr>
        <w:t xml:space="preserve">Although ST1.12 showed numerically higher </w:t>
      </w:r>
      <w:r w:rsidRPr="008F3052">
        <w:rPr>
          <w:rFonts w:ascii="Aptos" w:eastAsia="Times New Roman" w:hAnsi="Aptos"/>
          <w:i/>
          <w:iCs/>
        </w:rPr>
        <w:t xml:space="preserve">Clostridioides </w:t>
      </w:r>
      <w:r w:rsidRPr="00E376FB">
        <w:rPr>
          <w:rFonts w:ascii="Aptos" w:eastAsia="Times New Roman" w:hAnsi="Aptos"/>
        </w:rPr>
        <w:t>abundance at Day 1 (ST1.12 mean 14.93% vs ST1.75 mean 3.87%), this difference did not reach statistical significance (p = 0.056), and no significant differences were observed at subsequent timepoints (Day 2: p = 0.413; Day 7: p = 0.310). The</w:t>
      </w:r>
      <w:r>
        <w:rPr>
          <w:rFonts w:ascii="Aptos" w:eastAsia="Times New Roman" w:hAnsi="Aptos"/>
        </w:rPr>
        <w:t>refore, the</w:t>
      </w:r>
      <w:r w:rsidRPr="00E376FB">
        <w:rPr>
          <w:rFonts w:ascii="Aptos" w:eastAsia="Times New Roman" w:hAnsi="Aptos"/>
        </w:rPr>
        <w:t xml:space="preserve"> protection phenotype of ST1.75 cannot be attributed to differences in colonization density between strains.</w:t>
      </w:r>
    </w:p>
    <w:p w14:paraId="224FA2FD" w14:textId="77777777" w:rsidR="00680BCC" w:rsidRDefault="00680BCC" w:rsidP="00E460DB">
      <w:pPr>
        <w:pStyle w:val="Heading3"/>
      </w:pPr>
      <w:r w:rsidRPr="00594A2B">
        <w:t xml:space="preserve">Genomic </w:t>
      </w:r>
      <w:r>
        <w:t>correlates of avirulent protection</w:t>
      </w:r>
    </w:p>
    <w:p w14:paraId="642C8BFD" w14:textId="77777777" w:rsidR="00680BCC" w:rsidRDefault="00680BCC" w:rsidP="004B18B6">
      <w:pPr>
        <w:ind w:firstLine="720"/>
        <w:rPr>
          <w:rFonts w:ascii="Aptos" w:eastAsia="Times New Roman" w:hAnsi="Aptos"/>
        </w:rPr>
      </w:pPr>
      <w:r w:rsidRPr="00A74333">
        <w:rPr>
          <w:rFonts w:ascii="Aptos" w:eastAsia="Times New Roman" w:hAnsi="Aptos"/>
        </w:rPr>
        <w:t xml:space="preserve">Previous research has shown that ST1.75 harbors a 69-bp deletion in the </w:t>
      </w:r>
      <w:proofErr w:type="spellStart"/>
      <w:r w:rsidRPr="00124CAF">
        <w:rPr>
          <w:rFonts w:ascii="Aptos" w:eastAsia="Times New Roman" w:hAnsi="Aptos"/>
          <w:i/>
          <w:iCs/>
        </w:rPr>
        <w:t>cdtR</w:t>
      </w:r>
      <w:proofErr w:type="spellEnd"/>
      <w:r w:rsidRPr="00A74333">
        <w:rPr>
          <w:rFonts w:ascii="Aptos" w:eastAsia="Times New Roman" w:hAnsi="Aptos"/>
        </w:rPr>
        <w:t xml:space="preserve"> gene, which encodes a regulator of CDT toxin, toxin A, and toxin B gene expression, and that </w:t>
      </w:r>
      <w:r w:rsidRPr="00A74333">
        <w:rPr>
          <w:rFonts w:ascii="Aptos" w:eastAsia="Times New Roman" w:hAnsi="Aptos"/>
        </w:rPr>
        <w:lastRenderedPageBreak/>
        <w:t xml:space="preserve">introducing this mutation into </w:t>
      </w:r>
      <w:r>
        <w:rPr>
          <w:rFonts w:ascii="Aptos" w:eastAsia="Times New Roman" w:hAnsi="Aptos"/>
        </w:rPr>
        <w:t xml:space="preserve">virulent </w:t>
      </w:r>
      <w:r w:rsidRPr="00A74333">
        <w:rPr>
          <w:rFonts w:ascii="Aptos" w:eastAsia="Times New Roman" w:hAnsi="Aptos"/>
        </w:rPr>
        <w:t xml:space="preserve">R20291 </w:t>
      </w:r>
      <w:r>
        <w:rPr>
          <w:rFonts w:ascii="Aptos" w:eastAsia="Times New Roman" w:hAnsi="Aptos"/>
        </w:rPr>
        <w:t xml:space="preserve">strain </w:t>
      </w:r>
      <w:r w:rsidRPr="00A74333">
        <w:rPr>
          <w:rFonts w:ascii="Aptos" w:eastAsia="Times New Roman" w:hAnsi="Aptos"/>
        </w:rPr>
        <w:t>was sufficient to render it avirulent</w:t>
      </w:r>
      <w:r>
        <w:rPr>
          <w:rFonts w:ascii="Aptos" w:eastAsia="Times New Roman" w:hAnsi="Aptos"/>
        </w:rPr>
        <w:t xml:space="preserve"> </w:t>
      </w:r>
      <w:hyperlink r:id="rId43" w:history="1">
        <w:r>
          <w:rPr>
            <w:rFonts w:ascii="Aptos" w:eastAsia="Times New Roman" w:hAnsi="Aptos"/>
          </w:rPr>
          <w:t>(Dong </w:t>
        </w:r>
        <w:r>
          <w:rPr>
            <w:rFonts w:ascii="Aptos" w:eastAsia="Times New Roman" w:hAnsi="Aptos"/>
            <w:i/>
          </w:rPr>
          <w:t>et al.</w:t>
        </w:r>
        <w:r>
          <w:rPr>
            <w:rFonts w:ascii="Aptos" w:eastAsia="Times New Roman" w:hAnsi="Aptos"/>
          </w:rPr>
          <w:t>, 2023b)</w:t>
        </w:r>
      </w:hyperlink>
      <w:r w:rsidRPr="0082499D">
        <w:rPr>
          <w:rFonts w:ascii="Aptos" w:eastAsia="Times New Roman" w:hAnsi="Aptos"/>
        </w:rPr>
        <w:t xml:space="preserve">. </w:t>
      </w:r>
      <w:r>
        <w:rPr>
          <w:rFonts w:ascii="Aptos" w:eastAsia="Times New Roman" w:hAnsi="Aptos"/>
        </w:rPr>
        <w:t xml:space="preserve">However, this </w:t>
      </w:r>
      <w:r w:rsidRPr="0082499D">
        <w:rPr>
          <w:rFonts w:ascii="Aptos" w:eastAsia="Times New Roman" w:hAnsi="Aptos"/>
        </w:rPr>
        <w:t xml:space="preserve">69-bp deletion in the </w:t>
      </w:r>
      <w:proofErr w:type="spellStart"/>
      <w:r w:rsidRPr="0082499D">
        <w:rPr>
          <w:rFonts w:ascii="Aptos" w:eastAsia="Times New Roman" w:hAnsi="Aptos"/>
          <w:i/>
          <w:iCs/>
        </w:rPr>
        <w:t>cdtR</w:t>
      </w:r>
      <w:proofErr w:type="spellEnd"/>
      <w:r w:rsidRPr="0082499D">
        <w:rPr>
          <w:rFonts w:ascii="Aptos" w:eastAsia="Times New Roman" w:hAnsi="Aptos"/>
        </w:rPr>
        <w:t xml:space="preserve"> gene</w:t>
      </w:r>
      <w:r>
        <w:rPr>
          <w:rFonts w:ascii="Aptos" w:eastAsia="Times New Roman" w:hAnsi="Aptos"/>
        </w:rPr>
        <w:t xml:space="preserve"> is insufficient to fully explain the variation in virulence observed among ST1 strains </w:t>
      </w:r>
      <w:hyperlink r:id="rId44" w:history="1">
        <w:r>
          <w:rPr>
            <w:rFonts w:ascii="Aptos" w:eastAsia="Times New Roman" w:hAnsi="Aptos"/>
          </w:rPr>
          <w:t>(Dong </w:t>
        </w:r>
        <w:r>
          <w:rPr>
            <w:rFonts w:ascii="Aptos" w:eastAsia="Times New Roman" w:hAnsi="Aptos"/>
            <w:i/>
          </w:rPr>
          <w:t>et al.</w:t>
        </w:r>
        <w:r>
          <w:rPr>
            <w:rFonts w:ascii="Aptos" w:eastAsia="Times New Roman" w:hAnsi="Aptos"/>
          </w:rPr>
          <w:t>, 2023b)</w:t>
        </w:r>
      </w:hyperlink>
      <w:r>
        <w:t xml:space="preserve">. </w:t>
      </w:r>
      <w:r w:rsidRPr="0082499D">
        <w:rPr>
          <w:rFonts w:ascii="Aptos" w:eastAsia="Times New Roman" w:hAnsi="Aptos"/>
        </w:rPr>
        <w:t>The</w:t>
      </w:r>
      <w:r>
        <w:rPr>
          <w:rFonts w:ascii="Aptos" w:eastAsia="Times New Roman" w:hAnsi="Aptos"/>
        </w:rPr>
        <w:t xml:space="preserve"> same previous study also</w:t>
      </w:r>
      <w:r w:rsidRPr="0082499D">
        <w:rPr>
          <w:rFonts w:ascii="Aptos" w:eastAsia="Times New Roman" w:hAnsi="Aptos"/>
        </w:rPr>
        <w:t xml:space="preserve"> </w:t>
      </w:r>
      <w:r>
        <w:rPr>
          <w:rFonts w:ascii="Aptos" w:eastAsia="Times New Roman" w:hAnsi="Aptos"/>
        </w:rPr>
        <w:t>ruled out</w:t>
      </w:r>
      <w:r w:rsidRPr="0082499D">
        <w:rPr>
          <w:rFonts w:ascii="Aptos" w:eastAsia="Times New Roman" w:hAnsi="Aptos"/>
        </w:rPr>
        <w:t xml:space="preserve"> the two unique prophages harbored by ST1.75, phiCD75-2 and phiCD75-3</w:t>
      </w:r>
      <w:r>
        <w:rPr>
          <w:rFonts w:ascii="Aptos" w:eastAsia="Times New Roman" w:hAnsi="Aptos"/>
        </w:rPr>
        <w:t xml:space="preserve">. The follow up study focusing on these two distinct genetic factors showed that they did not contribute to protection conferred by ST1.75 </w:t>
      </w:r>
      <w:hyperlink r:id="rId45" w:history="1">
        <w:r>
          <w:rPr>
            <w:rFonts w:ascii="Aptos" w:eastAsia="Times New Roman" w:hAnsi="Aptos"/>
          </w:rPr>
          <w:t>(Dong </w:t>
        </w:r>
        <w:r>
          <w:rPr>
            <w:rFonts w:ascii="Aptos" w:eastAsia="Times New Roman" w:hAnsi="Aptos"/>
            <w:i/>
          </w:rPr>
          <w:t>et al.</w:t>
        </w:r>
        <w:r>
          <w:rPr>
            <w:rFonts w:ascii="Aptos" w:eastAsia="Times New Roman" w:hAnsi="Aptos"/>
          </w:rPr>
          <w:t>, 2025)</w:t>
        </w:r>
      </w:hyperlink>
      <w:r w:rsidRPr="0082499D">
        <w:rPr>
          <w:rFonts w:ascii="Aptos" w:eastAsia="Times New Roman" w:hAnsi="Aptos"/>
        </w:rPr>
        <w:t>.</w:t>
      </w:r>
    </w:p>
    <w:p w14:paraId="1C035F13" w14:textId="77777777" w:rsidR="00680BCC" w:rsidRDefault="00680BCC" w:rsidP="00C731D2">
      <w:pPr>
        <w:ind w:firstLine="720"/>
        <w:rPr>
          <w:rFonts w:ascii="Aptos" w:eastAsia="Times New Roman" w:hAnsi="Aptos"/>
        </w:rPr>
      </w:pPr>
      <w:r>
        <w:rPr>
          <w:rFonts w:ascii="Aptos" w:eastAsia="Times New Roman" w:hAnsi="Aptos"/>
        </w:rPr>
        <w:t>W</w:t>
      </w:r>
      <w:r w:rsidRPr="00840E38">
        <w:rPr>
          <w:rFonts w:ascii="Aptos" w:eastAsia="Times New Roman" w:hAnsi="Aptos"/>
        </w:rPr>
        <w:t xml:space="preserve">e </w:t>
      </w:r>
      <w:r>
        <w:rPr>
          <w:rFonts w:ascii="Aptos" w:eastAsia="Times New Roman" w:hAnsi="Aptos"/>
        </w:rPr>
        <w:t>therefore searched for other differences in the accessory genome that might explain the variation in protection</w:t>
      </w:r>
      <w:r w:rsidRPr="00840E38">
        <w:rPr>
          <w:rFonts w:ascii="Aptos" w:eastAsia="Times New Roman" w:hAnsi="Aptos"/>
        </w:rPr>
        <w:t xml:space="preserve">. We </w:t>
      </w:r>
      <w:r>
        <w:rPr>
          <w:rFonts w:ascii="Aptos" w:eastAsia="Times New Roman" w:hAnsi="Aptos"/>
        </w:rPr>
        <w:t xml:space="preserve">reannotated the assembled </w:t>
      </w:r>
      <w:r w:rsidRPr="00840E38">
        <w:rPr>
          <w:rFonts w:ascii="Aptos" w:eastAsia="Times New Roman" w:hAnsi="Aptos"/>
        </w:rPr>
        <w:t>whole</w:t>
      </w:r>
      <w:r>
        <w:rPr>
          <w:rFonts w:ascii="Aptos" w:eastAsia="Times New Roman" w:hAnsi="Aptos"/>
        </w:rPr>
        <w:t>-</w:t>
      </w:r>
      <w:r w:rsidRPr="00840E38">
        <w:rPr>
          <w:rFonts w:ascii="Aptos" w:eastAsia="Times New Roman" w:hAnsi="Aptos"/>
        </w:rPr>
        <w:t xml:space="preserve">genome sequences </w:t>
      </w:r>
      <w:r>
        <w:rPr>
          <w:rFonts w:ascii="Aptos" w:eastAsia="Times New Roman" w:hAnsi="Aptos"/>
        </w:rPr>
        <w:t>and found that 66.6</w:t>
      </w:r>
      <w:r w:rsidRPr="00594A2B">
        <w:rPr>
          <w:rFonts w:ascii="Aptos" w:eastAsia="Times New Roman" w:hAnsi="Aptos"/>
        </w:rPr>
        <w:t xml:space="preserve">% of the </w:t>
      </w:r>
      <w:r>
        <w:rPr>
          <w:rFonts w:ascii="Aptos" w:eastAsia="Times New Roman" w:hAnsi="Aptos"/>
        </w:rPr>
        <w:t>5,109</w:t>
      </w:r>
      <w:r w:rsidRPr="00594A2B">
        <w:rPr>
          <w:rFonts w:ascii="Aptos" w:eastAsia="Times New Roman" w:hAnsi="Aptos"/>
        </w:rPr>
        <w:t xml:space="preserve"> coding sequences (CDS) belonged to </w:t>
      </w:r>
      <w:r>
        <w:rPr>
          <w:rFonts w:ascii="Aptos" w:eastAsia="Times New Roman" w:hAnsi="Aptos"/>
        </w:rPr>
        <w:t>a</w:t>
      </w:r>
      <w:r w:rsidRPr="00594A2B">
        <w:rPr>
          <w:rFonts w:ascii="Aptos" w:eastAsia="Times New Roman" w:hAnsi="Aptos"/>
        </w:rPr>
        <w:t xml:space="preserve"> core genome shared across all 21 ST1 strains, while </w:t>
      </w:r>
      <w:r>
        <w:rPr>
          <w:rFonts w:ascii="Aptos" w:eastAsia="Times New Roman" w:hAnsi="Aptos"/>
        </w:rPr>
        <w:t>33.4</w:t>
      </w:r>
      <w:r w:rsidRPr="00594A2B">
        <w:rPr>
          <w:rFonts w:ascii="Aptos" w:eastAsia="Times New Roman" w:hAnsi="Aptos"/>
        </w:rPr>
        <w:t xml:space="preserve">% comprised the accessory genome, present in only </w:t>
      </w:r>
      <w:r>
        <w:rPr>
          <w:rFonts w:ascii="Aptos" w:eastAsia="Times New Roman" w:hAnsi="Aptos"/>
        </w:rPr>
        <w:t>1</w:t>
      </w:r>
      <w:r w:rsidRPr="00594A2B">
        <w:rPr>
          <w:rFonts w:ascii="Aptos" w:eastAsia="Times New Roman" w:hAnsi="Aptos"/>
        </w:rPr>
        <w:t xml:space="preserve"> or a few strains.</w:t>
      </w:r>
      <w:r>
        <w:rPr>
          <w:rFonts w:ascii="Aptos" w:eastAsia="Times New Roman" w:hAnsi="Aptos"/>
        </w:rPr>
        <w:t xml:space="preserve"> </w:t>
      </w:r>
      <w:r w:rsidRPr="00594A2B">
        <w:rPr>
          <w:rFonts w:ascii="Aptos" w:eastAsia="Times New Roman" w:hAnsi="Aptos"/>
        </w:rPr>
        <w:t>Phylogenetic analysis</w:t>
      </w:r>
      <w:r>
        <w:rPr>
          <w:rFonts w:ascii="Aptos" w:eastAsia="Times New Roman" w:hAnsi="Aptos"/>
        </w:rPr>
        <w:t xml:space="preserve"> </w:t>
      </w:r>
      <w:r w:rsidRPr="00594A2B">
        <w:rPr>
          <w:rFonts w:ascii="Aptos" w:eastAsia="Times New Roman" w:hAnsi="Aptos"/>
        </w:rPr>
        <w:t xml:space="preserve">based on differences in core </w:t>
      </w:r>
      <w:r>
        <w:rPr>
          <w:rFonts w:ascii="Aptos" w:eastAsia="Times New Roman" w:hAnsi="Aptos"/>
        </w:rPr>
        <w:t xml:space="preserve">genome showed no </w:t>
      </w:r>
      <w:r w:rsidRPr="00594A2B">
        <w:rPr>
          <w:rFonts w:ascii="Aptos" w:eastAsia="Times New Roman" w:hAnsi="Aptos"/>
        </w:rPr>
        <w:t>distinct phylogenetic clustering that separated protective from non-protective strains</w:t>
      </w:r>
      <w:r>
        <w:rPr>
          <w:rFonts w:ascii="Aptos" w:eastAsia="Times New Roman" w:hAnsi="Aptos"/>
        </w:rPr>
        <w:t xml:space="preserve"> (</w:t>
      </w:r>
      <w:r w:rsidRPr="000D4ACF">
        <w:rPr>
          <w:rFonts w:ascii="Aptos" w:eastAsia="Times New Roman" w:hAnsi="Aptos"/>
          <w:b/>
          <w:bCs/>
        </w:rPr>
        <w:t>Figure 4A</w:t>
      </w:r>
      <w:r w:rsidRPr="00DA6C33">
        <w:rPr>
          <w:rFonts w:ascii="Aptos" w:eastAsia="Times New Roman" w:hAnsi="Aptos"/>
        </w:rPr>
        <w:t>).</w:t>
      </w:r>
      <w:r>
        <w:rPr>
          <w:rFonts w:ascii="Aptos" w:eastAsia="Times New Roman" w:hAnsi="Aptos"/>
          <w:b/>
          <w:bCs/>
        </w:rPr>
        <w:t xml:space="preserve"> </w:t>
      </w:r>
      <w:r>
        <w:rPr>
          <w:rFonts w:ascii="Aptos" w:eastAsia="Times New Roman" w:hAnsi="Aptos"/>
        </w:rPr>
        <w:t>A p</w:t>
      </w:r>
      <w:r w:rsidRPr="00594A2B">
        <w:rPr>
          <w:rFonts w:ascii="Aptos" w:eastAsia="Times New Roman" w:hAnsi="Aptos"/>
        </w:rPr>
        <w:t>rincipal component analysis</w:t>
      </w:r>
      <w:r>
        <w:rPr>
          <w:rFonts w:ascii="Aptos" w:eastAsia="Times New Roman" w:hAnsi="Aptos"/>
        </w:rPr>
        <w:t xml:space="preserve"> </w:t>
      </w:r>
      <w:r w:rsidRPr="00594A2B">
        <w:rPr>
          <w:rFonts w:ascii="Aptos" w:eastAsia="Times New Roman" w:hAnsi="Aptos"/>
        </w:rPr>
        <w:t xml:space="preserve">of the </w:t>
      </w:r>
      <w:r>
        <w:rPr>
          <w:rFonts w:ascii="Aptos" w:eastAsia="Times New Roman" w:hAnsi="Aptos"/>
        </w:rPr>
        <w:t xml:space="preserve">accessory </w:t>
      </w:r>
      <w:r w:rsidRPr="00594A2B">
        <w:rPr>
          <w:rFonts w:ascii="Aptos" w:eastAsia="Times New Roman" w:hAnsi="Aptos"/>
        </w:rPr>
        <w:t xml:space="preserve">gene presence/absence </w:t>
      </w:r>
      <w:r>
        <w:rPr>
          <w:rFonts w:ascii="Aptos" w:eastAsia="Times New Roman" w:hAnsi="Aptos"/>
        </w:rPr>
        <w:t xml:space="preserve">matrix </w:t>
      </w:r>
      <w:r w:rsidRPr="00594A2B">
        <w:rPr>
          <w:rFonts w:ascii="Aptos" w:eastAsia="Times New Roman" w:hAnsi="Aptos"/>
        </w:rPr>
        <w:t>did not reveal any clear clustering or separation between protective and non-protective strains</w:t>
      </w:r>
      <w:r>
        <w:rPr>
          <w:rFonts w:ascii="Aptos" w:eastAsia="Times New Roman" w:hAnsi="Aptos"/>
        </w:rPr>
        <w:t xml:space="preserve"> (</w:t>
      </w:r>
      <w:r w:rsidRPr="000D4ACF">
        <w:rPr>
          <w:rFonts w:ascii="Aptos" w:eastAsia="Times New Roman" w:hAnsi="Aptos"/>
          <w:b/>
          <w:bCs/>
        </w:rPr>
        <w:t>Figure 4B</w:t>
      </w:r>
      <w:r>
        <w:rPr>
          <w:rFonts w:ascii="Aptos" w:eastAsia="Times New Roman" w:hAnsi="Aptos"/>
        </w:rPr>
        <w:t>)</w:t>
      </w:r>
      <w:r w:rsidRPr="00594A2B">
        <w:rPr>
          <w:rFonts w:ascii="Aptos" w:eastAsia="Times New Roman" w:hAnsi="Aptos"/>
        </w:rPr>
        <w:t xml:space="preserve">. </w:t>
      </w:r>
      <w:r>
        <w:rPr>
          <w:rFonts w:ascii="Aptos" w:eastAsia="Times New Roman" w:hAnsi="Aptos"/>
        </w:rPr>
        <w:t xml:space="preserve">No specific gene or gene group showed associations </w:t>
      </w:r>
      <w:proofErr w:type="spellStart"/>
      <w:r>
        <w:rPr>
          <w:rFonts w:ascii="Aptos" w:eastAsia="Times New Roman" w:hAnsi="Aptos"/>
        </w:rPr>
        <w:t>woth</w:t>
      </w:r>
      <w:proofErr w:type="spellEnd"/>
      <w:r>
        <w:rPr>
          <w:rFonts w:ascii="Aptos" w:eastAsia="Times New Roman" w:hAnsi="Aptos"/>
        </w:rPr>
        <w:t xml:space="preserve"> protective or non-protective strains. (</w:t>
      </w:r>
      <w:proofErr w:type="spellStart"/>
      <w:r>
        <w:rPr>
          <w:rFonts w:ascii="Aptos" w:eastAsia="Times New Roman" w:hAnsi="Aptos"/>
        </w:rPr>
        <w:t>Supplemntary</w:t>
      </w:r>
      <w:proofErr w:type="spellEnd"/>
      <w:r>
        <w:rPr>
          <w:rFonts w:ascii="Aptos" w:eastAsia="Times New Roman" w:hAnsi="Aptos"/>
        </w:rPr>
        <w:t xml:space="preserve"> Figure 4A)</w:t>
      </w:r>
      <w:r w:rsidRPr="00594A2B">
        <w:rPr>
          <w:rFonts w:ascii="Aptos" w:eastAsia="Times New Roman" w:hAnsi="Aptos"/>
        </w:rPr>
        <w:t>.</w:t>
      </w:r>
      <w:r>
        <w:rPr>
          <w:rFonts w:ascii="Aptos" w:eastAsia="Times New Roman" w:hAnsi="Aptos"/>
        </w:rPr>
        <w:t xml:space="preserve"> </w:t>
      </w:r>
      <w:r w:rsidRPr="00594A2B">
        <w:rPr>
          <w:rFonts w:ascii="Aptos" w:eastAsia="Times New Roman" w:hAnsi="Aptos"/>
        </w:rPr>
        <w:t xml:space="preserve">Thus, neither core genome nor accessory gene content </w:t>
      </w:r>
      <w:r>
        <w:rPr>
          <w:rFonts w:ascii="Aptos" w:eastAsia="Times New Roman" w:hAnsi="Aptos"/>
        </w:rPr>
        <w:t>appear to explain</w:t>
      </w:r>
      <w:r w:rsidRPr="00594A2B">
        <w:rPr>
          <w:rFonts w:ascii="Aptos" w:eastAsia="Times New Roman" w:hAnsi="Aptos"/>
        </w:rPr>
        <w:t xml:space="preserve"> the </w:t>
      </w:r>
      <w:r>
        <w:rPr>
          <w:rFonts w:ascii="Aptos" w:eastAsia="Times New Roman" w:hAnsi="Aptos"/>
        </w:rPr>
        <w:t>variation in</w:t>
      </w:r>
      <w:r w:rsidRPr="00594A2B">
        <w:rPr>
          <w:rFonts w:ascii="Aptos" w:eastAsia="Times New Roman" w:hAnsi="Aptos"/>
        </w:rPr>
        <w:t xml:space="preserve"> protection</w:t>
      </w:r>
      <w:r>
        <w:rPr>
          <w:rFonts w:ascii="Aptos" w:eastAsia="Times New Roman" w:hAnsi="Aptos"/>
        </w:rPr>
        <w:t xml:space="preserve">. </w:t>
      </w:r>
    </w:p>
    <w:p w14:paraId="48632089" w14:textId="77777777" w:rsidR="00680BCC" w:rsidRDefault="00680BCC" w:rsidP="004306B9">
      <w:pPr>
        <w:ind w:firstLine="720"/>
        <w:rPr>
          <w:rFonts w:ascii="Aptos" w:eastAsia="Times New Roman" w:hAnsi="Aptos"/>
        </w:rPr>
      </w:pPr>
      <w:proofErr w:type="gramStart"/>
      <w:r>
        <w:rPr>
          <w:rFonts w:ascii="Aptos" w:eastAsia="Times New Roman" w:hAnsi="Aptos"/>
        </w:rPr>
        <w:t>A large number of</w:t>
      </w:r>
      <w:proofErr w:type="gramEnd"/>
      <w:r>
        <w:rPr>
          <w:rFonts w:ascii="Aptos" w:eastAsia="Times New Roman" w:hAnsi="Aptos"/>
        </w:rPr>
        <w:t xml:space="preserve"> </w:t>
      </w:r>
      <w:r w:rsidRPr="006524D6">
        <w:rPr>
          <w:rFonts w:ascii="Aptos" w:eastAsia="Times New Roman" w:hAnsi="Aptos"/>
          <w:i/>
          <w:iCs/>
        </w:rPr>
        <w:t>C. difficile</w:t>
      </w:r>
      <w:r w:rsidRPr="0082499D">
        <w:rPr>
          <w:rFonts w:ascii="Aptos" w:eastAsia="Times New Roman" w:hAnsi="Aptos"/>
        </w:rPr>
        <w:t xml:space="preserve"> </w:t>
      </w:r>
      <w:r>
        <w:rPr>
          <w:rFonts w:ascii="Aptos" w:eastAsia="Times New Roman" w:hAnsi="Aptos"/>
        </w:rPr>
        <w:t>open reading frames remain</w:t>
      </w:r>
      <w:r w:rsidRPr="0082499D">
        <w:rPr>
          <w:rFonts w:ascii="Aptos" w:eastAsia="Times New Roman" w:hAnsi="Aptos"/>
        </w:rPr>
        <w:t xml:space="preserve"> unannotated</w:t>
      </w:r>
      <w:r>
        <w:rPr>
          <w:rFonts w:ascii="Aptos" w:eastAsia="Times New Roman" w:hAnsi="Aptos"/>
        </w:rPr>
        <w:t>, making is hard to assess the contribution of putative genes to the</w:t>
      </w:r>
      <w:r w:rsidRPr="0082499D">
        <w:rPr>
          <w:rFonts w:ascii="Aptos" w:eastAsia="Times New Roman" w:hAnsi="Aptos"/>
        </w:rPr>
        <w:t xml:space="preserve"> protection phenotype.</w:t>
      </w:r>
      <w:r>
        <w:rPr>
          <w:rFonts w:ascii="Aptos" w:eastAsia="Times New Roman" w:hAnsi="Aptos"/>
        </w:rPr>
        <w:t xml:space="preserve"> </w:t>
      </w:r>
      <w:r>
        <w:rPr>
          <w:rFonts w:ascii="Aptos" w:eastAsia="Times New Roman" w:hAnsi="Aptos"/>
          <w:kern w:val="0"/>
          <w14:ligatures w14:val="none"/>
        </w:rPr>
        <w:t>Nevertheless, we sought to understand the implications of the presence or absence of specific genes using genome-scale</w:t>
      </w:r>
      <w:r>
        <w:rPr>
          <w:rFonts w:ascii="Aptos" w:eastAsia="Times New Roman" w:hAnsi="Aptos"/>
        </w:rPr>
        <w:t xml:space="preserve"> metabolic models (GSMMs). W</w:t>
      </w:r>
      <w:r w:rsidRPr="0082499D">
        <w:rPr>
          <w:rFonts w:ascii="Aptos" w:eastAsia="Times New Roman" w:hAnsi="Aptos"/>
        </w:rPr>
        <w:t xml:space="preserve">e </w:t>
      </w:r>
      <w:r>
        <w:rPr>
          <w:rFonts w:ascii="Aptos" w:eastAsia="Times New Roman" w:hAnsi="Aptos"/>
        </w:rPr>
        <w:t xml:space="preserve">developed draft genomes of our ST1 strains by creating a draft metagenome model of </w:t>
      </w:r>
      <w:r w:rsidRPr="004306B9">
        <w:rPr>
          <w:rFonts w:ascii="Aptos" w:eastAsia="Times New Roman" w:hAnsi="Aptos"/>
          <w:i/>
          <w:iCs/>
        </w:rPr>
        <w:t>C. difficile</w:t>
      </w:r>
      <w:r>
        <w:rPr>
          <w:rFonts w:ascii="Aptos" w:eastAsia="Times New Roman" w:hAnsi="Aptos"/>
          <w:i/>
          <w:iCs/>
        </w:rPr>
        <w:t xml:space="preserve"> </w:t>
      </w:r>
      <w:r>
        <w:rPr>
          <w:rFonts w:ascii="Aptos" w:eastAsia="Times New Roman" w:hAnsi="Aptos"/>
        </w:rPr>
        <w:t xml:space="preserve">using already published GSMMs for 35 </w:t>
      </w:r>
      <w:r w:rsidRPr="004306B9">
        <w:rPr>
          <w:rFonts w:ascii="Aptos" w:eastAsia="Times New Roman" w:hAnsi="Aptos"/>
          <w:i/>
          <w:iCs/>
        </w:rPr>
        <w:t>C. difficile</w:t>
      </w:r>
      <w:r>
        <w:rPr>
          <w:rFonts w:ascii="Aptos" w:eastAsia="Times New Roman" w:hAnsi="Aptos"/>
        </w:rPr>
        <w:t xml:space="preserve"> strains, which served as the parent </w:t>
      </w:r>
      <w:r w:rsidRPr="004306B9">
        <w:rPr>
          <w:rFonts w:ascii="Aptos" w:eastAsia="Times New Roman" w:hAnsi="Aptos"/>
          <w:i/>
          <w:iCs/>
        </w:rPr>
        <w:t>C. difficile</w:t>
      </w:r>
      <w:r>
        <w:rPr>
          <w:rFonts w:ascii="Aptos" w:eastAsia="Times New Roman" w:hAnsi="Aptos"/>
        </w:rPr>
        <w:t xml:space="preserve"> genome-scale metabolic model </w:t>
      </w:r>
      <w:hyperlink r:id="rId46" w:history="1">
        <w:r>
          <w:rPr>
            <w:rFonts w:ascii="Aptos" w:eastAsia="Times New Roman" w:hAnsi="Aptos"/>
          </w:rPr>
          <w:t>(Norsigian </w:t>
        </w:r>
        <w:r>
          <w:rPr>
            <w:rFonts w:ascii="Aptos" w:eastAsia="Times New Roman" w:hAnsi="Aptos"/>
            <w:i/>
          </w:rPr>
          <w:t>et al.</w:t>
        </w:r>
        <w:r>
          <w:rPr>
            <w:rFonts w:ascii="Aptos" w:eastAsia="Times New Roman" w:hAnsi="Aptos"/>
          </w:rPr>
          <w:t>, 2022)</w:t>
        </w:r>
      </w:hyperlink>
      <w:r>
        <w:rPr>
          <w:rFonts w:ascii="Aptos" w:eastAsia="Times New Roman" w:hAnsi="Aptos"/>
        </w:rPr>
        <w:t>.</w:t>
      </w:r>
      <w:r w:rsidRPr="00124CAF">
        <w:rPr>
          <w:rFonts w:ascii="Aptos" w:eastAsia="Times New Roman" w:hAnsi="Aptos"/>
        </w:rPr>
        <w:t xml:space="preserve"> These models demonstrated appropriate growth when optimizing the biomass </w:t>
      </w:r>
      <w:proofErr w:type="gramStart"/>
      <w:r w:rsidRPr="00124CAF">
        <w:rPr>
          <w:rFonts w:ascii="Aptos" w:eastAsia="Times New Roman" w:hAnsi="Aptos"/>
        </w:rPr>
        <w:t>reaction, but</w:t>
      </w:r>
      <w:proofErr w:type="gramEnd"/>
      <w:r w:rsidRPr="00124CAF">
        <w:rPr>
          <w:rFonts w:ascii="Aptos" w:eastAsia="Times New Roman" w:hAnsi="Aptos"/>
        </w:rPr>
        <w:t xml:space="preserve"> did not reveal metabolic differences between protective and non-protective strains</w:t>
      </w:r>
      <w:r>
        <w:rPr>
          <w:rFonts w:ascii="Aptos" w:eastAsia="Times New Roman" w:hAnsi="Aptos"/>
        </w:rPr>
        <w:t>, because</w:t>
      </w:r>
      <w:r w:rsidRPr="00124CAF">
        <w:rPr>
          <w:rFonts w:ascii="Aptos" w:eastAsia="Times New Roman" w:hAnsi="Aptos"/>
        </w:rPr>
        <w:t xml:space="preserve"> the models were nearly identical in both their reactions and gene content.</w:t>
      </w:r>
    </w:p>
    <w:p w14:paraId="1DE4104C" w14:textId="77777777" w:rsidR="00680BCC" w:rsidRDefault="00680BCC" w:rsidP="00B83AAD">
      <w:pPr>
        <w:rPr>
          <w:rFonts w:ascii="Aptos" w:eastAsia="Times New Roman" w:hAnsi="Aptos"/>
        </w:rPr>
      </w:pPr>
      <w:r>
        <w:rPr>
          <w:rFonts w:ascii="Aptos" w:eastAsia="Times New Roman" w:hAnsi="Aptos"/>
        </w:rPr>
        <w:tab/>
      </w:r>
      <w:r w:rsidRPr="00124CAF">
        <w:rPr>
          <w:rFonts w:ascii="Aptos" w:eastAsia="Times New Roman" w:hAnsi="Aptos"/>
        </w:rPr>
        <w:t>Despite the overall lack of discriminating genomic features, two notable differences emerged. First, pan-genome analysis revealed that clcA1, encoding an H</w:t>
      </w:r>
      <w:r w:rsidRPr="00124CAF">
        <w:rPr>
          <w:rFonts w:ascii="Cambria Math" w:eastAsia="Times New Roman" w:hAnsi="Cambria Math" w:cs="Cambria Math"/>
        </w:rPr>
        <w:t>⁺</w:t>
      </w:r>
      <w:r w:rsidRPr="00124CAF">
        <w:rPr>
          <w:rFonts w:ascii="Aptos" w:eastAsia="Times New Roman" w:hAnsi="Aptos"/>
        </w:rPr>
        <w:t>/Cl</w:t>
      </w:r>
      <w:r w:rsidRPr="00124CAF">
        <w:rPr>
          <w:rFonts w:ascii="Cambria Math" w:eastAsia="Times New Roman" w:hAnsi="Cambria Math" w:cs="Cambria Math"/>
        </w:rPr>
        <w:t>⁻</w:t>
      </w:r>
      <w:r w:rsidRPr="00124CAF">
        <w:rPr>
          <w:rFonts w:ascii="Aptos" w:eastAsia="Times New Roman" w:hAnsi="Aptos"/>
        </w:rPr>
        <w:t xml:space="preserve"> exchange transporter involved in pH homeostasis, was exclusively present in the two most protective strains, ST1.75 and ST1.6, suggesting that enhanced pH homeostasis capacity may contribute to its fitness in the gut environment. Second, </w:t>
      </w:r>
      <w:proofErr w:type="spellStart"/>
      <w:r w:rsidRPr="00124CAF">
        <w:rPr>
          <w:rFonts w:ascii="Aptos" w:eastAsia="Times New Roman" w:hAnsi="Aptos"/>
        </w:rPr>
        <w:t>breseq</w:t>
      </w:r>
      <w:proofErr w:type="spellEnd"/>
      <w:r w:rsidRPr="00124CAF">
        <w:rPr>
          <w:rFonts w:ascii="Aptos" w:eastAsia="Times New Roman" w:hAnsi="Aptos"/>
        </w:rPr>
        <w:t xml:space="preserve"> variant calling identified two mutations in the intergenic region approximately 1,115–1,118 bp upstream of </w:t>
      </w:r>
      <w:proofErr w:type="spellStart"/>
      <w:r w:rsidRPr="00124CAF">
        <w:rPr>
          <w:rFonts w:ascii="Aptos" w:eastAsia="Times New Roman" w:hAnsi="Aptos"/>
        </w:rPr>
        <w:t>queG</w:t>
      </w:r>
      <w:proofErr w:type="spellEnd"/>
      <w:r w:rsidRPr="00124CAF">
        <w:rPr>
          <w:rFonts w:ascii="Aptos" w:eastAsia="Times New Roman" w:hAnsi="Aptos"/>
        </w:rPr>
        <w:t>, present in</w:t>
      </w:r>
      <w:r>
        <w:rPr>
          <w:rFonts w:ascii="Aptos" w:eastAsia="Times New Roman" w:hAnsi="Aptos"/>
        </w:rPr>
        <w:t xml:space="preserve"> three </w:t>
      </w:r>
      <w:r w:rsidRPr="00124CAF">
        <w:rPr>
          <w:rFonts w:ascii="Aptos" w:eastAsia="Times New Roman" w:hAnsi="Aptos"/>
        </w:rPr>
        <w:t xml:space="preserve">protective strains (ST1.75, ST1.6, ST1.25) and absent in </w:t>
      </w:r>
      <w:r>
        <w:rPr>
          <w:rFonts w:ascii="Aptos" w:eastAsia="Times New Roman" w:hAnsi="Aptos"/>
        </w:rPr>
        <w:t xml:space="preserve">the top three </w:t>
      </w:r>
      <w:r w:rsidRPr="00124CAF">
        <w:rPr>
          <w:rFonts w:ascii="Aptos" w:eastAsia="Times New Roman" w:hAnsi="Aptos"/>
        </w:rPr>
        <w:t>non-</w:t>
      </w:r>
      <w:r w:rsidRPr="00124CAF">
        <w:rPr>
          <w:rFonts w:ascii="Aptos" w:eastAsia="Times New Roman" w:hAnsi="Aptos"/>
        </w:rPr>
        <w:lastRenderedPageBreak/>
        <w:t xml:space="preserve">protective strains (ST1.68, ST1.19, ST1.58). The first is a </w:t>
      </w:r>
      <w:proofErr w:type="spellStart"/>
      <w:r w:rsidRPr="00124CAF">
        <w:rPr>
          <w:rFonts w:ascii="Aptos" w:eastAsia="Times New Roman" w:hAnsi="Aptos"/>
        </w:rPr>
        <w:t>homopolymeric</w:t>
      </w:r>
      <w:proofErr w:type="spellEnd"/>
      <w:r w:rsidRPr="00124CAF">
        <w:rPr>
          <w:rFonts w:ascii="Aptos" w:eastAsia="Times New Roman" w:hAnsi="Aptos"/>
        </w:rPr>
        <w:t xml:space="preserve"> adenine repeat expansion [(A)₅→(A)₆] and the second is a dinucleotide substitution (2 bp → CG), both suggesting potential regulatory divergence in Fe-S cluster metabolism and electron transfer capacity between protective and non-protective lineages. </w:t>
      </w:r>
    </w:p>
    <w:p w14:paraId="5151F5FF" w14:textId="77777777" w:rsidR="00680BCC" w:rsidRPr="00D8540B" w:rsidRDefault="00680BCC" w:rsidP="000D4ACF">
      <w:pPr>
        <w:ind w:firstLine="720"/>
        <w:rPr>
          <w:rFonts w:ascii="Aptos" w:eastAsia="Times New Roman" w:hAnsi="Aptos"/>
        </w:rPr>
      </w:pPr>
      <w:r w:rsidRPr="00D8540B">
        <w:rPr>
          <w:rFonts w:ascii="Aptos" w:eastAsia="Times New Roman" w:hAnsi="Aptos"/>
        </w:rPr>
        <w:t>Taken together, this multi-layered genomic analysis indicates that the genetic basis of the protection phenotype is complex and cannot be easily attributed to any single gene or genomic feature. As a result, even among closely related ST1 strains, identifying the individual genetic determinants responsible for the protection phenotype remains challenging.</w:t>
      </w:r>
      <w:r>
        <w:rPr>
          <w:rFonts w:ascii="Aptos" w:eastAsia="Times New Roman" w:hAnsi="Aptos"/>
        </w:rPr>
        <w:t xml:space="preserve"> </w:t>
      </w:r>
      <w:r w:rsidRPr="000D6A87">
        <w:rPr>
          <w:rFonts w:ascii="Aptos" w:eastAsia="Times New Roman" w:hAnsi="Aptos"/>
        </w:rPr>
        <w:t>We therefore shifted our focus to identifying phenotypic correlates of protection.</w:t>
      </w:r>
    </w:p>
    <w:p w14:paraId="50570EED" w14:textId="77777777" w:rsidR="00680BCC" w:rsidRPr="00DE0720" w:rsidRDefault="00680BCC" w:rsidP="00B05301">
      <w:bookmarkStart w:id="3" w:name="OLE_LINK5"/>
      <w:r w:rsidRPr="00DE0720">
        <w:rPr>
          <w:rFonts w:eastAsiaTheme="majorEastAsia" w:cstheme="majorBidi"/>
          <w:i/>
          <w:iCs/>
          <w:color w:val="0F4761" w:themeColor="accent1" w:themeShade="BF"/>
          <w:sz w:val="28"/>
          <w:szCs w:val="28"/>
        </w:rPr>
        <w:t>C. difficile</w:t>
      </w:r>
      <w:r w:rsidRPr="00B05301">
        <w:rPr>
          <w:rFonts w:eastAsiaTheme="majorEastAsia" w:cstheme="majorBidi"/>
          <w:color w:val="0F4761" w:themeColor="accent1" w:themeShade="BF"/>
          <w:sz w:val="28"/>
          <w:szCs w:val="28"/>
        </w:rPr>
        <w:t xml:space="preserve"> </w:t>
      </w:r>
      <w:r>
        <w:rPr>
          <w:rFonts w:eastAsiaTheme="majorEastAsia" w:cstheme="majorBidi"/>
          <w:color w:val="0F4761" w:themeColor="accent1" w:themeShade="BF"/>
          <w:sz w:val="28"/>
          <w:szCs w:val="28"/>
        </w:rPr>
        <w:t>ST1</w:t>
      </w:r>
      <w:r w:rsidRPr="00DE0720">
        <w:rPr>
          <w:rFonts w:eastAsiaTheme="majorEastAsia" w:cstheme="majorBidi"/>
          <w:color w:val="0F4761" w:themeColor="accent1" w:themeShade="BF"/>
          <w:sz w:val="28"/>
          <w:szCs w:val="28"/>
        </w:rPr>
        <w:t xml:space="preserve"> </w:t>
      </w:r>
      <w:r>
        <w:rPr>
          <w:rFonts w:eastAsiaTheme="majorEastAsia" w:cstheme="majorBidi"/>
          <w:color w:val="0F4761" w:themeColor="accent1" w:themeShade="BF"/>
          <w:sz w:val="28"/>
          <w:szCs w:val="28"/>
        </w:rPr>
        <w:t xml:space="preserve">strains </w:t>
      </w:r>
      <w:r w:rsidRPr="00DE0720">
        <w:rPr>
          <w:rFonts w:eastAsiaTheme="majorEastAsia" w:cstheme="majorBidi"/>
          <w:color w:val="0F4761" w:themeColor="accent1" w:themeShade="BF"/>
          <w:sz w:val="28"/>
          <w:szCs w:val="28"/>
        </w:rPr>
        <w:t>have diverse metaboli</w:t>
      </w:r>
      <w:r>
        <w:rPr>
          <w:rFonts w:eastAsiaTheme="majorEastAsia" w:cstheme="majorBidi"/>
          <w:color w:val="0F4761" w:themeColor="accent1" w:themeShade="BF"/>
          <w:sz w:val="28"/>
          <w:szCs w:val="28"/>
        </w:rPr>
        <w:t>c traits</w:t>
      </w:r>
      <w:bookmarkEnd w:id="3"/>
    </w:p>
    <w:p w14:paraId="36E48B64" w14:textId="77777777" w:rsidR="00680BCC" w:rsidRPr="00760AF0" w:rsidRDefault="00680BCC" w:rsidP="000D4ACF">
      <w:pPr>
        <w:ind w:firstLine="720"/>
        <w:rPr>
          <w:rFonts w:ascii="Menlo" w:eastAsia="Times New Roman" w:hAnsi="Menlo" w:cs="Menlo"/>
          <w:kern w:val="0"/>
          <w:sz w:val="18"/>
          <w:szCs w:val="18"/>
          <w14:ligatures w14:val="none"/>
        </w:rPr>
      </w:pPr>
      <w:r>
        <w:rPr>
          <w:rFonts w:ascii="Aptos" w:eastAsia="Times New Roman" w:hAnsi="Aptos"/>
        </w:rPr>
        <w:t>Previous work suggests that c</w:t>
      </w:r>
      <w:r w:rsidRPr="001B309C">
        <w:rPr>
          <w:rFonts w:ascii="Aptos" w:eastAsia="Times New Roman" w:hAnsi="Aptos"/>
        </w:rPr>
        <w:t xml:space="preserve">ompetition for nutrients </w:t>
      </w:r>
      <w:r>
        <w:rPr>
          <w:rFonts w:ascii="Aptos" w:eastAsia="Times New Roman" w:hAnsi="Aptos"/>
        </w:rPr>
        <w:t xml:space="preserve">and metabolic differences </w:t>
      </w:r>
      <w:r w:rsidRPr="001B309C">
        <w:rPr>
          <w:rFonts w:ascii="Aptos" w:eastAsia="Times New Roman" w:hAnsi="Aptos"/>
        </w:rPr>
        <w:t xml:space="preserve">may </w:t>
      </w:r>
      <w:r>
        <w:rPr>
          <w:rFonts w:ascii="Aptos" w:eastAsia="Times New Roman" w:hAnsi="Aptos"/>
        </w:rPr>
        <w:t xml:space="preserve">explain the protection of ST1.75 </w:t>
      </w:r>
      <w:hyperlink r:id="rId47" w:history="1">
        <w:r>
          <w:rPr>
            <w:rFonts w:ascii="Aptos" w:eastAsia="Times New Roman" w:hAnsi="Aptos"/>
          </w:rPr>
          <w:t>(Dong </w:t>
        </w:r>
        <w:r>
          <w:rPr>
            <w:rFonts w:ascii="Aptos" w:eastAsia="Times New Roman" w:hAnsi="Aptos"/>
            <w:i/>
          </w:rPr>
          <w:t>et al.</w:t>
        </w:r>
        <w:r>
          <w:rPr>
            <w:rFonts w:ascii="Aptos" w:eastAsia="Times New Roman" w:hAnsi="Aptos"/>
          </w:rPr>
          <w:t>, 2025)</w:t>
        </w:r>
      </w:hyperlink>
      <w:r>
        <w:rPr>
          <w:rFonts w:ascii="Aptos" w:eastAsia="Times New Roman" w:hAnsi="Aptos"/>
        </w:rPr>
        <w:t xml:space="preserve">. We therefore asked whether a diversity of metabolic traits among our ST1 strain collection could explain the variation in protection that we observed. </w:t>
      </w:r>
      <w:r>
        <w:rPr>
          <w:rFonts w:ascii="Aptos" w:eastAsia="Times New Roman" w:hAnsi="Aptos"/>
          <w:kern w:val="0"/>
          <w14:ligatures w14:val="none"/>
        </w:rPr>
        <w:t>We used the BIOLOG Phenotype Microarray PM1 to score each strain's ability to grow on 95 distinct carbon sources</w:t>
      </w:r>
      <w:r>
        <w:rPr>
          <w:rFonts w:ascii="Aptos" w:eastAsia="Times New Roman" w:hAnsi="Aptos"/>
        </w:rPr>
        <w:t>. Then, we developed a mixed effects model to</w:t>
      </w:r>
      <w:r w:rsidRPr="000C3DF6">
        <w:rPr>
          <w:rFonts w:ascii="Aptos" w:eastAsia="Times New Roman" w:hAnsi="Aptos"/>
        </w:rPr>
        <w:t xml:space="preserve"> determine </w:t>
      </w:r>
      <w:r>
        <w:rPr>
          <w:rFonts w:ascii="Aptos" w:eastAsia="Times New Roman" w:hAnsi="Aptos"/>
        </w:rPr>
        <w:t xml:space="preserve">whether each </w:t>
      </w:r>
      <w:r w:rsidRPr="000C3DF6">
        <w:rPr>
          <w:rFonts w:ascii="Aptos" w:eastAsia="Times New Roman" w:hAnsi="Aptos"/>
        </w:rPr>
        <w:t xml:space="preserve">strain </w:t>
      </w:r>
      <w:r>
        <w:rPr>
          <w:rFonts w:ascii="Aptos" w:eastAsia="Times New Roman" w:hAnsi="Aptos"/>
        </w:rPr>
        <w:t xml:space="preserve">grew on each metabolite by comparing it the </w:t>
      </w:r>
      <w:proofErr w:type="spellStart"/>
      <w:r>
        <w:rPr>
          <w:rFonts w:ascii="Aptos" w:eastAsia="Times New Roman" w:hAnsi="Aptos"/>
        </w:rPr>
        <w:t>the</w:t>
      </w:r>
      <w:proofErr w:type="spellEnd"/>
      <w:r w:rsidRPr="000C3DF6">
        <w:rPr>
          <w:rFonts w:ascii="Aptos" w:eastAsia="Times New Roman" w:hAnsi="Aptos"/>
        </w:rPr>
        <w:t xml:space="preserve"> negative control</w:t>
      </w:r>
      <w:r>
        <w:rPr>
          <w:rFonts w:ascii="Aptos" w:eastAsia="Times New Roman" w:hAnsi="Aptos"/>
        </w:rPr>
        <w:t xml:space="preserve"> present in the first well of PM1 plate</w:t>
      </w:r>
      <w:r w:rsidRPr="000C3DF6">
        <w:rPr>
          <w:rFonts w:ascii="Aptos" w:eastAsia="Times New Roman" w:hAnsi="Aptos"/>
        </w:rPr>
        <w:t>.</w:t>
      </w:r>
      <w:r w:rsidRPr="00760AF0">
        <w:rPr>
          <w:rFonts w:ascii="Menlo" w:hAnsi="Menlo" w:cs="Menlo"/>
          <w:color w:val="A709F5"/>
          <w:sz w:val="18"/>
          <w:szCs w:val="18"/>
        </w:rPr>
        <w:t xml:space="preserve"> </w:t>
      </w:r>
    </w:p>
    <w:p w14:paraId="78C44761" w14:textId="77777777" w:rsidR="00680BCC" w:rsidRDefault="00680BCC" w:rsidP="00A3258C">
      <w:pPr>
        <w:ind w:firstLine="720"/>
        <w:rPr>
          <w:rFonts w:ascii="Aptos" w:eastAsia="Times New Roman" w:hAnsi="Aptos"/>
        </w:rPr>
      </w:pPr>
      <m:oMathPara>
        <m:oMath>
          <m:r>
            <w:rPr>
              <w:rFonts w:ascii="Cambria Math" w:eastAsia="Times New Roman" w:hAnsi="Cambria Math"/>
            </w:rPr>
            <m:t xml:space="preserve">Absorbance ~ Metabolite*Time+(Time|Metabolite) </m:t>
          </m:r>
        </m:oMath>
      </m:oMathPara>
    </w:p>
    <w:p w14:paraId="1CF33C17" w14:textId="77777777" w:rsidR="00680BCC" w:rsidRDefault="00680BCC" w:rsidP="000D4ACF">
      <w:pPr>
        <w:rPr>
          <w:rFonts w:ascii="Aptos" w:eastAsia="Times New Roman" w:hAnsi="Aptos"/>
        </w:rPr>
      </w:pPr>
      <w:r>
        <w:rPr>
          <w:rFonts w:ascii="Aptos" w:eastAsia="Times New Roman" w:hAnsi="Aptos"/>
        </w:rPr>
        <w:t>Growth was determined by</w:t>
      </w:r>
      <w:r w:rsidRPr="000C3DF6">
        <w:rPr>
          <w:rFonts w:ascii="Aptos" w:eastAsia="Times New Roman" w:hAnsi="Aptos"/>
        </w:rPr>
        <w:t xml:space="preserve"> </w:t>
      </w:r>
      <w:r>
        <w:rPr>
          <w:rFonts w:ascii="Aptos" w:eastAsia="Times New Roman" w:hAnsi="Aptos"/>
        </w:rPr>
        <w:t>a statistically significant</w:t>
      </w:r>
      <w:r w:rsidRPr="000C3DF6">
        <w:rPr>
          <w:rFonts w:ascii="Aptos" w:eastAsia="Times New Roman" w:hAnsi="Aptos"/>
        </w:rPr>
        <w:t xml:space="preserve"> increase in absorbance </w:t>
      </w:r>
      <w:r>
        <w:rPr>
          <w:rFonts w:ascii="Aptos" w:eastAsia="Times New Roman" w:hAnsi="Aptos"/>
        </w:rPr>
        <w:t>compared to the</w:t>
      </w:r>
      <w:r w:rsidRPr="000C3DF6">
        <w:rPr>
          <w:rFonts w:ascii="Aptos" w:eastAsia="Times New Roman" w:hAnsi="Aptos"/>
        </w:rPr>
        <w:t xml:space="preserve"> </w:t>
      </w:r>
      <w:r>
        <w:rPr>
          <w:rFonts w:ascii="Aptos" w:eastAsia="Times New Roman" w:hAnsi="Aptos"/>
        </w:rPr>
        <w:t>negative</w:t>
      </w:r>
      <w:r w:rsidRPr="000C3DF6">
        <w:rPr>
          <w:rFonts w:ascii="Aptos" w:eastAsia="Times New Roman" w:hAnsi="Aptos"/>
        </w:rPr>
        <w:t xml:space="preserve"> control</w:t>
      </w:r>
      <w:r>
        <w:rPr>
          <w:rFonts w:ascii="Aptos" w:eastAsia="Times New Roman" w:hAnsi="Aptos"/>
        </w:rPr>
        <w:t xml:space="preserve"> providing a </w:t>
      </w:r>
      <w:proofErr w:type="spellStart"/>
      <w:r>
        <w:rPr>
          <w:rFonts w:ascii="Aptos" w:eastAsia="Times New Roman" w:hAnsi="Aptos"/>
        </w:rPr>
        <w:t>a</w:t>
      </w:r>
      <w:proofErr w:type="spellEnd"/>
      <w:r>
        <w:rPr>
          <w:rFonts w:ascii="Aptos" w:eastAsia="Times New Roman" w:hAnsi="Aptos"/>
        </w:rPr>
        <w:t xml:space="preserve"> total of 2,090, strain-by-metabolite (22 x 95) conditions (</w:t>
      </w:r>
      <w:r w:rsidRPr="000D4ACF">
        <w:rPr>
          <w:rFonts w:ascii="Aptos" w:eastAsia="Times New Roman" w:hAnsi="Aptos"/>
          <w:b/>
          <w:bCs/>
        </w:rPr>
        <w:t>Figure 5A</w:t>
      </w:r>
      <w:r>
        <w:rPr>
          <w:rFonts w:ascii="Aptos" w:eastAsia="Times New Roman" w:hAnsi="Aptos"/>
        </w:rPr>
        <w:t xml:space="preserve">). </w:t>
      </w:r>
    </w:p>
    <w:p w14:paraId="3A550EC1" w14:textId="77777777" w:rsidR="00680BCC" w:rsidRDefault="00680BCC" w:rsidP="00CC42FA">
      <w:pPr>
        <w:ind w:firstLine="720"/>
        <w:rPr>
          <w:rFonts w:ascii="Aptos" w:eastAsia="Times New Roman" w:hAnsi="Aptos"/>
        </w:rPr>
      </w:pPr>
      <w:r>
        <w:rPr>
          <w:rFonts w:ascii="Aptos" w:eastAsia="Times New Roman" w:hAnsi="Aptos"/>
        </w:rPr>
        <w:t>The results revealed a wide range of metabolic traits across the ST1</w:t>
      </w:r>
      <w:r w:rsidRPr="000C3DF6">
        <w:rPr>
          <w:rFonts w:ascii="Aptos" w:eastAsia="Times New Roman" w:hAnsi="Aptos"/>
        </w:rPr>
        <w:t xml:space="preserve"> strains. </w:t>
      </w:r>
      <w:r>
        <w:rPr>
          <w:rFonts w:ascii="Aptos" w:eastAsia="Times New Roman" w:hAnsi="Aptos"/>
        </w:rPr>
        <w:t>While some nutrients could be utilized by all the strains (</w:t>
      </w:r>
      <w:r w:rsidRPr="008A48F3">
        <w:rPr>
          <w:rFonts w:ascii="Aptos" w:eastAsia="Times New Roman" w:hAnsi="Aptos"/>
        </w:rPr>
        <w:t>α</w:t>
      </w:r>
      <w:r>
        <w:rPr>
          <w:rFonts w:ascii="Aptos" w:eastAsia="Times New Roman" w:hAnsi="Aptos"/>
        </w:rPr>
        <w:t xml:space="preserve">-D-glucose), whereas some could be utilized by only 5 strains at most (sucrose). </w:t>
      </w:r>
      <w:r w:rsidRPr="00DA6C33">
        <w:rPr>
          <w:rFonts w:ascii="Aptos" w:eastAsia="Times New Roman" w:hAnsi="Aptos"/>
        </w:rPr>
        <w:t xml:space="preserve">The linear mixed effects model used here to quantify the changes in absorbance over time for each metabolite, accounts for measurement variability across different time points and wells. </w:t>
      </w:r>
    </w:p>
    <w:p w14:paraId="6C23D821" w14:textId="77777777" w:rsidR="00680BCC" w:rsidRDefault="00680BCC" w:rsidP="00DA6C33">
      <w:pPr>
        <w:ind w:firstLine="720"/>
        <w:rPr>
          <w:rFonts w:ascii="Aptos" w:eastAsia="Times New Roman" w:hAnsi="Aptos"/>
        </w:rPr>
      </w:pPr>
      <w:r>
        <w:rPr>
          <w:rFonts w:ascii="Aptos" w:eastAsia="Times New Roman" w:hAnsi="Aptos"/>
        </w:rPr>
        <w:t xml:space="preserve">We investigated correlations between growth on specific nutrients and with protection against virulence. We compared the </w:t>
      </w:r>
      <w:r w:rsidRPr="00F15D43">
        <w:rPr>
          <w:rFonts w:ascii="Aptos" w:eastAsia="Times New Roman" w:hAnsi="Aptos"/>
        </w:rPr>
        <w:t xml:space="preserve">protection scores between growers and non-growers </w:t>
      </w:r>
      <w:r>
        <w:rPr>
          <w:rFonts w:ascii="Aptos" w:eastAsia="Times New Roman" w:hAnsi="Aptos"/>
        </w:rPr>
        <w:t xml:space="preserve">for each nutrient </w:t>
      </w:r>
      <w:r w:rsidRPr="00F15D43">
        <w:rPr>
          <w:rFonts w:ascii="Aptos" w:eastAsia="Times New Roman" w:hAnsi="Aptos"/>
        </w:rPr>
        <w:t>using Wilcoxon rank-sum tests</w:t>
      </w:r>
      <w:r>
        <w:rPr>
          <w:rFonts w:ascii="Aptos" w:eastAsia="Times New Roman" w:hAnsi="Aptos"/>
        </w:rPr>
        <w:t xml:space="preserve">; however, but no singular metabolite </w:t>
      </w:r>
      <w:r w:rsidRPr="00F15D43">
        <w:rPr>
          <w:rFonts w:ascii="Aptos" w:eastAsia="Times New Roman" w:hAnsi="Aptos"/>
        </w:rPr>
        <w:t>survived Bonferroni correction</w:t>
      </w:r>
      <w:r>
        <w:rPr>
          <w:rFonts w:ascii="Aptos" w:eastAsia="Times New Roman" w:hAnsi="Aptos"/>
        </w:rPr>
        <w:t xml:space="preserve"> for multiple hypothesis testing, even though as a class, utilization of amino acids showed significant correlation with protective strains at large (Supplementary Figure 4B). These analyses suggest no single metabolite suffices for classifying protection status, but n</w:t>
      </w:r>
      <w:r>
        <w:rPr>
          <w:rFonts w:ascii="Aptos" w:eastAsia="Times New Roman" w:hAnsi="Aptos"/>
          <w:kern w:val="0"/>
          <w14:ligatures w14:val="none"/>
        </w:rPr>
        <w:t xml:space="preserve">otably, the most protective strains, such as ST1.75, </w:t>
      </w:r>
      <w:r>
        <w:rPr>
          <w:rFonts w:ascii="Aptos" w:eastAsia="Times New Roman" w:hAnsi="Aptos"/>
          <w:kern w:val="0"/>
          <w14:ligatures w14:val="none"/>
        </w:rPr>
        <w:lastRenderedPageBreak/>
        <w:t>ST1.6, and ST1.25, had much more diverse metabolic growth capabilities, whereas the least protective strains, such as ST1.68, ST1.19, and ST1.58, had limited such metabolic growth capabilities</w:t>
      </w:r>
      <w:r w:rsidRPr="00827DBE">
        <w:rPr>
          <w:rFonts w:ascii="Aptos" w:eastAsia="Times New Roman" w:hAnsi="Aptos"/>
        </w:rPr>
        <w:t>.</w:t>
      </w:r>
      <w:r>
        <w:rPr>
          <w:rFonts w:ascii="Aptos" w:eastAsia="Times New Roman" w:hAnsi="Aptos"/>
        </w:rPr>
        <w:t xml:space="preserve"> This metabolic breadth was also positively correlated with protection (</w:t>
      </w:r>
      <w:r w:rsidRPr="000D4ACF">
        <w:rPr>
          <w:rFonts w:ascii="Aptos" w:eastAsia="Times New Roman" w:hAnsi="Aptos"/>
          <w:b/>
          <w:bCs/>
        </w:rPr>
        <w:t>Figure 5C</w:t>
      </w:r>
      <w:r>
        <w:rPr>
          <w:rFonts w:ascii="Aptos" w:eastAsia="Times New Roman" w:hAnsi="Aptos"/>
        </w:rPr>
        <w:t xml:space="preserve">). </w:t>
      </w:r>
    </w:p>
    <w:p w14:paraId="362757E9" w14:textId="77777777" w:rsidR="00680BCC" w:rsidRDefault="00680BCC" w:rsidP="00CC42FA">
      <w:pPr>
        <w:ind w:firstLine="720"/>
        <w:rPr>
          <w:rFonts w:ascii="Aptos" w:eastAsia="Times New Roman" w:hAnsi="Aptos"/>
        </w:rPr>
      </w:pPr>
      <w:r>
        <w:rPr>
          <w:rFonts w:ascii="Aptos" w:eastAsia="Times New Roman" w:hAnsi="Aptos"/>
        </w:rPr>
        <w:t xml:space="preserve">These metabolic differences in growth potential between protective and non-protective strains indicate that even closely related strains can vary greatly in their metabolic functions. Such variations may ultimately influence a strain's ability to grow, expand, and persist within the complex gut environment, where competition for limited resources governs microbial dynamics. These differences could be a crucial factor in inter-strain competition and may determine the protective phenotype observed in some avirulent </w:t>
      </w:r>
      <w:r w:rsidRPr="000D4ACF">
        <w:rPr>
          <w:rFonts w:ascii="Aptos" w:eastAsia="Times New Roman" w:hAnsi="Aptos"/>
          <w:i/>
          <w:iCs/>
        </w:rPr>
        <w:t>C. difficile</w:t>
      </w:r>
      <w:r>
        <w:rPr>
          <w:rFonts w:ascii="Aptos" w:eastAsia="Times New Roman" w:hAnsi="Aptos"/>
        </w:rPr>
        <w:t xml:space="preserve"> strains against virulent </w:t>
      </w:r>
      <w:r w:rsidRPr="000D4ACF">
        <w:rPr>
          <w:rFonts w:ascii="Aptos" w:eastAsia="Times New Roman" w:hAnsi="Aptos"/>
          <w:i/>
          <w:iCs/>
        </w:rPr>
        <w:t>C. difficile</w:t>
      </w:r>
      <w:r>
        <w:rPr>
          <w:rFonts w:ascii="Aptos" w:eastAsia="Times New Roman" w:hAnsi="Aptos"/>
        </w:rPr>
        <w:t xml:space="preserve"> infection. </w:t>
      </w:r>
    </w:p>
    <w:p w14:paraId="1E644B1B" w14:textId="77777777" w:rsidR="00680BCC" w:rsidRPr="00AE4F57" w:rsidRDefault="00680BCC" w:rsidP="00AE4F57">
      <w:r>
        <w:rPr>
          <w:rFonts w:eastAsiaTheme="majorEastAsia" w:cstheme="majorBidi"/>
          <w:color w:val="0F4761" w:themeColor="accent1" w:themeShade="BF"/>
          <w:sz w:val="28"/>
          <w:szCs w:val="28"/>
        </w:rPr>
        <w:t>Metabolism differences between a protective, a non-protective, and a hypervirulent strain characterized by GC-MS</w:t>
      </w:r>
    </w:p>
    <w:p w14:paraId="08A20CE6" w14:textId="77777777" w:rsidR="00680BCC" w:rsidRDefault="00680BCC" w:rsidP="002B1F80">
      <w:pPr>
        <w:ind w:firstLine="720"/>
        <w:rPr>
          <w:rFonts w:ascii="Aptos" w:eastAsia="Times New Roman" w:hAnsi="Aptos"/>
        </w:rPr>
      </w:pPr>
      <w:r>
        <w:rPr>
          <w:rFonts w:ascii="Aptos" w:eastAsia="Times New Roman" w:hAnsi="Aptos"/>
        </w:rPr>
        <w:t xml:space="preserve">A previous study showed that ST1.75 protects against the more virulent R20291 by consuming amino-acids better </w:t>
      </w:r>
      <w:hyperlink r:id="rId48" w:history="1">
        <w:r>
          <w:rPr>
            <w:rFonts w:ascii="Aptos" w:eastAsia="Times New Roman" w:hAnsi="Aptos"/>
          </w:rPr>
          <w:t>(Dong </w:t>
        </w:r>
        <w:r>
          <w:rPr>
            <w:rFonts w:ascii="Aptos" w:eastAsia="Times New Roman" w:hAnsi="Aptos"/>
            <w:i/>
          </w:rPr>
          <w:t>et al.</w:t>
        </w:r>
        <w:r>
          <w:rPr>
            <w:rFonts w:ascii="Aptos" w:eastAsia="Times New Roman" w:hAnsi="Aptos"/>
          </w:rPr>
          <w:t>, 2025)</w:t>
        </w:r>
      </w:hyperlink>
      <w:r>
        <w:rPr>
          <w:rFonts w:ascii="Aptos" w:eastAsia="Times New Roman" w:hAnsi="Aptos"/>
        </w:rPr>
        <w:t xml:space="preserve">. Amino acids are central to </w:t>
      </w:r>
      <w:r w:rsidRPr="00F56D08">
        <w:rPr>
          <w:rFonts w:ascii="Aptos" w:eastAsia="Times New Roman" w:hAnsi="Aptos"/>
          <w:i/>
          <w:iCs/>
        </w:rPr>
        <w:t>C. difficile</w:t>
      </w:r>
      <w:r>
        <w:rPr>
          <w:rFonts w:ascii="Aptos" w:eastAsia="Times New Roman" w:hAnsi="Aptos"/>
        </w:rPr>
        <w:t xml:space="preserve"> in the gut, and the lumen of infected patients is an ecological niche rich in amino acids compared to controls </w:t>
      </w:r>
      <w:hyperlink r:id="rId49" w:history="1">
        <w:r>
          <w:rPr>
            <w:rFonts w:ascii="Aptos" w:eastAsia="Times New Roman" w:hAnsi="Aptos"/>
          </w:rPr>
          <w:t>(</w:t>
        </w:r>
        <w:proofErr w:type="spellStart"/>
        <w:r>
          <w:rPr>
            <w:rFonts w:ascii="Aptos" w:eastAsia="Times New Roman" w:hAnsi="Aptos"/>
          </w:rPr>
          <w:t>Battaglioli</w:t>
        </w:r>
        <w:proofErr w:type="spellEnd"/>
        <w:r>
          <w:rPr>
            <w:rFonts w:ascii="Aptos" w:eastAsia="Times New Roman" w:hAnsi="Aptos"/>
          </w:rPr>
          <w:t> </w:t>
        </w:r>
        <w:r>
          <w:rPr>
            <w:rFonts w:ascii="Aptos" w:eastAsia="Times New Roman" w:hAnsi="Aptos"/>
            <w:i/>
          </w:rPr>
          <w:t>et al.</w:t>
        </w:r>
        <w:r>
          <w:rPr>
            <w:rFonts w:ascii="Aptos" w:eastAsia="Times New Roman" w:hAnsi="Aptos"/>
          </w:rPr>
          <w:t>, 2018)</w:t>
        </w:r>
      </w:hyperlink>
      <w:r>
        <w:rPr>
          <w:rFonts w:ascii="Aptos" w:eastAsia="Times New Roman" w:hAnsi="Aptos"/>
        </w:rPr>
        <w:t xml:space="preserve">. We therefore sough to compare the metabolite composition of the protective </w:t>
      </w:r>
      <w:r w:rsidRPr="00637613">
        <w:rPr>
          <w:rFonts w:ascii="Aptos" w:eastAsia="Times New Roman" w:hAnsi="Aptos"/>
        </w:rPr>
        <w:t>ST1</w:t>
      </w:r>
      <w:r>
        <w:rPr>
          <w:rFonts w:ascii="Aptos" w:eastAsia="Times New Roman" w:hAnsi="Aptos"/>
        </w:rPr>
        <w:t>.</w:t>
      </w:r>
      <w:r w:rsidRPr="00637613">
        <w:rPr>
          <w:rFonts w:ascii="Aptos" w:eastAsia="Times New Roman" w:hAnsi="Aptos"/>
        </w:rPr>
        <w:t xml:space="preserve">75, </w:t>
      </w:r>
      <w:r>
        <w:rPr>
          <w:rFonts w:ascii="Aptos" w:eastAsia="Times New Roman" w:hAnsi="Aptos"/>
        </w:rPr>
        <w:t>the non-</w:t>
      </w:r>
      <w:proofErr w:type="spellStart"/>
      <w:r>
        <w:rPr>
          <w:rFonts w:ascii="Aptos" w:eastAsia="Times New Roman" w:hAnsi="Aptos"/>
        </w:rPr>
        <w:t>protectve</w:t>
      </w:r>
      <w:proofErr w:type="spellEnd"/>
      <w:r>
        <w:rPr>
          <w:rFonts w:ascii="Aptos" w:eastAsia="Times New Roman" w:hAnsi="Aptos"/>
        </w:rPr>
        <w:t xml:space="preserve"> </w:t>
      </w:r>
      <w:r w:rsidRPr="00637613">
        <w:rPr>
          <w:rFonts w:ascii="Aptos" w:eastAsia="Times New Roman" w:hAnsi="Aptos"/>
        </w:rPr>
        <w:t>ST1</w:t>
      </w:r>
      <w:r>
        <w:rPr>
          <w:rFonts w:ascii="Aptos" w:eastAsia="Times New Roman" w:hAnsi="Aptos"/>
        </w:rPr>
        <w:t>.</w:t>
      </w:r>
      <w:r w:rsidRPr="00637613">
        <w:rPr>
          <w:rFonts w:ascii="Aptos" w:eastAsia="Times New Roman" w:hAnsi="Aptos"/>
        </w:rPr>
        <w:t>68, and</w:t>
      </w:r>
      <w:r>
        <w:rPr>
          <w:rFonts w:ascii="Aptos" w:eastAsia="Times New Roman" w:hAnsi="Aptos"/>
        </w:rPr>
        <w:t xml:space="preserve"> the hypervirulent</w:t>
      </w:r>
      <w:r w:rsidRPr="00637613">
        <w:rPr>
          <w:rFonts w:ascii="Aptos" w:eastAsia="Times New Roman" w:hAnsi="Aptos"/>
        </w:rPr>
        <w:t xml:space="preserve"> VPI10463</w:t>
      </w:r>
      <w:r>
        <w:rPr>
          <w:rFonts w:ascii="Aptos" w:eastAsia="Times New Roman" w:hAnsi="Aptos"/>
        </w:rPr>
        <w:t xml:space="preserve"> using gas-chromatography/mass-spectrometry (GC-MS). We grew the strains to mid-exponential phase </w:t>
      </w:r>
      <w:r w:rsidRPr="00637613">
        <w:rPr>
          <w:rFonts w:ascii="Aptos" w:eastAsia="Times New Roman" w:hAnsi="Aptos"/>
        </w:rPr>
        <w:t xml:space="preserve">in CDMM for six hours and </w:t>
      </w:r>
      <w:r>
        <w:rPr>
          <w:rFonts w:ascii="Aptos" w:eastAsia="Times New Roman" w:hAnsi="Aptos"/>
        </w:rPr>
        <w:t xml:space="preserve">analyzed both </w:t>
      </w:r>
      <w:proofErr w:type="spellStart"/>
      <w:r>
        <w:rPr>
          <w:rFonts w:ascii="Aptos" w:eastAsia="Times New Roman" w:hAnsi="Aptos"/>
        </w:rPr>
        <w:t>interacellular</w:t>
      </w:r>
      <w:proofErr w:type="spellEnd"/>
      <w:r>
        <w:rPr>
          <w:rFonts w:ascii="Aptos" w:eastAsia="Times New Roman" w:hAnsi="Aptos"/>
        </w:rPr>
        <w:t xml:space="preserve"> and extracellular metabolite compositions (</w:t>
      </w:r>
      <w:r>
        <w:rPr>
          <w:rFonts w:ascii="Aptos" w:eastAsia="Times New Roman" w:hAnsi="Aptos"/>
          <w:b/>
          <w:bCs/>
        </w:rPr>
        <w:t>Figure 6A,B)</w:t>
      </w:r>
      <w:r>
        <w:rPr>
          <w:rFonts w:ascii="Aptos" w:eastAsia="Times New Roman" w:hAnsi="Aptos"/>
        </w:rPr>
        <w:t>. A</w:t>
      </w:r>
      <w:r w:rsidRPr="00637613">
        <w:rPr>
          <w:rFonts w:ascii="Aptos" w:eastAsia="Times New Roman" w:hAnsi="Aptos"/>
        </w:rPr>
        <w:t>l</w:t>
      </w:r>
      <w:r>
        <w:rPr>
          <w:rFonts w:ascii="Aptos" w:eastAsia="Times New Roman" w:hAnsi="Aptos"/>
        </w:rPr>
        <w:t>l</w:t>
      </w:r>
      <w:r w:rsidRPr="00637613">
        <w:rPr>
          <w:rFonts w:ascii="Aptos" w:eastAsia="Times New Roman" w:hAnsi="Aptos"/>
        </w:rPr>
        <w:t xml:space="preserve"> strains reached comparable biomass at this time</w:t>
      </w:r>
      <w:r>
        <w:rPr>
          <w:rFonts w:ascii="Aptos" w:eastAsia="Times New Roman" w:hAnsi="Aptos"/>
        </w:rPr>
        <w:t xml:space="preserve"> </w:t>
      </w:r>
      <w:r w:rsidRPr="00637613">
        <w:rPr>
          <w:rFonts w:ascii="Aptos" w:eastAsia="Times New Roman" w:hAnsi="Aptos"/>
        </w:rPr>
        <w:t xml:space="preserve">point, </w:t>
      </w:r>
      <w:r>
        <w:rPr>
          <w:rFonts w:ascii="Aptos" w:eastAsia="Times New Roman" w:hAnsi="Aptos"/>
        </w:rPr>
        <w:t xml:space="preserve">and so any </w:t>
      </w:r>
      <w:r w:rsidRPr="00637613">
        <w:rPr>
          <w:rFonts w:ascii="Aptos" w:eastAsia="Times New Roman" w:hAnsi="Aptos"/>
        </w:rPr>
        <w:t xml:space="preserve">differences in </w:t>
      </w:r>
      <w:r>
        <w:rPr>
          <w:rFonts w:ascii="Aptos" w:eastAsia="Times New Roman" w:hAnsi="Aptos"/>
        </w:rPr>
        <w:t xml:space="preserve">their </w:t>
      </w:r>
      <w:r w:rsidRPr="00637613">
        <w:rPr>
          <w:rFonts w:ascii="Aptos" w:eastAsia="Times New Roman" w:hAnsi="Aptos"/>
        </w:rPr>
        <w:t>metabolite pools reflect</w:t>
      </w:r>
      <w:r>
        <w:rPr>
          <w:rFonts w:ascii="Aptos" w:eastAsia="Times New Roman" w:hAnsi="Aptos"/>
        </w:rPr>
        <w:t xml:space="preserve"> differences in their metabolism</w:t>
      </w:r>
      <w:r w:rsidRPr="00637613">
        <w:rPr>
          <w:rFonts w:ascii="Aptos" w:eastAsia="Times New Roman" w:hAnsi="Aptos"/>
        </w:rPr>
        <w:t xml:space="preserve"> rather than differences in </w:t>
      </w:r>
      <w:r>
        <w:rPr>
          <w:rFonts w:ascii="Aptos" w:eastAsia="Times New Roman" w:hAnsi="Aptos"/>
        </w:rPr>
        <w:t xml:space="preserve">the </w:t>
      </w:r>
      <w:r w:rsidRPr="00637613">
        <w:rPr>
          <w:rFonts w:ascii="Aptos" w:eastAsia="Times New Roman" w:hAnsi="Aptos"/>
        </w:rPr>
        <w:t>growth</w:t>
      </w:r>
      <w:r>
        <w:rPr>
          <w:rFonts w:ascii="Aptos" w:eastAsia="Times New Roman" w:hAnsi="Aptos"/>
        </w:rPr>
        <w:t xml:space="preserve"> phase</w:t>
      </w:r>
      <w:r w:rsidRPr="00637613">
        <w:rPr>
          <w:rFonts w:ascii="Aptos" w:eastAsia="Times New Roman" w:hAnsi="Aptos"/>
        </w:rPr>
        <w:t xml:space="preserve">. </w:t>
      </w:r>
    </w:p>
    <w:p w14:paraId="4BD58EF9" w14:textId="77777777" w:rsidR="00680BCC" w:rsidRDefault="00680BCC" w:rsidP="002B1F80">
      <w:pPr>
        <w:ind w:firstLine="720"/>
        <w:rPr>
          <w:rFonts w:ascii="Aptos" w:eastAsia="Times New Roman" w:hAnsi="Aptos"/>
        </w:rPr>
      </w:pPr>
      <w:r>
        <w:rPr>
          <w:rFonts w:ascii="Aptos" w:eastAsia="Times New Roman" w:hAnsi="Aptos"/>
        </w:rPr>
        <w:t xml:space="preserve">The protective </w:t>
      </w:r>
      <w:r w:rsidRPr="00637613">
        <w:rPr>
          <w:rFonts w:ascii="Aptos" w:eastAsia="Times New Roman" w:hAnsi="Aptos"/>
        </w:rPr>
        <w:t>ST1</w:t>
      </w:r>
      <w:r>
        <w:rPr>
          <w:rFonts w:ascii="Aptos" w:eastAsia="Times New Roman" w:hAnsi="Aptos"/>
        </w:rPr>
        <w:t>.</w:t>
      </w:r>
      <w:r w:rsidRPr="00637613">
        <w:rPr>
          <w:rFonts w:ascii="Aptos" w:eastAsia="Times New Roman" w:hAnsi="Aptos"/>
        </w:rPr>
        <w:t xml:space="preserve">75 showed significantly higher </w:t>
      </w:r>
      <w:r>
        <w:rPr>
          <w:rFonts w:ascii="Aptos" w:eastAsia="Times New Roman" w:hAnsi="Aptos"/>
        </w:rPr>
        <w:t xml:space="preserve">release of </w:t>
      </w:r>
      <w:r w:rsidRPr="00637613">
        <w:rPr>
          <w:rFonts w:ascii="Aptos" w:eastAsia="Times New Roman" w:hAnsi="Aptos"/>
        </w:rPr>
        <w:t xml:space="preserve">alanine, </w:t>
      </w:r>
      <w:proofErr w:type="spellStart"/>
      <w:r w:rsidRPr="00637613">
        <w:rPr>
          <w:rFonts w:ascii="Aptos" w:eastAsia="Times New Roman" w:hAnsi="Aptos"/>
        </w:rPr>
        <w:t>oxoproline</w:t>
      </w:r>
      <w:proofErr w:type="spellEnd"/>
      <w:r w:rsidRPr="00637613">
        <w:rPr>
          <w:rFonts w:ascii="Aptos" w:eastAsia="Times New Roman" w:hAnsi="Aptos"/>
        </w:rPr>
        <w:t xml:space="preserve">, and lysine relative to VPI10463, and significantly higher </w:t>
      </w:r>
      <w:r>
        <w:rPr>
          <w:rFonts w:ascii="Aptos" w:eastAsia="Times New Roman" w:hAnsi="Aptos"/>
        </w:rPr>
        <w:t>consumption</w:t>
      </w:r>
      <w:r w:rsidRPr="00637613">
        <w:rPr>
          <w:rFonts w:ascii="Aptos" w:eastAsia="Times New Roman" w:hAnsi="Aptos"/>
        </w:rPr>
        <w:t xml:space="preserve"> of glutamate. Intracellularly, ST1</w:t>
      </w:r>
      <w:r>
        <w:rPr>
          <w:rFonts w:ascii="Aptos" w:eastAsia="Times New Roman" w:hAnsi="Aptos"/>
        </w:rPr>
        <w:t>.</w:t>
      </w:r>
      <w:r w:rsidRPr="00637613">
        <w:rPr>
          <w:rFonts w:ascii="Aptos" w:eastAsia="Times New Roman" w:hAnsi="Aptos"/>
        </w:rPr>
        <w:t xml:space="preserve">75 </w:t>
      </w:r>
      <w:r>
        <w:rPr>
          <w:rFonts w:ascii="Aptos" w:eastAsia="Times New Roman" w:hAnsi="Aptos"/>
        </w:rPr>
        <w:t>contained more</w:t>
      </w:r>
      <w:r w:rsidRPr="00637613">
        <w:rPr>
          <w:rFonts w:ascii="Aptos" w:eastAsia="Times New Roman" w:hAnsi="Aptos"/>
        </w:rPr>
        <w:t xml:space="preserve"> lactate, alanine, methionine, and tyrosine than VPI10463, and </w:t>
      </w:r>
      <w:r>
        <w:rPr>
          <w:rFonts w:ascii="Aptos" w:eastAsia="Times New Roman" w:hAnsi="Aptos"/>
        </w:rPr>
        <w:t>less</w:t>
      </w:r>
      <w:r w:rsidRPr="00637613">
        <w:rPr>
          <w:rFonts w:ascii="Aptos" w:eastAsia="Times New Roman" w:hAnsi="Aptos"/>
        </w:rPr>
        <w:t xml:space="preserve"> serine and threonine. </w:t>
      </w:r>
      <w:r>
        <w:rPr>
          <w:rFonts w:ascii="Aptos" w:eastAsia="Times New Roman" w:hAnsi="Aptos"/>
        </w:rPr>
        <w:t xml:space="preserve">The non-protective </w:t>
      </w:r>
      <w:r w:rsidRPr="00637613">
        <w:rPr>
          <w:rFonts w:ascii="Aptos" w:eastAsia="Times New Roman" w:hAnsi="Aptos"/>
        </w:rPr>
        <w:t>ST1</w:t>
      </w:r>
      <w:r>
        <w:rPr>
          <w:rFonts w:ascii="Aptos" w:eastAsia="Times New Roman" w:hAnsi="Aptos"/>
        </w:rPr>
        <w:t>.</w:t>
      </w:r>
      <w:r w:rsidRPr="00637613">
        <w:rPr>
          <w:rFonts w:ascii="Aptos" w:eastAsia="Times New Roman" w:hAnsi="Aptos"/>
        </w:rPr>
        <w:t>68 showed fewer differences from VPI10463 overall. Intracellularly, ST1</w:t>
      </w:r>
      <w:r>
        <w:rPr>
          <w:rFonts w:ascii="Aptos" w:eastAsia="Times New Roman" w:hAnsi="Aptos"/>
        </w:rPr>
        <w:t>.</w:t>
      </w:r>
      <w:r w:rsidRPr="00637613">
        <w:rPr>
          <w:rFonts w:ascii="Aptos" w:eastAsia="Times New Roman" w:hAnsi="Aptos"/>
        </w:rPr>
        <w:t xml:space="preserve">68 differed from VPI10463 in tryptophan, aspartate, serine, and threonine, but showed no consistent </w:t>
      </w:r>
      <w:r>
        <w:rPr>
          <w:rFonts w:ascii="Aptos" w:eastAsia="Times New Roman" w:hAnsi="Aptos"/>
        </w:rPr>
        <w:t xml:space="preserve">differences in the </w:t>
      </w:r>
      <w:r w:rsidRPr="00637613">
        <w:rPr>
          <w:rFonts w:ascii="Aptos" w:eastAsia="Times New Roman" w:hAnsi="Aptos"/>
        </w:rPr>
        <w:t xml:space="preserve">extracellular </w:t>
      </w:r>
      <w:r>
        <w:rPr>
          <w:rFonts w:ascii="Aptos" w:eastAsia="Times New Roman" w:hAnsi="Aptos"/>
        </w:rPr>
        <w:t>levels</w:t>
      </w:r>
      <w:r w:rsidRPr="00637613">
        <w:rPr>
          <w:rFonts w:ascii="Aptos" w:eastAsia="Times New Roman" w:hAnsi="Aptos"/>
        </w:rPr>
        <w:t xml:space="preserve">. Together, these results show that </w:t>
      </w:r>
      <w:r>
        <w:rPr>
          <w:rFonts w:ascii="Aptos" w:eastAsia="Times New Roman" w:hAnsi="Aptos"/>
        </w:rPr>
        <w:t xml:space="preserve">the metabolism of </w:t>
      </w:r>
      <w:r w:rsidRPr="00637613">
        <w:rPr>
          <w:rFonts w:ascii="Aptos" w:eastAsia="Times New Roman" w:hAnsi="Aptos"/>
        </w:rPr>
        <w:t>ST1</w:t>
      </w:r>
      <w:r>
        <w:rPr>
          <w:rFonts w:ascii="Aptos" w:eastAsia="Times New Roman" w:hAnsi="Aptos"/>
        </w:rPr>
        <w:t>.</w:t>
      </w:r>
      <w:r w:rsidRPr="00637613">
        <w:rPr>
          <w:rFonts w:ascii="Aptos" w:eastAsia="Times New Roman" w:hAnsi="Aptos"/>
        </w:rPr>
        <w:t xml:space="preserve">75 </w:t>
      </w:r>
      <w:r>
        <w:rPr>
          <w:rFonts w:ascii="Aptos" w:eastAsia="Times New Roman" w:hAnsi="Aptos"/>
        </w:rPr>
        <w:t>differs from</w:t>
      </w:r>
      <w:r w:rsidRPr="00637613">
        <w:rPr>
          <w:rFonts w:ascii="Aptos" w:eastAsia="Times New Roman" w:hAnsi="Aptos"/>
        </w:rPr>
        <w:t xml:space="preserve"> </w:t>
      </w:r>
      <w:r>
        <w:rPr>
          <w:rFonts w:ascii="Aptos" w:eastAsia="Times New Roman" w:hAnsi="Aptos"/>
        </w:rPr>
        <w:t xml:space="preserve">that of </w:t>
      </w:r>
      <w:r w:rsidRPr="00637613">
        <w:rPr>
          <w:rFonts w:ascii="Aptos" w:eastAsia="Times New Roman" w:hAnsi="Aptos"/>
        </w:rPr>
        <w:t xml:space="preserve">VPI10463 </w:t>
      </w:r>
      <w:r>
        <w:rPr>
          <w:rFonts w:ascii="Aptos" w:eastAsia="Times New Roman" w:hAnsi="Aptos"/>
        </w:rPr>
        <w:t xml:space="preserve">more </w:t>
      </w:r>
      <w:r w:rsidRPr="00637613">
        <w:rPr>
          <w:rFonts w:ascii="Aptos" w:eastAsia="Times New Roman" w:hAnsi="Aptos"/>
        </w:rPr>
        <w:t xml:space="preserve">than </w:t>
      </w:r>
      <w:r>
        <w:rPr>
          <w:rFonts w:ascii="Aptos" w:eastAsia="Times New Roman" w:hAnsi="Aptos"/>
        </w:rPr>
        <w:t xml:space="preserve">the non-protective </w:t>
      </w:r>
      <w:r w:rsidRPr="00637613">
        <w:rPr>
          <w:rFonts w:ascii="Aptos" w:eastAsia="Times New Roman" w:hAnsi="Aptos"/>
        </w:rPr>
        <w:t>ST1</w:t>
      </w:r>
      <w:r>
        <w:rPr>
          <w:rFonts w:ascii="Aptos" w:eastAsia="Times New Roman" w:hAnsi="Aptos"/>
        </w:rPr>
        <w:t>.</w:t>
      </w:r>
      <w:r w:rsidRPr="00637613">
        <w:rPr>
          <w:rFonts w:ascii="Aptos" w:eastAsia="Times New Roman" w:hAnsi="Aptos"/>
        </w:rPr>
        <w:t>68</w:t>
      </w:r>
      <w:r>
        <w:rPr>
          <w:rFonts w:ascii="Aptos" w:eastAsia="Times New Roman" w:hAnsi="Aptos"/>
        </w:rPr>
        <w:t xml:space="preserve"> does</w:t>
      </w:r>
      <w:r w:rsidRPr="00637613">
        <w:rPr>
          <w:rFonts w:ascii="Aptos" w:eastAsia="Times New Roman" w:hAnsi="Aptos"/>
        </w:rPr>
        <w:t>.</w:t>
      </w:r>
      <w:r>
        <w:rPr>
          <w:rFonts w:ascii="Aptos" w:eastAsia="Times New Roman" w:hAnsi="Aptos"/>
        </w:rPr>
        <w:t xml:space="preserve"> </w:t>
      </w:r>
      <w:r w:rsidRPr="00C8671F">
        <w:rPr>
          <w:rFonts w:ascii="Aptos" w:eastAsia="Times New Roman" w:hAnsi="Aptos"/>
        </w:rPr>
        <w:t>Although these differences do not fully explain the mechanism of competition, they are consistent with a contribution of metabolic divergence to the protection phenotype.</w:t>
      </w:r>
      <w:r w:rsidRPr="00DA6C33">
        <w:rPr>
          <w:rFonts w:ascii="Aptos" w:eastAsia="Times New Roman" w:hAnsi="Aptos"/>
        </w:rPr>
        <w:t xml:space="preserve"> </w:t>
      </w:r>
      <w:r>
        <w:rPr>
          <w:rFonts w:ascii="Aptos" w:eastAsia="Times New Roman" w:hAnsi="Aptos"/>
        </w:rPr>
        <w:t>(</w:t>
      </w:r>
      <w:r>
        <w:rPr>
          <w:rFonts w:ascii="Aptos" w:eastAsia="Times New Roman" w:hAnsi="Aptos"/>
          <w:b/>
          <w:bCs/>
        </w:rPr>
        <w:t>Figure 6C,D)</w:t>
      </w:r>
      <w:r>
        <w:rPr>
          <w:rFonts w:ascii="Aptos" w:eastAsia="Times New Roman" w:hAnsi="Aptos"/>
        </w:rPr>
        <w:t>.</w:t>
      </w:r>
    </w:p>
    <w:p w14:paraId="5ADAC1DE" w14:textId="77777777" w:rsidR="00680BCC" w:rsidRDefault="00680BCC" w:rsidP="00DA6C33">
      <w:pPr>
        <w:pStyle w:val="FirstParagraph"/>
        <w:spacing w:line="276" w:lineRule="auto"/>
        <w:rPr>
          <w:rFonts w:eastAsia="Times New Roman" w:cs="Times New Roman"/>
          <w:color w:val="0F4761" w:themeColor="accent1" w:themeShade="BF"/>
          <w:sz w:val="28"/>
          <w:szCs w:val="28"/>
        </w:rPr>
      </w:pPr>
    </w:p>
    <w:p w14:paraId="154C5291" w14:textId="77777777" w:rsidR="00680BCC" w:rsidRPr="00DA6C33" w:rsidRDefault="00680BCC" w:rsidP="00DA6C33">
      <w:pPr>
        <w:pStyle w:val="FirstParagraph"/>
        <w:spacing w:line="276" w:lineRule="auto"/>
        <w:rPr>
          <w:rFonts w:eastAsia="Times New Roman" w:cs="Times New Roman"/>
          <w:color w:val="0F4761" w:themeColor="accent1" w:themeShade="BF"/>
          <w:sz w:val="28"/>
          <w:szCs w:val="28"/>
        </w:rPr>
      </w:pPr>
      <w:r w:rsidRPr="00DA6C33">
        <w:rPr>
          <w:rFonts w:eastAsia="Times New Roman" w:cs="Times New Roman"/>
          <w:color w:val="0F4761" w:themeColor="accent1" w:themeShade="BF"/>
          <w:sz w:val="28"/>
          <w:szCs w:val="28"/>
        </w:rPr>
        <w:lastRenderedPageBreak/>
        <w:t xml:space="preserve">Modern coexistence theory explains when </w:t>
      </w:r>
      <w:r w:rsidRPr="00DA6C33">
        <w:rPr>
          <w:rFonts w:eastAsia="Times New Roman" w:cs="Times New Roman"/>
          <w:i/>
          <w:iCs/>
          <w:color w:val="0F4761" w:themeColor="accent1" w:themeShade="BF"/>
          <w:sz w:val="28"/>
          <w:szCs w:val="28"/>
        </w:rPr>
        <w:t xml:space="preserve">C. difficile </w:t>
      </w:r>
      <w:r w:rsidRPr="00DA6C33">
        <w:rPr>
          <w:rFonts w:eastAsia="Times New Roman" w:cs="Times New Roman"/>
          <w:color w:val="0F4761" w:themeColor="accent1" w:themeShade="BF"/>
          <w:sz w:val="28"/>
          <w:szCs w:val="28"/>
        </w:rPr>
        <w:t>strains coexist or exclude each other</w:t>
      </w:r>
    </w:p>
    <w:p w14:paraId="2C085440" w14:textId="77777777" w:rsidR="00680BCC" w:rsidRPr="000D4ACF" w:rsidRDefault="00680BCC" w:rsidP="00DA6C33">
      <w:pPr>
        <w:pStyle w:val="BodyText"/>
        <w:spacing w:line="276" w:lineRule="auto"/>
      </w:pPr>
      <w:r>
        <w:tab/>
      </w:r>
      <w:r w:rsidRPr="005E7E92">
        <w:t>Modern coexistence theory explains how competing species can coexist despite using similar resources</w:t>
      </w:r>
      <w:r>
        <w:t xml:space="preserve"> </w:t>
      </w:r>
      <w:hyperlink r:id="rId50" w:history="1">
        <w:r>
          <w:rPr>
            <w:rFonts w:ascii="Aptos" w:eastAsia="Times New Roman" w:hAnsi="Aptos"/>
          </w:rPr>
          <w:t>(Chesson, 2000)</w:t>
        </w:r>
      </w:hyperlink>
      <w:r w:rsidRPr="005E7E92">
        <w:t xml:space="preserve">. It separates mechanisms into two components: 1) Stabilizing mechanisms (niche differences) reduce interspecific competition compared to intraspecific competition. Examples include resource partitioning, temporal variation, and enemy-mediated effects. These mechanisms help a species recover when rare. 2) Equalizing mechanisms (fitness differences) reduce differences in competitive ability, such as growth rate or resource efficiency. If one species is much fitter, it will exclude </w:t>
      </w:r>
      <w:r>
        <w:t>competitors. According to this theory,</w:t>
      </w:r>
      <w:r w:rsidRPr="005E7E92">
        <w:t xml:space="preserve"> </w:t>
      </w:r>
      <w:r>
        <w:t>w</w:t>
      </w:r>
      <w:r w:rsidRPr="005E7E92">
        <w:t xml:space="preserve">hile equalizing mechanisms </w:t>
      </w:r>
      <w:r>
        <w:t>alone do not</w:t>
      </w:r>
      <w:r w:rsidRPr="005E7E92">
        <w:t xml:space="preserve"> stabilize coexistence, they facilitate stabilizing mechanisms.</w:t>
      </w:r>
    </w:p>
    <w:p w14:paraId="5694F157" w14:textId="77777777" w:rsidR="00680BCC" w:rsidRDefault="00680BCC" w:rsidP="00B41EAA">
      <w:pPr>
        <w:pStyle w:val="FirstParagraph"/>
        <w:spacing w:line="276" w:lineRule="auto"/>
        <w:rPr>
          <w:rFonts w:ascii="Aptos" w:hAnsi="Aptos"/>
        </w:rPr>
      </w:pPr>
      <w:r>
        <w:rPr>
          <w:rFonts w:ascii="Aptos" w:hAnsi="Aptos"/>
        </w:rPr>
        <w:tab/>
        <w:t>We therefore sought to</w:t>
      </w:r>
      <w:r w:rsidRPr="001E073A">
        <w:rPr>
          <w:rFonts w:ascii="Aptos" w:hAnsi="Aptos"/>
        </w:rPr>
        <w:t xml:space="preserve"> formally characterize the competitive dynamics </w:t>
      </w:r>
      <w:r>
        <w:rPr>
          <w:rFonts w:ascii="Aptos" w:hAnsi="Aptos"/>
        </w:rPr>
        <w:t xml:space="preserve">between two strains of </w:t>
      </w:r>
      <w:r>
        <w:rPr>
          <w:rFonts w:ascii="Aptos" w:hAnsi="Aptos"/>
          <w:i/>
          <w:iCs/>
        </w:rPr>
        <w:t>C. difficile</w:t>
      </w:r>
      <w:r>
        <w:rPr>
          <w:rFonts w:ascii="Aptos" w:hAnsi="Aptos"/>
        </w:rPr>
        <w:t xml:space="preserve"> under modern coexistence theory.</w:t>
      </w:r>
      <w:r w:rsidRPr="001E073A">
        <w:rPr>
          <w:rFonts w:ascii="Aptos" w:hAnsi="Aptos"/>
        </w:rPr>
        <w:t xml:space="preserve"> </w:t>
      </w:r>
      <w:r>
        <w:rPr>
          <w:rFonts w:ascii="Aptos" w:hAnsi="Aptos"/>
        </w:rPr>
        <w:t>W</w:t>
      </w:r>
      <w:r w:rsidRPr="001E073A">
        <w:rPr>
          <w:rFonts w:ascii="Aptos" w:hAnsi="Aptos"/>
        </w:rPr>
        <w:t xml:space="preserve">e developed a consumer-resource model of pairwise </w:t>
      </w:r>
      <w:proofErr w:type="spellStart"/>
      <w:r w:rsidRPr="001E073A">
        <w:rPr>
          <w:rFonts w:ascii="Aptos" w:hAnsi="Aptos"/>
        </w:rPr>
        <w:t>interstrain</w:t>
      </w:r>
      <w:proofErr w:type="spellEnd"/>
      <w:r w:rsidRPr="001E073A">
        <w:rPr>
          <w:rFonts w:ascii="Aptos" w:hAnsi="Aptos"/>
        </w:rPr>
        <w:t xml:space="preserve"> competition in a continuous-flow gut environment</w:t>
      </w:r>
      <w:r>
        <w:rPr>
          <w:rFonts w:ascii="Aptos" w:hAnsi="Aptos"/>
        </w:rPr>
        <w:t xml:space="preserve"> where</w:t>
      </w:r>
      <w:r w:rsidRPr="001E073A">
        <w:rPr>
          <w:rFonts w:ascii="Aptos" w:hAnsi="Aptos"/>
        </w:rPr>
        <w:t xml:space="preserve"> two competing strains grow on </w:t>
      </w:r>
      <w:r>
        <w:rPr>
          <w:rFonts w:ascii="Aptos" w:hAnsi="Aptos"/>
        </w:rPr>
        <w:t>distinct</w:t>
      </w:r>
      <w:r w:rsidRPr="001E073A">
        <w:rPr>
          <w:rFonts w:ascii="Aptos" w:hAnsi="Aptos"/>
        </w:rPr>
        <w:t xml:space="preserve"> classes of carbon sources</w:t>
      </w:r>
      <w:r>
        <w:rPr>
          <w:rFonts w:ascii="Aptos" w:hAnsi="Aptos"/>
        </w:rPr>
        <w:t>:</w:t>
      </w:r>
      <w:r w:rsidRPr="001E073A">
        <w:rPr>
          <w:rFonts w:ascii="Aptos" w:hAnsi="Aptos"/>
        </w:rPr>
        <w:t xml:space="preserve"> shared resource</w:t>
      </w:r>
      <w:r>
        <w:rPr>
          <w:rFonts w:ascii="Aptos" w:hAnsi="Aptos"/>
        </w:rPr>
        <w:t>s, which are</w:t>
      </w:r>
      <w:r w:rsidRPr="001E073A">
        <w:rPr>
          <w:rFonts w:ascii="Aptos" w:hAnsi="Aptos"/>
        </w:rPr>
        <w:t xml:space="preserve"> used by both strains (size </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1E073A">
        <w:rPr>
          <w:rFonts w:ascii="Aptos" w:hAnsi="Aptos"/>
        </w:rPr>
        <w:t>)</w:t>
      </w:r>
      <w:r>
        <w:rPr>
          <w:rFonts w:ascii="Aptos" w:hAnsi="Aptos"/>
        </w:rPr>
        <w:t>,</w:t>
      </w:r>
      <w:r w:rsidRPr="001E073A">
        <w:rPr>
          <w:rFonts w:ascii="Aptos" w:hAnsi="Aptos"/>
        </w:rPr>
        <w:t xml:space="preserve"> and private resource</w:t>
      </w:r>
      <w:r>
        <w:rPr>
          <w:rFonts w:ascii="Aptos" w:hAnsi="Aptos"/>
        </w:rPr>
        <w:t>s</w:t>
      </w:r>
      <w:r w:rsidRPr="001E073A">
        <w:rPr>
          <w:rFonts w:ascii="Aptos" w:hAnsi="Aptos"/>
        </w:rPr>
        <w:t xml:space="preserve"> </w:t>
      </w:r>
      <w:r>
        <w:rPr>
          <w:rFonts w:ascii="Aptos" w:hAnsi="Aptos"/>
        </w:rPr>
        <w:t xml:space="preserve">, which </w:t>
      </w:r>
      <w:r w:rsidRPr="001E073A">
        <w:rPr>
          <w:rFonts w:ascii="Aptos" w:hAnsi="Aptos"/>
        </w:rPr>
        <w:t>accessible exclusively to each strain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1E073A">
        <w:rPr>
          <w:rFonts w:ascii="Aptos" w:hAnsi="Aptos"/>
        </w:rP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1E073A">
        <w:rPr>
          <w:rFonts w:ascii="Aptos" w:hAnsi="Aptos"/>
        </w:rPr>
        <w:t>)</w:t>
      </w:r>
      <w:r>
        <w:rPr>
          <w:rFonts w:ascii="Aptos" w:hAnsi="Aptos"/>
        </w:rPr>
        <w:t>. We parameterize n</w:t>
      </w:r>
      <w:r w:rsidRPr="00DA6C33">
        <w:rPr>
          <w:rFonts w:ascii="Aptos" w:hAnsi="Aptos"/>
          <w:vertAlign w:val="subscript"/>
        </w:rPr>
        <w:t>s</w:t>
      </w:r>
      <w:r>
        <w:rPr>
          <w:rFonts w:ascii="Aptos" w:hAnsi="Aptos"/>
        </w:rPr>
        <w:t>, n</w:t>
      </w:r>
      <w:r w:rsidRPr="00DA6C33">
        <w:rPr>
          <w:rFonts w:ascii="Aptos" w:hAnsi="Aptos"/>
          <w:vertAlign w:val="subscript"/>
        </w:rPr>
        <w:t>1</w:t>
      </w:r>
      <w:r>
        <w:rPr>
          <w:rFonts w:ascii="Aptos" w:hAnsi="Aptos"/>
        </w:rPr>
        <w:t xml:space="preserve"> and n</w:t>
      </w:r>
      <w:r>
        <w:rPr>
          <w:rFonts w:ascii="Aptos" w:hAnsi="Aptos"/>
          <w:vertAlign w:val="subscript"/>
        </w:rPr>
        <w:t>2</w:t>
      </w:r>
      <w:r>
        <w:rPr>
          <w:rFonts w:ascii="Aptos" w:hAnsi="Aptos"/>
        </w:rPr>
        <w:t xml:space="preserve"> </w:t>
      </w:r>
      <w:r w:rsidRPr="001E073A">
        <w:rPr>
          <w:rFonts w:ascii="Aptos" w:hAnsi="Aptos"/>
        </w:rPr>
        <w:t xml:space="preserve">from </w:t>
      </w:r>
      <w:r>
        <w:rPr>
          <w:rFonts w:ascii="Aptos" w:hAnsi="Aptos"/>
        </w:rPr>
        <w:t>our</w:t>
      </w:r>
      <w:r w:rsidRPr="001E073A">
        <w:rPr>
          <w:rFonts w:ascii="Aptos" w:hAnsi="Aptos"/>
        </w:rPr>
        <w:t xml:space="preserve"> B</w:t>
      </w:r>
      <w:r>
        <w:rPr>
          <w:rFonts w:ascii="Aptos" w:hAnsi="Aptos"/>
        </w:rPr>
        <w:t>IOLOG assay</w:t>
      </w:r>
      <w:r w:rsidRPr="001E073A">
        <w:rPr>
          <w:rFonts w:ascii="Aptos" w:hAnsi="Aptos"/>
        </w:rPr>
        <w:t xml:space="preserve">. </w:t>
      </w:r>
    </w:p>
    <w:p w14:paraId="2AFB8B7F" w14:textId="77777777" w:rsidR="00680BCC" w:rsidRPr="001E073A" w:rsidRDefault="00680BCC" w:rsidP="000D4ACF">
      <w:pPr>
        <w:pStyle w:val="FirstParagraph"/>
        <w:spacing w:line="276" w:lineRule="auto"/>
        <w:ind w:firstLine="720"/>
        <w:rPr>
          <w:rFonts w:ascii="Aptos" w:hAnsi="Aptos"/>
        </w:rPr>
      </w:pPr>
      <w:r w:rsidRPr="001E073A">
        <w:rPr>
          <w:rFonts w:ascii="Aptos" w:hAnsi="Aptos"/>
        </w:rPr>
        <w:t xml:space="preserve">The </w:t>
      </w:r>
      <w:r>
        <w:rPr>
          <w:rFonts w:ascii="Aptos" w:hAnsi="Aptos"/>
        </w:rPr>
        <w:t>model</w:t>
      </w:r>
      <w:r w:rsidRPr="001E073A">
        <w:rPr>
          <w:rFonts w:ascii="Aptos" w:hAnsi="Aptos"/>
        </w:rPr>
        <w:t xml:space="preserve"> tracks population densities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1E073A">
        <w:rPr>
          <w:rFonts w:ascii="Aptos" w:hAnsi="Aptos"/>
        </w:rP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1E073A">
        <w:rPr>
          <w:rFonts w:ascii="Aptos" w:hAnsi="Aptos"/>
        </w:rPr>
        <w:t xml:space="preserve"> alongside resource concentrations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1E073A">
        <w:rPr>
          <w:rFonts w:ascii="Aptos" w:hAnsi="Aptos"/>
        </w:rPr>
        <w:t xml:space="preserve"> (shared),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1E073A">
        <w:rPr>
          <w:rFonts w:ascii="Aptos" w:hAnsi="Aptos"/>
        </w:rPr>
        <w:t xml:space="preserve"> (private to strain 1), and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1E073A">
        <w:rPr>
          <w:rFonts w:ascii="Aptos" w:hAnsi="Aptos"/>
        </w:rPr>
        <w:t xml:space="preserve"> (private to strain 2) in a chemostat-like environment with continuous resource inflow and washout. The population dynamics are governed by growth on available resources minus death and dilution:</w:t>
      </w:r>
    </w:p>
    <w:p w14:paraId="0F234867" w14:textId="77777777" w:rsidR="00680BCC" w:rsidRPr="001E073A" w:rsidRDefault="00680BCC" w:rsidP="00B41EAA">
      <w:pPr>
        <w:pStyle w:val="BodyText"/>
        <w:spacing w:line="276" w:lineRule="auto"/>
        <w:rPr>
          <w:rFonts w:ascii="Aptos" w:hAnsi="Aptos"/>
        </w:rP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1</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e>
          </m:d>
        </m:oMath>
      </m:oMathPara>
    </w:p>
    <w:p w14:paraId="579D52E9" w14:textId="77777777" w:rsidR="00680BCC" w:rsidRPr="001E073A" w:rsidRDefault="00680BCC" w:rsidP="00B41EAA">
      <w:pPr>
        <w:pStyle w:val="FirstParagraph"/>
        <w:spacing w:line="276" w:lineRule="auto"/>
        <w:rPr>
          <w:rFonts w:ascii="Aptos" w:hAnsi="Aptos"/>
        </w:rP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2</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e>
          </m:d>
        </m:oMath>
      </m:oMathPara>
    </w:p>
    <w:p w14:paraId="49829706" w14:textId="77777777" w:rsidR="00680BCC" w:rsidRPr="001E073A" w:rsidRDefault="00680BCC" w:rsidP="00B41EAA">
      <w:pPr>
        <w:pStyle w:val="FirstParagraph"/>
        <w:spacing w:line="276" w:lineRule="auto"/>
        <w:rPr>
          <w:rFonts w:ascii="Aptos" w:hAnsi="Aptos"/>
        </w:rPr>
      </w:pPr>
      <w:r>
        <w:rPr>
          <w:rFonts w:ascii="Aptos" w:hAnsi="Aptos"/>
        </w:rPr>
        <w:t>here</w:t>
      </w:r>
      <w:r w:rsidRPr="001E073A">
        <w:rPr>
          <w:rFonts w:ascii="Aptos" w:hAnsi="Aptos"/>
        </w:rPr>
        <w:t xml:space="preserve"> </w:t>
      </w:r>
      <m:oMath>
        <m:r>
          <w:rPr>
            <w:rFonts w:ascii="Cambria Math" w:hAnsi="Cambria Math"/>
          </w:rPr>
          <m:t>e</m:t>
        </m:r>
      </m:oMath>
      <w:r w:rsidRPr="001E073A">
        <w:rPr>
          <w:rFonts w:ascii="Aptos" w:hAnsi="Aptos"/>
        </w:rPr>
        <w:t xml:space="preserve"> is the biomass conversion efficiency, </w:t>
      </w:r>
      <m:oMath>
        <m:r>
          <w:rPr>
            <w:rFonts w:ascii="Cambria Math" w:hAnsi="Cambria Math"/>
          </w:rPr>
          <m:t>u</m:t>
        </m:r>
      </m:oMath>
      <w:r w:rsidRPr="001E073A">
        <w:rPr>
          <w:rFonts w:ascii="Aptos" w:hAnsi="Aptos"/>
        </w:rPr>
        <w:t xml:space="preserve"> is the uptake rate on resources</w:t>
      </w:r>
      <w:r>
        <w:rPr>
          <w:rFonts w:ascii="Aptos" w:hAnsi="Aptos"/>
        </w:rPr>
        <w:t>,</w:t>
      </w:r>
      <w:r w:rsidRPr="001E073A">
        <w:rPr>
          <w:rFonts w:ascii="Aptos" w:hAnsi="Aptos"/>
        </w:rPr>
        <w:t xml:space="preserve"> and </w:t>
      </w:r>
      <m:oMath>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oMath>
      <w:r w:rsidRPr="001E073A">
        <w:rPr>
          <w:rFonts w:ascii="Aptos" w:hAnsi="Aptos"/>
        </w:rPr>
        <w:t xml:space="preserve"> is the effective loss rate combining biological death (</w:t>
      </w:r>
      <m:oMath>
        <m:r>
          <w:rPr>
            <w:rFonts w:ascii="Cambria Math" w:hAnsi="Cambria Math"/>
          </w:rPr>
          <m:t>d</m:t>
        </m:r>
      </m:oMath>
      <w:r w:rsidRPr="001E073A">
        <w:rPr>
          <w:rFonts w:ascii="Aptos" w:hAnsi="Aptos"/>
        </w:rPr>
        <w:t>) and dilution (</w:t>
      </w:r>
      <m:oMath>
        <m:r>
          <w:rPr>
            <w:rFonts w:ascii="Cambria Math" w:hAnsi="Cambria Math"/>
          </w:rPr>
          <m:t>D</m:t>
        </m:r>
      </m:oMath>
      <w:r w:rsidRPr="001E073A">
        <w:rPr>
          <w:rFonts w:ascii="Aptos" w:hAnsi="Aptos"/>
        </w:rPr>
        <w:t xml:space="preserve">). </w:t>
      </w:r>
      <w:r>
        <w:rPr>
          <w:rFonts w:ascii="Aptos" w:hAnsi="Aptos"/>
        </w:rPr>
        <w:t xml:space="preserve">Here </w:t>
      </w:r>
      <w:r w:rsidRPr="001E073A">
        <w:rPr>
          <w:rFonts w:ascii="Aptos" w:hAnsi="Aptos"/>
        </w:rPr>
        <w:t>both strains consume their respective resources at the same baseline rate. Resource dynamics balance inflow, washout, and consumption:</w:t>
      </w:r>
    </w:p>
    <w:p w14:paraId="31E8ADFA" w14:textId="77777777" w:rsidR="00680BCC" w:rsidRPr="001E073A" w:rsidRDefault="00680BCC" w:rsidP="00B41EAA">
      <w:pPr>
        <w:pStyle w:val="BodyText"/>
        <w:spacing w:line="276" w:lineRule="auto"/>
        <w:rPr>
          <w:rFonts w:ascii="Aptos" w:hAnsi="Aptos"/>
        </w:rP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s</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u</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oMath>
      </m:oMathPara>
    </w:p>
    <w:p w14:paraId="46671FC5" w14:textId="77777777" w:rsidR="00680BCC" w:rsidRPr="001E073A" w:rsidRDefault="00680BCC" w:rsidP="00B41EAA">
      <w:pPr>
        <w:pStyle w:val="FirstParagraph"/>
        <w:spacing w:line="276" w:lineRule="auto"/>
        <w:rPr>
          <w:rFonts w:ascii="Aptos" w:hAnsi="Aptos"/>
        </w:rP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m:oMathPara>
    </w:p>
    <w:p w14:paraId="7D3A9B22" w14:textId="77777777" w:rsidR="00680BCC" w:rsidRPr="001E073A" w:rsidRDefault="00680BCC" w:rsidP="00B41EAA">
      <w:pPr>
        <w:pStyle w:val="FirstParagraph"/>
        <w:spacing w:line="276" w:lineRule="auto"/>
        <w:rPr>
          <w:rFonts w:ascii="Aptos" w:hAnsi="Aptos"/>
        </w:rP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2</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p w14:paraId="4C5E6DFF" w14:textId="77777777" w:rsidR="00680BCC" w:rsidRPr="001E073A" w:rsidRDefault="00680BCC" w:rsidP="00B41EAA">
      <w:pPr>
        <w:pStyle w:val="FirstParagraph"/>
        <w:spacing w:line="276" w:lineRule="auto"/>
        <w:rPr>
          <w:rFonts w:ascii="Aptos" w:hAnsi="Aptos"/>
        </w:rPr>
      </w:pPr>
      <w:r>
        <w:rPr>
          <w:rFonts w:ascii="Aptos" w:hAnsi="Aptos"/>
        </w:rPr>
        <w:t>here</w:t>
      </w:r>
      <w:r w:rsidRPr="001E073A">
        <w:rPr>
          <w:rFonts w:ascii="Aptos" w:hAnsi="Aptos"/>
        </w:rPr>
        <w:t xml:space="preserve"> </w:t>
      </w:r>
      <m:oMath>
        <m:sSub>
          <m:sSubPr>
            <m:ctrlPr>
              <w:rPr>
                <w:rFonts w:ascii="Cambria Math" w:hAnsi="Cambria Math"/>
              </w:rPr>
            </m:ctrlPr>
          </m:sSubPr>
          <m:e>
            <m:r>
              <w:rPr>
                <w:rFonts w:ascii="Cambria Math" w:hAnsi="Cambria Math"/>
              </w:rPr>
              <m:t>δ</m:t>
            </m:r>
          </m:e>
          <m:sub>
            <m:r>
              <w:rPr>
                <w:rFonts w:ascii="Cambria Math" w:hAnsi="Cambria Math"/>
              </w:rPr>
              <m:t>0</m:t>
            </m:r>
          </m:sub>
        </m:sSub>
      </m:oMath>
      <w:r w:rsidRPr="001E073A">
        <w:rPr>
          <w:rFonts w:ascii="Aptos" w:hAnsi="Aptos"/>
        </w:rPr>
        <w:t xml:space="preserve"> is the per-resource inflow concentration rate and </w:t>
      </w:r>
      <m:oMath>
        <m:r>
          <w:rPr>
            <w:rFonts w:ascii="Cambria Math" w:hAnsi="Cambria Math"/>
          </w:rPr>
          <m:t>D</m:t>
        </m:r>
      </m:oMath>
      <w:r w:rsidRPr="001E073A">
        <w:rPr>
          <w:rFonts w:ascii="Aptos" w:hAnsi="Aptos"/>
        </w:rPr>
        <w:t xml:space="preserve"> is the dilution rate. Each resource equation takes the form: inflow (</w:t>
      </w:r>
      <m:oMath>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0</m:t>
            </m:r>
          </m:sub>
        </m:sSub>
      </m:oMath>
      <w:r w:rsidRPr="001E073A">
        <w:rPr>
          <w:rFonts w:ascii="Aptos" w:hAnsi="Aptos"/>
        </w:rPr>
        <w:t>) minus washout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i</m:t>
            </m:r>
          </m:sub>
        </m:sSub>
      </m:oMath>
      <w:r w:rsidRPr="001E073A">
        <w:rPr>
          <w:rFonts w:ascii="Aptos" w:hAnsi="Aptos"/>
        </w:rPr>
        <w:t xml:space="preserve">) minus consumption. The shared pool is contested by both strains, while each private pool has only one consumer. </w:t>
      </w:r>
      <w:proofErr w:type="gramStart"/>
      <w:r>
        <w:rPr>
          <w:rFonts w:ascii="Aptos" w:hAnsi="Aptos"/>
        </w:rPr>
        <w:t>Assuming</w:t>
      </w:r>
      <w:r w:rsidRPr="001E073A">
        <w:rPr>
          <w:rFonts w:ascii="Aptos" w:hAnsi="Aptos"/>
        </w:rPr>
        <w:t xml:space="preserve"> that</w:t>
      </w:r>
      <w:proofErr w:type="gramEnd"/>
      <w:r w:rsidRPr="001E073A">
        <w:rPr>
          <w:rFonts w:ascii="Aptos" w:hAnsi="Aptos"/>
        </w:rPr>
        <w:t xml:space="preserve"> private resource pools equilibrate faster than population dynamics (</w:t>
      </w:r>
      <w:r>
        <w:rPr>
          <w:rFonts w:ascii="Aptos" w:hAnsi="Aptos"/>
        </w:rPr>
        <w:t>a</w:t>
      </w:r>
      <w:r w:rsidRPr="001E073A">
        <w:rPr>
          <w:rFonts w:ascii="Aptos" w:hAnsi="Aptos"/>
        </w:rPr>
        <w:t xml:space="preserve"> quasi-steady-state approximation), </w:t>
      </w:r>
      <w:r>
        <w:rPr>
          <w:rFonts w:ascii="Aptos" w:hAnsi="Aptos"/>
        </w:rPr>
        <w:t>produces</w:t>
      </w:r>
      <w:r w:rsidRPr="001E073A">
        <w:rPr>
          <w:rFonts w:ascii="Aptos" w:hAnsi="Aptos"/>
        </w:rPr>
        <w:t xml:space="preserve"> explicit expressions for private resource concentrations as functions of population density. This recovers the stabilizing mechanism </w:t>
      </w:r>
      <w:hyperlink r:id="rId51" w:history="1">
        <w:r>
          <w:rPr>
            <w:rFonts w:ascii="Aptos" w:eastAsia="Times New Roman" w:hAnsi="Aptos"/>
          </w:rPr>
          <w:t>(Chesson, 2000)</w:t>
        </w:r>
      </w:hyperlink>
      <w:r w:rsidRPr="001E073A">
        <w:rPr>
          <w:rFonts w:ascii="Aptos" w:hAnsi="Aptos"/>
        </w:rPr>
        <w:t xml:space="preserve">: as each strain’s population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1E073A">
        <w:rPr>
          <w:rFonts w:ascii="Aptos" w:hAnsi="Aptos"/>
        </w:rPr>
        <w:t xml:space="preserve"> increases, it depletes its own private pool </w:t>
      </w:r>
      <m:oMath>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sup>
        </m:sSubSup>
      </m:oMath>
      <w:r w:rsidRPr="001E073A">
        <w:rPr>
          <w:rFonts w:ascii="Aptos" w:hAnsi="Aptos"/>
        </w:rPr>
        <w:t>, generating density-dependent self-limitation.</w:t>
      </w:r>
    </w:p>
    <w:p w14:paraId="5DAEB936" w14:textId="77777777" w:rsidR="00680BCC" w:rsidRPr="001E073A" w:rsidRDefault="00680BCC" w:rsidP="00B41EAA">
      <w:pPr>
        <w:pStyle w:val="BodyText"/>
        <w:spacing w:line="276" w:lineRule="auto"/>
        <w:rPr>
          <w:rFonts w:ascii="Aptos" w:hAnsi="Aptos"/>
        </w:rPr>
      </w:pPr>
      <w:r>
        <w:rPr>
          <w:rFonts w:ascii="Aptos" w:hAnsi="Aptos"/>
        </w:rPr>
        <w:tab/>
      </w:r>
      <w:r w:rsidRPr="001E073A">
        <w:rPr>
          <w:rFonts w:ascii="Aptos" w:hAnsi="Aptos"/>
        </w:rPr>
        <w:t xml:space="preserve">The model </w:t>
      </w:r>
      <w:r>
        <w:rPr>
          <w:rFonts w:ascii="Aptos" w:hAnsi="Aptos"/>
        </w:rPr>
        <w:t>has</w:t>
      </w:r>
      <w:r w:rsidRPr="001E073A">
        <w:rPr>
          <w:rFonts w:ascii="Aptos" w:hAnsi="Aptos"/>
        </w:rPr>
        <w:t xml:space="preserve"> </w:t>
      </w:r>
      <w:r>
        <w:rPr>
          <w:rFonts w:ascii="Aptos" w:hAnsi="Aptos"/>
        </w:rPr>
        <w:t>four</w:t>
      </w:r>
      <w:r w:rsidRPr="001E073A">
        <w:rPr>
          <w:rFonts w:ascii="Aptos" w:hAnsi="Aptos"/>
        </w:rPr>
        <w:t xml:space="preserve"> </w:t>
      </w:r>
      <w:r>
        <w:rPr>
          <w:rFonts w:ascii="Aptos" w:hAnsi="Aptos"/>
        </w:rPr>
        <w:t xml:space="preserve">possible </w:t>
      </w:r>
      <w:r w:rsidRPr="001E073A">
        <w:rPr>
          <w:rFonts w:ascii="Aptos" w:hAnsi="Aptos"/>
        </w:rPr>
        <w:t>outcomes</w:t>
      </w:r>
      <w:r>
        <w:rPr>
          <w:rFonts w:ascii="Aptos" w:hAnsi="Aptos"/>
        </w:rPr>
        <w:t>:</w:t>
      </w:r>
      <w:r w:rsidRPr="001E073A">
        <w:rPr>
          <w:rFonts w:ascii="Aptos" w:hAnsi="Aptos"/>
        </w:rPr>
        <w:t xml:space="preserve"> strain 1 excludes strain 2, strain 2 excludes strain 1, the two coexist stably</w:t>
      </w:r>
      <w:r>
        <w:rPr>
          <w:rFonts w:ascii="Aptos" w:hAnsi="Aptos"/>
        </w:rPr>
        <w:t>, or neither strain survives</w:t>
      </w:r>
      <w:r w:rsidRPr="001E073A">
        <w:rPr>
          <w:rFonts w:ascii="Aptos" w:hAnsi="Aptos"/>
        </w:rPr>
        <w:t>. In the low</w:t>
      </w:r>
      <w:r>
        <w:rPr>
          <w:rFonts w:ascii="Aptos" w:hAnsi="Aptos"/>
        </w:rPr>
        <w:t xml:space="preserve"> population </w:t>
      </w:r>
      <w:r w:rsidRPr="001E073A">
        <w:rPr>
          <w:rFonts w:ascii="Aptos" w:hAnsi="Aptos"/>
        </w:rPr>
        <w:t>density regime</w:t>
      </w:r>
      <w:r>
        <w:rPr>
          <w:rFonts w:ascii="Aptos" w:hAnsi="Aptos"/>
        </w:rPr>
        <w:t>,</w:t>
      </w:r>
      <w:r w:rsidRPr="001E073A">
        <w:rPr>
          <w:rFonts w:ascii="Aptos" w:hAnsi="Aptos"/>
        </w:rPr>
        <w:t xml:space="preserve"> </w:t>
      </w:r>
      <w:r>
        <w:rPr>
          <w:rFonts w:ascii="Aptos" w:hAnsi="Aptos"/>
        </w:rPr>
        <w:t>the first three</w:t>
      </w:r>
      <w:r w:rsidRPr="001E073A">
        <w:rPr>
          <w:rFonts w:ascii="Aptos" w:hAnsi="Aptos"/>
        </w:rPr>
        <w:t xml:space="preserve"> outcomes are governed by the signed fitness difference </w:t>
      </w:r>
      <m:oMath>
        <m:r>
          <w:rPr>
            <w:rFonts w:ascii="Cambria Math" w:hAnsi="Cambria Math"/>
          </w:rPr>
          <m:t>κ</m:t>
        </m:r>
      </m:oMath>
      <w:r w:rsidRPr="001E073A">
        <w:rPr>
          <w:rFonts w:ascii="Aptos" w:hAnsi="Aptos"/>
        </w:rPr>
        <w:t xml:space="preserve"> between strains to the stabilization </w:t>
      </w:r>
      <m:oMath>
        <m:r>
          <w:rPr>
            <w:rFonts w:ascii="Cambria Math" w:hAnsi="Cambria Math"/>
          </w:rPr>
          <m:t>S</m:t>
        </m:r>
      </m:oMath>
      <w:r w:rsidRPr="001E073A">
        <w:rPr>
          <w:rFonts w:ascii="Aptos" w:hAnsi="Aptos"/>
        </w:rPr>
        <w:t xml:space="preserve"> provided by niche partitioning:</w:t>
      </w:r>
    </w:p>
    <w:p w14:paraId="130423D6" w14:textId="77777777" w:rsidR="00680BCC" w:rsidRPr="001E073A" w:rsidRDefault="00680BCC" w:rsidP="00B41EAA">
      <w:pPr>
        <w:pStyle w:val="BodyText"/>
        <w:spacing w:line="276" w:lineRule="auto"/>
        <w:rPr>
          <w:rFonts w:ascii="Aptos" w:hAnsi="Aptos"/>
        </w:rPr>
      </w:pPr>
      <m:oMathPara>
        <m:oMathParaPr>
          <m:jc m:val="center"/>
        </m:oMathParaPr>
        <m:oMath>
          <m:r>
            <w:rPr>
              <w:rFonts w:ascii="Cambria Math" w:hAnsi="Cambria Math"/>
            </w:rPr>
            <m:t>κ</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r>
            <m:rPr>
              <m:sty m:val="p"/>
            </m:rPr>
            <w:rPr>
              <w:rFonts w:ascii="Cambria Math" w:hAnsi="Cambria Math"/>
            </w:rPr>
            <m:t>,</m:t>
          </m:r>
          <m:r>
            <w:rPr>
              <w:rFonts w:ascii="Cambria Math" w:hAnsi="Cambria Math"/>
            </w:rPr>
            <m:t>  S</m:t>
          </m:r>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den>
          </m:f>
        </m:oMath>
      </m:oMathPara>
    </w:p>
    <w:p w14:paraId="20DF8CB4" w14:textId="77777777" w:rsidR="00680BCC" w:rsidRPr="001E073A" w:rsidRDefault="00680BCC" w:rsidP="000D4ACF">
      <w:pPr>
        <w:pStyle w:val="FirstParagraph"/>
        <w:spacing w:line="276" w:lineRule="auto"/>
        <w:rPr>
          <w:rFonts w:ascii="Aptos" w:hAnsi="Aptos"/>
        </w:rPr>
      </w:pPr>
      <w:r>
        <w:rPr>
          <w:rFonts w:ascii="Aptos" w:hAnsi="Aptos"/>
        </w:rPr>
        <w:tab/>
      </w:r>
      <w:r w:rsidRPr="001E073A">
        <w:rPr>
          <w:rFonts w:ascii="Aptos" w:hAnsi="Aptos"/>
        </w:rPr>
        <w:t xml:space="preserve">Here </w:t>
      </w:r>
      <m:oMath>
        <m:r>
          <w:rPr>
            <w:rFonts w:ascii="Cambria Math" w:hAnsi="Cambria Math"/>
          </w:rPr>
          <m:t>κ</m:t>
        </m:r>
      </m:oMath>
      <w:r w:rsidRPr="001E073A">
        <w:rPr>
          <w:rFonts w:ascii="Aptos" w:hAnsi="Aptos"/>
        </w:rPr>
        <w:t xml:space="preserve"> is net competitive advantage</w:t>
      </w:r>
      <w:r>
        <w:rPr>
          <w:rFonts w:ascii="Aptos" w:hAnsi="Aptos"/>
        </w:rPr>
        <w:t xml:space="preserve"> and t</w:t>
      </w:r>
      <w:r w:rsidRPr="001E073A">
        <w:rPr>
          <w:rFonts w:ascii="Aptos" w:hAnsi="Aptos"/>
        </w:rPr>
        <w:t xml:space="preserve">he stabilization </w:t>
      </w:r>
      <m:oMath>
        <m:r>
          <w:rPr>
            <w:rFonts w:ascii="Cambria Math" w:hAnsi="Cambria Math"/>
          </w:rPr>
          <m:t>S</m:t>
        </m:r>
      </m:oMath>
      <w:r w:rsidRPr="001E073A">
        <w:rPr>
          <w:rFonts w:ascii="Aptos" w:hAnsi="Aptos"/>
        </w:rPr>
        <w:t xml:space="preserve"> is the measures how strongly each strain self-limits through depletion of its private resources. The three outcomes are:</w:t>
      </w:r>
      <w:r w:rsidRPr="001E073A" w:rsidDel="00F75571">
        <w:rPr>
          <w:rFonts w:ascii="Aptos" w:hAnsi="Aptos"/>
        </w:rPr>
        <w:t xml:space="preserve"> </w:t>
      </w:r>
    </w:p>
    <w:p w14:paraId="3B25A591" w14:textId="77777777" w:rsidR="00680BCC" w:rsidRPr="001E073A" w:rsidRDefault="00680BCC" w:rsidP="00B41EAA">
      <w:pPr>
        <w:pStyle w:val="Compact"/>
        <w:numPr>
          <w:ilvl w:val="0"/>
          <w:numId w:val="6"/>
        </w:numPr>
        <w:spacing w:line="276" w:lineRule="auto"/>
        <w:rPr>
          <w:rFonts w:ascii="Aptos" w:hAnsi="Aptos"/>
        </w:rPr>
      </w:pPr>
      <w:r w:rsidRPr="00486610">
        <w:rPr>
          <w:rFonts w:ascii="Aptos" w:hAnsi="Aptos"/>
        </w:rPr>
        <w:t>Strain 1 excludes strain 2</w:t>
      </w:r>
      <w:r w:rsidRPr="001E073A">
        <w:rPr>
          <w:rFonts w:ascii="Aptos" w:hAnsi="Aptos"/>
        </w:rPr>
        <w:t xml:space="preserve"> when </w:t>
      </w:r>
      <m:oMath>
        <m:r>
          <w:rPr>
            <w:rFonts w:ascii="Cambria Math" w:hAnsi="Cambria Math"/>
          </w:rPr>
          <m:t>κ</m:t>
        </m:r>
        <m:r>
          <m:rPr>
            <m:sty m:val="p"/>
          </m:rPr>
          <w:rPr>
            <w:rFonts w:ascii="Cambria Math" w:hAnsi="Cambria Math"/>
          </w:rPr>
          <m:t>&gt;</m:t>
        </m:r>
        <m:r>
          <w:rPr>
            <w:rFonts w:ascii="Cambria Math" w:hAnsi="Cambria Math"/>
          </w:rPr>
          <m:t>S</m:t>
        </m:r>
      </m:oMath>
    </w:p>
    <w:p w14:paraId="2E4D6CCA" w14:textId="77777777" w:rsidR="00680BCC" w:rsidRPr="000D4ACF" w:rsidRDefault="00680BCC" w:rsidP="00B41EAA">
      <w:pPr>
        <w:pStyle w:val="Compact"/>
        <w:numPr>
          <w:ilvl w:val="0"/>
          <w:numId w:val="6"/>
        </w:numPr>
        <w:spacing w:line="276" w:lineRule="auto"/>
        <w:rPr>
          <w:rFonts w:ascii="Aptos" w:hAnsi="Aptos"/>
        </w:rPr>
      </w:pPr>
      <w:r w:rsidRPr="00486610">
        <w:rPr>
          <w:rFonts w:ascii="Aptos" w:hAnsi="Aptos"/>
        </w:rPr>
        <w:t>Strain 2 excludes strain 1</w:t>
      </w:r>
      <w:r w:rsidRPr="001E073A">
        <w:rPr>
          <w:rFonts w:ascii="Aptos" w:hAnsi="Aptos"/>
        </w:rPr>
        <w:t xml:space="preserve"> when </w:t>
      </w:r>
      <m:oMath>
        <m:r>
          <w:rPr>
            <w:rFonts w:ascii="Cambria Math" w:hAnsi="Cambria Math"/>
          </w:rPr>
          <m:t>κ</m:t>
        </m:r>
        <m:r>
          <m:rPr>
            <m:sty m:val="p"/>
          </m:rPr>
          <w:rPr>
            <w:rFonts w:ascii="Cambria Math" w:hAnsi="Cambria Math"/>
          </w:rPr>
          <m:t>&lt;-</m:t>
        </m:r>
        <m:r>
          <w:rPr>
            <w:rFonts w:ascii="Cambria Math" w:hAnsi="Cambria Math"/>
          </w:rPr>
          <m:t>S</m:t>
        </m:r>
      </m:oMath>
    </w:p>
    <w:p w14:paraId="6B53554D" w14:textId="77777777" w:rsidR="00680BCC" w:rsidRPr="001E073A" w:rsidRDefault="00680BCC" w:rsidP="00B41EAA">
      <w:pPr>
        <w:pStyle w:val="Compact"/>
        <w:numPr>
          <w:ilvl w:val="0"/>
          <w:numId w:val="6"/>
        </w:numPr>
        <w:spacing w:line="276" w:lineRule="auto"/>
        <w:rPr>
          <w:rFonts w:ascii="Aptos" w:hAnsi="Aptos"/>
        </w:rPr>
      </w:pPr>
      <w:r w:rsidRPr="00486610">
        <w:rPr>
          <w:rFonts w:ascii="Aptos" w:hAnsi="Aptos"/>
        </w:rPr>
        <w:t xml:space="preserve">Coexistence </w:t>
      </w:r>
      <w:r w:rsidRPr="001E073A">
        <w:rPr>
          <w:rFonts w:ascii="Aptos" w:hAnsi="Aptos"/>
        </w:rPr>
        <w:t xml:space="preserve">when </w:t>
      </w:r>
      <m:oMath>
        <m:r>
          <m:rPr>
            <m:sty m:val="p"/>
          </m:rPr>
          <w:rPr>
            <w:rFonts w:ascii="Cambria Math" w:hAnsi="Cambria Math"/>
          </w:rPr>
          <m:t>-</m:t>
        </m:r>
        <m:r>
          <w:rPr>
            <w:rFonts w:ascii="Cambria Math" w:hAnsi="Cambria Math"/>
          </w:rPr>
          <m:t>S</m:t>
        </m:r>
        <m:r>
          <m:rPr>
            <m:sty m:val="p"/>
          </m:rPr>
          <w:rPr>
            <w:rFonts w:ascii="Cambria Math" w:hAnsi="Cambria Math"/>
          </w:rPr>
          <m:t>&lt;</m:t>
        </m:r>
        <m:r>
          <w:rPr>
            <w:rFonts w:ascii="Cambria Math" w:hAnsi="Cambria Math"/>
          </w:rPr>
          <m:t>κ</m:t>
        </m:r>
        <m:r>
          <m:rPr>
            <m:sty m:val="p"/>
          </m:rPr>
          <w:rPr>
            <w:rFonts w:ascii="Cambria Math" w:hAnsi="Cambria Math"/>
          </w:rPr>
          <m:t>&lt;</m:t>
        </m:r>
        <m:r>
          <w:rPr>
            <w:rFonts w:ascii="Cambria Math" w:hAnsi="Cambria Math"/>
          </w:rPr>
          <m:t>S</m:t>
        </m:r>
      </m:oMath>
      <w:r w:rsidRPr="001E073A">
        <w:rPr>
          <w:rFonts w:ascii="Aptos" w:hAnsi="Aptos"/>
        </w:rPr>
        <w:t xml:space="preserve"> (stabilization exceeds the fitness difference)</w:t>
      </w:r>
    </w:p>
    <w:p w14:paraId="76FC5598" w14:textId="77777777" w:rsidR="00680BCC" w:rsidRPr="001E073A" w:rsidRDefault="00680BCC" w:rsidP="00B41EAA">
      <w:pPr>
        <w:pStyle w:val="FirstParagraph"/>
        <w:spacing w:line="276" w:lineRule="auto"/>
        <w:rPr>
          <w:rFonts w:ascii="Aptos" w:hAnsi="Aptos"/>
        </w:rPr>
      </w:pPr>
      <w:r>
        <w:rPr>
          <w:rFonts w:ascii="Aptos" w:hAnsi="Aptos"/>
        </w:rPr>
        <w:tab/>
      </w:r>
      <w:r w:rsidRPr="00A312A2">
        <w:rPr>
          <w:rFonts w:ascii="Aptos" w:hAnsi="Aptos"/>
        </w:rPr>
        <w:t>A striking prediction of the model is that metabolic niche</w:t>
      </w:r>
      <w:r>
        <w:rPr>
          <w:rFonts w:ascii="Aptos" w:hAnsi="Aptos"/>
        </w:rPr>
        <w:t xml:space="preserve"> breadth</w:t>
      </w:r>
      <w:r w:rsidRPr="00A312A2">
        <w:rPr>
          <w:rFonts w:ascii="Aptos" w:hAnsi="Aptos"/>
        </w:rPr>
        <w:t xml:space="preserve"> determi</w:t>
      </w:r>
      <w:r>
        <w:rPr>
          <w:rFonts w:ascii="Aptos" w:hAnsi="Aptos"/>
        </w:rPr>
        <w:t>nes</w:t>
      </w:r>
      <w:r w:rsidRPr="00A312A2">
        <w:rPr>
          <w:rFonts w:ascii="Aptos" w:hAnsi="Aptos"/>
        </w:rPr>
        <w:t xml:space="preserve"> competitive outcomes. Specifically, the model predicts when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&gt;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2.414</m:t>
        </m:r>
      </m:oMath>
      <w:r w:rsidRPr="00A312A2">
        <w:rPr>
          <w:rFonts w:ascii="Aptos" w:hAnsi="Aptos"/>
        </w:rPr>
        <w:t xml:space="preserve">, the niche asymmetry alone guarantees </w:t>
      </w:r>
      <m:oMath>
        <m:r>
          <w:rPr>
            <w:rFonts w:ascii="Cambria Math" w:hAnsi="Cambria Math"/>
          </w:rPr>
          <m:t>κ</m:t>
        </m:r>
        <m:r>
          <m:rPr>
            <m:sty m:val="p"/>
          </m:rPr>
          <w:rPr>
            <w:rFonts w:ascii="Cambria Math" w:hAnsi="Cambria Math"/>
          </w:rPr>
          <m:t>&gt;</m:t>
        </m:r>
        <m:r>
          <w:rPr>
            <w:rFonts w:ascii="Cambria Math" w:hAnsi="Cambria Math"/>
          </w:rPr>
          <m:t>S</m:t>
        </m:r>
      </m:oMath>
      <w:r w:rsidRPr="00A312A2">
        <w:rPr>
          <w:rFonts w:ascii="Aptos" w:hAnsi="Aptos"/>
        </w:rPr>
        <w:t>, making coexistence mathematically impossible.</w:t>
      </w:r>
      <w:r w:rsidRPr="001E073A">
        <w:rPr>
          <w:rFonts w:ascii="Aptos" w:hAnsi="Aptos"/>
        </w:rPr>
        <w:t xml:space="preserve"> </w:t>
      </w:r>
    </w:p>
    <w:p w14:paraId="496C9457" w14:textId="77777777" w:rsidR="00680BCC" w:rsidRDefault="00680BCC" w:rsidP="001B5394">
      <w:pPr>
        <w:pStyle w:val="FirstParagraph"/>
        <w:spacing w:line="276" w:lineRule="auto"/>
        <w:rPr>
          <w:rFonts w:ascii="Aptos" w:hAnsi="Aptos"/>
        </w:rPr>
      </w:pPr>
      <w:r>
        <w:rPr>
          <w:rFonts w:ascii="Aptos" w:hAnsi="Aptos"/>
        </w:rPr>
        <w:tab/>
      </w:r>
      <w:r w:rsidRPr="001618C8">
        <w:rPr>
          <w:rFonts w:ascii="Aptos" w:hAnsi="Aptos"/>
        </w:rPr>
        <w:t xml:space="preserve">From PM1 </w:t>
      </w:r>
      <w:r>
        <w:rPr>
          <w:rFonts w:ascii="Aptos" w:hAnsi="Aptos"/>
        </w:rPr>
        <w:t>BIOLOG assay</w:t>
      </w:r>
      <w:r w:rsidRPr="001618C8">
        <w:rPr>
          <w:rFonts w:ascii="Aptos" w:hAnsi="Aptos"/>
        </w:rPr>
        <w:t xml:space="preserve">, </w:t>
      </w:r>
      <w:r>
        <w:rPr>
          <w:rFonts w:ascii="Aptos" w:hAnsi="Aptos"/>
        </w:rPr>
        <w:t xml:space="preserve">the protective strain </w:t>
      </w:r>
      <w:r w:rsidRPr="001618C8">
        <w:rPr>
          <w:rFonts w:ascii="Aptos" w:hAnsi="Aptos"/>
        </w:rPr>
        <w:t>ST1</w:t>
      </w:r>
      <w:r>
        <w:rPr>
          <w:rFonts w:ascii="Aptos" w:hAnsi="Aptos"/>
        </w:rPr>
        <w:t>.</w:t>
      </w:r>
      <w:r w:rsidRPr="001618C8">
        <w:rPr>
          <w:rFonts w:ascii="Aptos" w:hAnsi="Aptos"/>
        </w:rPr>
        <w:t xml:space="preserve">75 exclusively utilizes 50 carbon sources unavailable to </w:t>
      </w:r>
      <w:r>
        <w:rPr>
          <w:rFonts w:ascii="Aptos" w:hAnsi="Aptos"/>
        </w:rPr>
        <w:t xml:space="preserve">the hypervirulent </w:t>
      </w:r>
      <w:r w:rsidRPr="001618C8">
        <w:rPr>
          <w:rFonts w:ascii="Aptos" w:hAnsi="Aptos"/>
        </w:rPr>
        <w:t>VPI10463, while VPI10463 holds 6 private resources, with 27 shared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50</m:t>
        </m:r>
      </m:oMath>
      <w:r w:rsidRPr="001618C8">
        <w:rPr>
          <w:rFonts w:ascii="Aptos" w:hAnsi="Aptos"/>
        </w:rPr>
        <w:t xml:space="preserve">,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6</m:t>
        </m:r>
      </m:oMath>
      <w:r w:rsidRPr="001618C8">
        <w:rPr>
          <w:rFonts w:ascii="Aptos" w:hAnsi="Aptos"/>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27</m:t>
        </m:r>
      </m:oMath>
      <w:r w:rsidRPr="001618C8">
        <w:rPr>
          <w:rFonts w:ascii="Aptos" w:hAnsi="Aptos"/>
        </w:rPr>
        <w:t xml:space="preserve">). The ratio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8.33</m:t>
        </m:r>
      </m:oMath>
      <w:r w:rsidRPr="001618C8">
        <w:rPr>
          <w:rFonts w:ascii="Aptos" w:hAnsi="Aptos"/>
        </w:rPr>
        <w:t xml:space="preserve"> </w:t>
      </w:r>
      <w:r>
        <w:rPr>
          <w:rFonts w:ascii="Aptos" w:hAnsi="Aptos"/>
        </w:rPr>
        <w:t>shows</w:t>
      </w:r>
      <w:r w:rsidRPr="001618C8">
        <w:rPr>
          <w:rFonts w:ascii="Aptos" w:hAnsi="Aptos"/>
        </w:rPr>
        <w:t xml:space="preserve"> ST1</w:t>
      </w:r>
      <w:r>
        <w:rPr>
          <w:rFonts w:ascii="Aptos" w:hAnsi="Aptos"/>
        </w:rPr>
        <w:t>.</w:t>
      </w:r>
      <w:r w:rsidRPr="001618C8">
        <w:rPr>
          <w:rFonts w:ascii="Aptos" w:hAnsi="Aptos"/>
        </w:rPr>
        <w:t xml:space="preserve">75’s competitive exclusion of VPI10463 by their metabolic repertoires alone. For </w:t>
      </w:r>
      <w:r>
        <w:rPr>
          <w:rFonts w:ascii="Aptos" w:hAnsi="Aptos"/>
        </w:rPr>
        <w:t xml:space="preserve">the non-protective </w:t>
      </w:r>
      <w:r w:rsidRPr="001618C8">
        <w:rPr>
          <w:rFonts w:ascii="Aptos" w:hAnsi="Aptos"/>
        </w:rPr>
        <w:t>ST1</w:t>
      </w:r>
      <w:r>
        <w:rPr>
          <w:rFonts w:ascii="Aptos" w:hAnsi="Aptos"/>
        </w:rPr>
        <w:t>.</w:t>
      </w:r>
      <w:r w:rsidRPr="001618C8">
        <w:rPr>
          <w:rFonts w:ascii="Aptos" w:hAnsi="Aptos"/>
        </w:rPr>
        <w:t xml:space="preserve">68 </w:t>
      </w:r>
      <w:r>
        <w:rPr>
          <w:rFonts w:ascii="Aptos" w:hAnsi="Aptos"/>
        </w:rPr>
        <w:t>strain, the result is dramatically different. Compared with</w:t>
      </w:r>
      <w:r w:rsidRPr="001618C8">
        <w:rPr>
          <w:rFonts w:ascii="Aptos" w:hAnsi="Aptos"/>
        </w:rPr>
        <w:t xml:space="preserve"> VPI10463</w:t>
      </w:r>
      <w:r>
        <w:rPr>
          <w:rFonts w:ascii="Aptos" w:hAnsi="Aptos"/>
        </w:rPr>
        <w:t xml:space="preserve">, it has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11</m:t>
        </m:r>
      </m:oMath>
      <w:r w:rsidRPr="001618C8">
        <w:rPr>
          <w:rFonts w:ascii="Aptos" w:hAnsi="Aptos"/>
        </w:rPr>
        <w:t xml:space="preserve">,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21</m:t>
        </m:r>
      </m:oMath>
      <w:r w:rsidRPr="001618C8">
        <w:rPr>
          <w:rFonts w:ascii="Aptos" w:hAnsi="Aptos"/>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12</m:t>
        </m:r>
      </m:oMath>
      <w:r w:rsidRPr="001618C8">
        <w:rPr>
          <w:rFonts w:ascii="Aptos" w:hAnsi="Aptos"/>
        </w:rPr>
        <w:t xml:space="preserve">, </w:t>
      </w:r>
      <w:r>
        <w:rPr>
          <w:rFonts w:ascii="Aptos" w:hAnsi="Aptos"/>
        </w:rPr>
        <w:t xml:space="preserve">which means that </w:t>
      </w:r>
      <w:r w:rsidRPr="001618C8">
        <w:rPr>
          <w:rFonts w:ascii="Aptos" w:hAnsi="Aptos"/>
        </w:rPr>
        <w:t xml:space="preserve">VPI10463 holds the niche advantage with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10</m:t>
        </m:r>
      </m:oMath>
      <w:r w:rsidRPr="001618C8">
        <w:rPr>
          <w:rFonts w:ascii="Aptos" w:hAnsi="Aptos"/>
        </w:rPr>
        <w:t xml:space="preserve"> and stabilization </w:t>
      </w:r>
      <m:oMath>
        <m:r>
          <w:rPr>
            <w:rFonts w:ascii="Cambria Math" w:hAnsi="Cambria Math"/>
          </w:rPr>
          <m:t>S</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11</m:t>
            </m:r>
          </m:e>
        </m:d>
        <m:d>
          <m:dPr>
            <m:ctrlPr>
              <w:rPr>
                <w:rFonts w:ascii="Cambria Math" w:hAnsi="Cambria Math"/>
              </w:rPr>
            </m:ctrlPr>
          </m:dPr>
          <m:e>
            <m:r>
              <w:rPr>
                <w:rFonts w:ascii="Cambria Math" w:hAnsi="Cambria Math"/>
              </w:rPr>
              <m:t>21</m:t>
            </m:r>
          </m:e>
        </m:d>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14.4</m:t>
        </m:r>
      </m:oMath>
      <w:r w:rsidRPr="001618C8">
        <w:rPr>
          <w:rFonts w:ascii="Aptos" w:hAnsi="Aptos"/>
        </w:rPr>
        <w:t>. Because the niche deficit is smaller than the stabilization, the model predicts that ST1</w:t>
      </w:r>
      <w:r>
        <w:rPr>
          <w:rFonts w:ascii="Aptos" w:hAnsi="Aptos"/>
        </w:rPr>
        <w:t>.</w:t>
      </w:r>
      <w:r w:rsidRPr="001618C8">
        <w:rPr>
          <w:rFonts w:ascii="Aptos" w:hAnsi="Aptos"/>
        </w:rPr>
        <w:t>68 and VPI10463 fall within the coexistence window. The model therefore predicts stable coexistence of ST1</w:t>
      </w:r>
      <w:r>
        <w:rPr>
          <w:rFonts w:ascii="Aptos" w:hAnsi="Aptos"/>
        </w:rPr>
        <w:t>.</w:t>
      </w:r>
      <w:r w:rsidRPr="001618C8">
        <w:rPr>
          <w:rFonts w:ascii="Aptos" w:hAnsi="Aptos"/>
        </w:rPr>
        <w:t xml:space="preserve">68 and </w:t>
      </w:r>
      <w:r w:rsidRPr="001618C8">
        <w:rPr>
          <w:rFonts w:ascii="Aptos" w:hAnsi="Aptos"/>
        </w:rPr>
        <w:lastRenderedPageBreak/>
        <w:t>VPI10463.</w:t>
      </w:r>
      <w:r>
        <w:rPr>
          <w:rFonts w:ascii="Aptos" w:hAnsi="Aptos"/>
        </w:rPr>
        <w:t>(</w:t>
      </w:r>
      <w:r w:rsidRPr="00A312A2">
        <w:rPr>
          <w:rFonts w:ascii="Aptos" w:hAnsi="Aptos"/>
          <w:b/>
          <w:bCs/>
        </w:rPr>
        <w:t>Figure 7A-</w:t>
      </w:r>
      <w:r>
        <w:rPr>
          <w:rFonts w:ascii="Aptos" w:hAnsi="Aptos"/>
          <w:b/>
          <w:bCs/>
        </w:rPr>
        <w:t>D</w:t>
      </w:r>
      <w:r w:rsidRPr="00A312A2">
        <w:rPr>
          <w:rFonts w:ascii="Aptos" w:hAnsi="Aptos"/>
          <w:b/>
          <w:bCs/>
        </w:rPr>
        <w:t>)</w:t>
      </w:r>
      <w:r>
        <w:rPr>
          <w:rFonts w:ascii="Aptos" w:hAnsi="Aptos"/>
          <w:b/>
          <w:bCs/>
        </w:rPr>
        <w:t xml:space="preserve">. </w:t>
      </w:r>
      <w:r>
        <w:rPr>
          <w:rFonts w:ascii="Aptos" w:hAnsi="Aptos"/>
        </w:rPr>
        <w:t>Furthermore, the model predicts that</w:t>
      </w:r>
      <w:r w:rsidRPr="001B5394">
        <w:rPr>
          <w:rFonts w:ascii="Aptos" w:hAnsi="Aptos"/>
        </w:rPr>
        <w:t xml:space="preserve"> the </w:t>
      </w:r>
      <w:r>
        <w:rPr>
          <w:rFonts w:ascii="Aptos" w:hAnsi="Aptos"/>
        </w:rPr>
        <w:t xml:space="preserve">competition between ST1.75 and VPI10463 for the </w:t>
      </w:r>
      <w:r w:rsidRPr="001B5394">
        <w:rPr>
          <w:rFonts w:ascii="Aptos" w:hAnsi="Aptos"/>
        </w:rPr>
        <w:t>two initial conditions tested</w:t>
      </w:r>
      <w:r>
        <w:rPr>
          <w:rFonts w:ascii="Aptos" w:hAnsi="Aptos"/>
        </w:rPr>
        <w:t>,</w:t>
      </w:r>
      <w:r w:rsidRPr="001B5394">
        <w:rPr>
          <w:rFonts w:ascii="Aptos" w:hAnsi="Aptos"/>
        </w:rPr>
        <w:t xml:space="preserve"> equal populations (N₁=N₂=1) and VPI10463-enriched conditions (N₂=5×)</w:t>
      </w:r>
      <w:r>
        <w:rPr>
          <w:rFonts w:ascii="Aptos" w:hAnsi="Aptos"/>
        </w:rPr>
        <w:t>,</w:t>
      </w:r>
      <w:r w:rsidRPr="001B5394">
        <w:rPr>
          <w:rFonts w:ascii="Aptos" w:hAnsi="Aptos"/>
        </w:rPr>
        <w:t xml:space="preserve"> both trajectories converge to the </w:t>
      </w:r>
      <w:r>
        <w:rPr>
          <w:rFonts w:ascii="Aptos" w:hAnsi="Aptos"/>
        </w:rPr>
        <w:t xml:space="preserve">same </w:t>
      </w:r>
      <w:r w:rsidRPr="001B5394">
        <w:rPr>
          <w:rFonts w:ascii="Aptos" w:hAnsi="Aptos"/>
        </w:rPr>
        <w:t>stable equilibrium E</w:t>
      </w:r>
      <w:r w:rsidRPr="001B5394">
        <w:rPr>
          <w:rFonts w:ascii="Cambria Math" w:hAnsi="Cambria Math" w:cs="Cambria Math"/>
        </w:rPr>
        <w:t>⁺</w:t>
      </w:r>
      <w:r w:rsidRPr="001B5394">
        <w:rPr>
          <w:rFonts w:ascii="Aptos" w:hAnsi="Aptos"/>
        </w:rPr>
        <w:t xml:space="preserve"> (≈11.30, 0.65), suggesting the competitive outcome is robust to differences in initial inoculum levels within the tested range</w:t>
      </w:r>
      <w:r>
        <w:rPr>
          <w:rFonts w:ascii="Aptos" w:hAnsi="Aptos"/>
        </w:rPr>
        <w:t xml:space="preserve"> </w:t>
      </w:r>
      <w:r w:rsidRPr="001B5394">
        <w:rPr>
          <w:rFonts w:ascii="Aptos" w:hAnsi="Aptos"/>
          <w:b/>
          <w:bCs/>
        </w:rPr>
        <w:t>(Figure 7E)</w:t>
      </w:r>
      <w:r w:rsidRPr="001B5394">
        <w:rPr>
          <w:rFonts w:ascii="Aptos" w:hAnsi="Aptos"/>
        </w:rPr>
        <w:t>.</w:t>
      </w:r>
    </w:p>
    <w:p w14:paraId="6583ABA3" w14:textId="77777777" w:rsidR="00680BCC" w:rsidRDefault="00680BCC" w:rsidP="001B5394">
      <w:pPr>
        <w:pStyle w:val="FirstParagraph"/>
        <w:spacing w:line="276" w:lineRule="auto"/>
        <w:rPr>
          <w:rFonts w:ascii="Aptos" w:hAnsi="Aptos"/>
        </w:rPr>
      </w:pPr>
      <w:r>
        <w:rPr>
          <w:rFonts w:ascii="Aptos" w:hAnsi="Aptos"/>
        </w:rPr>
        <w:tab/>
      </w:r>
      <w:r w:rsidRPr="00DA6C33">
        <w:rPr>
          <w:rFonts w:ascii="Aptos" w:hAnsi="Aptos"/>
        </w:rPr>
        <w:t xml:space="preserve">To test this theoretical prediction experimentally, we conducted an </w:t>
      </w:r>
      <w:r w:rsidRPr="00DA6C33">
        <w:rPr>
          <w:rFonts w:ascii="Aptos" w:hAnsi="Aptos"/>
          <w:i/>
          <w:iCs/>
        </w:rPr>
        <w:t>in vivo</w:t>
      </w:r>
      <w:r w:rsidRPr="00DA6C33">
        <w:rPr>
          <w:rFonts w:ascii="Aptos" w:hAnsi="Aptos"/>
        </w:rPr>
        <w:t xml:space="preserve"> co-infection experiment designed to challenge the model under stringent conditions. Three mice received a 5-fold higher inoculum of the hypervirulent VPI10463 relative to ST1.75 at the time of co-inoculation</w:t>
      </w:r>
      <w:r>
        <w:rPr>
          <w:rFonts w:ascii="Aptos" w:hAnsi="Aptos"/>
        </w:rPr>
        <w:t xml:space="preserve">, </w:t>
      </w:r>
      <w:r w:rsidRPr="00DA6C33">
        <w:rPr>
          <w:rFonts w:ascii="Aptos" w:hAnsi="Aptos"/>
        </w:rPr>
        <w:t xml:space="preserve">a deliberate inoculum disadvantage intended to probe whether the predicted competitive exclusion of VPI10463 is robust to initial frequency asymmetry. Despite this disadvantage, mice remained fully protected against VPI10463 challenge, as evidenced by weight trajectories. Strain-specific quantification of fecal samples at 0.5, 1, and 3 days post-infection revealed that ST1.75 progressively outcompeted VPI10463, achieving complete competitive exclusion by Day 3 These results are consistent with the model's prediction that n1/n2 = 8.33 places ST1.75 firmly in the exclusion regime regardless of initial conditions, and further demonstrate that this competitive advantage is sufficiently strong to overcome a 5-fold inoculum excess of VPI10463 </w:t>
      </w:r>
      <w:r w:rsidRPr="00DA6C33">
        <w:rPr>
          <w:rFonts w:ascii="Aptos" w:hAnsi="Aptos"/>
          <w:i/>
          <w:iCs/>
        </w:rPr>
        <w:t>in vivo</w:t>
      </w:r>
      <w:r w:rsidRPr="00DA6C33">
        <w:rPr>
          <w:rFonts w:ascii="Aptos" w:hAnsi="Aptos"/>
        </w:rPr>
        <w:t>.</w:t>
      </w:r>
      <w:r>
        <w:rPr>
          <w:rFonts w:ascii="Aptos" w:hAnsi="Aptos"/>
        </w:rPr>
        <w:t xml:space="preserve"> (</w:t>
      </w:r>
      <w:r w:rsidRPr="00A312A2">
        <w:rPr>
          <w:rFonts w:ascii="Aptos" w:hAnsi="Aptos"/>
          <w:b/>
          <w:bCs/>
        </w:rPr>
        <w:t>Figure 7</w:t>
      </w:r>
      <w:r>
        <w:rPr>
          <w:rFonts w:ascii="Aptos" w:hAnsi="Aptos"/>
          <w:b/>
          <w:bCs/>
        </w:rPr>
        <w:t>G-H</w:t>
      </w:r>
      <w:r>
        <w:rPr>
          <w:rFonts w:ascii="Aptos" w:hAnsi="Aptos"/>
        </w:rPr>
        <w:t>)</w:t>
      </w:r>
    </w:p>
    <w:p w14:paraId="075C8AD9" w14:textId="77777777" w:rsidR="00680BCC" w:rsidRPr="001B5394" w:rsidRDefault="00680BCC" w:rsidP="001B5394">
      <w:pPr>
        <w:pStyle w:val="BodyText"/>
        <w:spacing w:line="276" w:lineRule="auto"/>
      </w:pPr>
      <w:r>
        <w:tab/>
        <w:t>Extending</w:t>
      </w:r>
      <w:r w:rsidRPr="001B5394">
        <w:t xml:space="preserve"> these competitive dynamics generalize across the broader panel of ST1 strains, we applied the same coexistence theory framework to all 21 ST1 isolates competing pairwise against VPI10463, using their respective BIOLOG</w:t>
      </w:r>
      <w:r>
        <w:t xml:space="preserve"> assay</w:t>
      </w:r>
      <w:r w:rsidRPr="001B5394">
        <w:t xml:space="preserve"> to parameterize κ and S (</w:t>
      </w:r>
      <w:r w:rsidRPr="00A86B16">
        <w:rPr>
          <w:b/>
          <w:bCs/>
        </w:rPr>
        <w:t>Figure 7I</w:t>
      </w:r>
      <w:r w:rsidRPr="001B5394">
        <w:t>). High-protection strains, including ST1.75</w:t>
      </w:r>
      <w:r>
        <w:t xml:space="preserve">, </w:t>
      </w:r>
      <w:r w:rsidRPr="001B5394">
        <w:t xml:space="preserve">ST1.6, </w:t>
      </w:r>
      <w:r>
        <w:t xml:space="preserve">ST1.25 </w:t>
      </w:r>
      <w:r w:rsidRPr="001B5394">
        <w:t xml:space="preserve">cluster in the competitive exclusion zone (κ &gt; S), consistent with their broad private metabolic repertoires driving VPI10463 exclusion. By contrast, low-protection strains predominantly fall within or near the coexistence window (−S &lt; κ &lt; S), where niche partitioning is insufficient to generate the asymmetric self-limitation required for exclusion. Several low-protection strains approach or cross the lower boundary (κ &lt; −S), suggesting VPI10463 holds the competitive advantage in these pairings. This correspondence between theoretical prediction and empirical protection phenotype across 21 independent suggests that metabolic niche breadth, is a primary determinant of protective competitive </w:t>
      </w:r>
      <w:r>
        <w:t>dynamics</w:t>
      </w:r>
      <w:r w:rsidRPr="001B5394">
        <w:t xml:space="preserve"> a</w:t>
      </w:r>
      <w:r>
        <w:t xml:space="preserve">mong the strains of </w:t>
      </w:r>
      <w:r w:rsidRPr="00A86B16">
        <w:rPr>
          <w:i/>
          <w:iCs/>
        </w:rPr>
        <w:t>C. difficile</w:t>
      </w:r>
      <w:r w:rsidRPr="001B5394">
        <w:t>.</w:t>
      </w:r>
    </w:p>
    <w:p w14:paraId="04475943" w14:textId="77777777" w:rsidR="00680BCC" w:rsidRDefault="00680BCC" w:rsidP="0069662D">
      <w:pPr>
        <w:pStyle w:val="Heading1"/>
      </w:pPr>
      <w:r>
        <w:t>Discussions</w:t>
      </w:r>
      <w:r w:rsidRPr="009C2318">
        <w:t xml:space="preserve"> </w:t>
      </w:r>
      <w:r>
        <w:t xml:space="preserve"> </w:t>
      </w:r>
    </w:p>
    <w:p w14:paraId="40381C2F" w14:textId="77777777" w:rsidR="00680BCC" w:rsidRDefault="00680BCC" w:rsidP="003A7F34">
      <w:pPr>
        <w:ind w:firstLine="720"/>
        <w:rPr>
          <w:rFonts w:ascii="Aptos" w:hAnsi="Aptos"/>
        </w:rPr>
      </w:pPr>
      <w:r>
        <w:rPr>
          <w:rFonts w:ascii="Aptos" w:hAnsi="Aptos"/>
        </w:rPr>
        <w:t xml:space="preserve">Here </w:t>
      </w:r>
      <w:r w:rsidRPr="00234649">
        <w:rPr>
          <w:rFonts w:ascii="Aptos" w:hAnsi="Aptos"/>
        </w:rPr>
        <w:t xml:space="preserve">we have shown that certain avirulent </w:t>
      </w:r>
      <w:r w:rsidRPr="00234649">
        <w:rPr>
          <w:rFonts w:ascii="Aptos" w:hAnsi="Aptos"/>
          <w:i/>
          <w:iCs/>
        </w:rPr>
        <w:t>C. difficile</w:t>
      </w:r>
      <w:r w:rsidRPr="00234649">
        <w:rPr>
          <w:rFonts w:ascii="Aptos" w:hAnsi="Aptos"/>
        </w:rPr>
        <w:t xml:space="preserve"> strains confer robust protection against secondary infection by the highly virulent VPI10463 strain, while others fail to do so. This protective phenotype cannot be completely attributed to the differences in host immunity</w:t>
      </w:r>
      <w:r>
        <w:rPr>
          <w:rFonts w:ascii="Aptos" w:hAnsi="Aptos"/>
        </w:rPr>
        <w:t xml:space="preserve"> or the</w:t>
      </w:r>
      <w:r w:rsidRPr="00234649">
        <w:rPr>
          <w:rFonts w:ascii="Aptos" w:hAnsi="Aptos"/>
        </w:rPr>
        <w:t xml:space="preserve"> </w:t>
      </w:r>
      <w:r>
        <w:rPr>
          <w:rFonts w:ascii="Aptos" w:eastAsia="Times New Roman" w:hAnsi="Aptos"/>
        </w:rPr>
        <w:t xml:space="preserve">remnant </w:t>
      </w:r>
      <w:proofErr w:type="spellStart"/>
      <w:r>
        <w:rPr>
          <w:rFonts w:ascii="Aptos" w:eastAsia="Times New Roman" w:hAnsi="Aptos"/>
        </w:rPr>
        <w:t>microibiome</w:t>
      </w:r>
      <w:proofErr w:type="spellEnd"/>
      <w:r>
        <w:rPr>
          <w:rFonts w:ascii="Aptos" w:eastAsia="Times New Roman" w:hAnsi="Aptos"/>
        </w:rPr>
        <w:t xml:space="preserve"> composition</w:t>
      </w:r>
      <w:r w:rsidRPr="00234649">
        <w:rPr>
          <w:rFonts w:ascii="Aptos" w:hAnsi="Aptos"/>
        </w:rPr>
        <w:t xml:space="preserve">. The genomic investigation </w:t>
      </w:r>
      <w:r w:rsidRPr="00234649">
        <w:rPr>
          <w:rFonts w:ascii="Aptos" w:hAnsi="Aptos"/>
        </w:rPr>
        <w:lastRenderedPageBreak/>
        <w:t xml:space="preserve">based on the whole genome sequences of ST1 </w:t>
      </w:r>
      <w:r w:rsidRPr="00234649">
        <w:rPr>
          <w:rFonts w:ascii="Aptos" w:hAnsi="Aptos"/>
          <w:i/>
          <w:iCs/>
        </w:rPr>
        <w:t>C. difficile</w:t>
      </w:r>
      <w:r w:rsidRPr="00234649">
        <w:rPr>
          <w:rFonts w:ascii="Aptos" w:hAnsi="Aptos"/>
        </w:rPr>
        <w:t xml:space="preserve"> strains did not reveal </w:t>
      </w:r>
      <w:r>
        <w:rPr>
          <w:rFonts w:ascii="Aptos" w:hAnsi="Aptos"/>
        </w:rPr>
        <w:t xml:space="preserve">any specific </w:t>
      </w:r>
      <w:r w:rsidRPr="00234649">
        <w:rPr>
          <w:rFonts w:ascii="Aptos" w:hAnsi="Aptos"/>
        </w:rPr>
        <w:t xml:space="preserve">genetic determinants, distinct core or accessory gene presence or absence patterns associated with protection. </w:t>
      </w:r>
    </w:p>
    <w:p w14:paraId="439DFD6F" w14:textId="77777777" w:rsidR="00680BCC" w:rsidRDefault="00680BCC" w:rsidP="003A7F34">
      <w:pPr>
        <w:ind w:firstLine="720"/>
        <w:rPr>
          <w:rFonts w:ascii="Aptos" w:hAnsi="Aptos"/>
        </w:rPr>
      </w:pPr>
      <w:r w:rsidRPr="00234649">
        <w:rPr>
          <w:rFonts w:ascii="Aptos" w:hAnsi="Aptos"/>
        </w:rPr>
        <w:t xml:space="preserve">The field has reported that the diverse metabolic traits among </w:t>
      </w:r>
      <w:r w:rsidRPr="00234649">
        <w:rPr>
          <w:rFonts w:ascii="Aptos" w:hAnsi="Aptos"/>
          <w:i/>
          <w:iCs/>
        </w:rPr>
        <w:t>C. difficile</w:t>
      </w:r>
      <w:r w:rsidRPr="00234649">
        <w:rPr>
          <w:rFonts w:ascii="Aptos" w:hAnsi="Aptos"/>
        </w:rPr>
        <w:t xml:space="preserve"> strains appear to infl</w:t>
      </w:r>
      <w:r>
        <w:rPr>
          <w:rFonts w:ascii="Aptos" w:hAnsi="Aptos"/>
        </w:rPr>
        <w:t>u</w:t>
      </w:r>
      <w:r w:rsidRPr="00234649">
        <w:rPr>
          <w:rFonts w:ascii="Aptos" w:hAnsi="Aptos"/>
        </w:rPr>
        <w:t>ence their phenotype associated with protection</w:t>
      </w:r>
      <w:r>
        <w:rPr>
          <w:rFonts w:ascii="Aptos" w:hAnsi="Aptos"/>
        </w:rPr>
        <w:t xml:space="preserve"> such as, c</w:t>
      </w:r>
      <w:r w:rsidRPr="00234649">
        <w:rPr>
          <w:rFonts w:ascii="Aptos" w:hAnsi="Aptos"/>
        </w:rPr>
        <w:t>ompetition for co-</w:t>
      </w:r>
      <w:proofErr w:type="spellStart"/>
      <w:r w:rsidRPr="00234649">
        <w:rPr>
          <w:rFonts w:ascii="Aptos" w:hAnsi="Aptos"/>
        </w:rPr>
        <w:t>germinent</w:t>
      </w:r>
      <w:proofErr w:type="spellEnd"/>
      <w:r w:rsidRPr="00234649">
        <w:rPr>
          <w:rFonts w:ascii="Aptos" w:hAnsi="Aptos"/>
        </w:rPr>
        <w:t xml:space="preserve"> glycine where the primary colonizer strain consumes the available glycine sufficiently enough to decrease germination of the secondary strain </w:t>
      </w:r>
      <w:hyperlink r:id="rId52" w:history="1">
        <w:r>
          <w:rPr>
            <w:rFonts w:ascii="Aptos" w:eastAsia="Times New Roman" w:hAnsi="Aptos"/>
          </w:rPr>
          <w:t>(Leslie </w:t>
        </w:r>
        <w:r>
          <w:rPr>
            <w:rFonts w:ascii="Aptos" w:eastAsia="Times New Roman" w:hAnsi="Aptos"/>
            <w:i/>
          </w:rPr>
          <w:t>et al.</w:t>
        </w:r>
        <w:r>
          <w:rPr>
            <w:rFonts w:ascii="Aptos" w:eastAsia="Times New Roman" w:hAnsi="Aptos"/>
          </w:rPr>
          <w:t>, 2021)</w:t>
        </w:r>
      </w:hyperlink>
      <w:r w:rsidRPr="00234649">
        <w:rPr>
          <w:rFonts w:ascii="Aptos" w:eastAsia="Times New Roman" w:hAnsi="Aptos"/>
        </w:rPr>
        <w:t>.</w:t>
      </w:r>
      <w:r>
        <w:rPr>
          <w:rFonts w:ascii="Aptos" w:eastAsia="Times New Roman" w:hAnsi="Aptos"/>
        </w:rPr>
        <w:t xml:space="preserve"> Following the logic, we </w:t>
      </w:r>
      <w:r>
        <w:rPr>
          <w:rFonts w:ascii="Aptos" w:hAnsi="Aptos"/>
        </w:rPr>
        <w:t>e</w:t>
      </w:r>
      <w:r w:rsidRPr="00234649">
        <w:rPr>
          <w:rFonts w:ascii="Aptos" w:hAnsi="Aptos"/>
        </w:rPr>
        <w:t>xperimental</w:t>
      </w:r>
      <w:r>
        <w:rPr>
          <w:rFonts w:ascii="Aptos" w:hAnsi="Aptos"/>
        </w:rPr>
        <w:t>ly</w:t>
      </w:r>
      <w:r w:rsidRPr="00234649">
        <w:rPr>
          <w:rFonts w:ascii="Aptos" w:hAnsi="Aptos"/>
        </w:rPr>
        <w:t xml:space="preserve"> profi</w:t>
      </w:r>
      <w:r>
        <w:rPr>
          <w:rFonts w:ascii="Aptos" w:hAnsi="Aptos"/>
        </w:rPr>
        <w:t xml:space="preserve">led carbon source utilization preferences </w:t>
      </w:r>
      <w:r w:rsidRPr="00234649">
        <w:rPr>
          <w:rFonts w:ascii="Aptos" w:hAnsi="Aptos"/>
        </w:rPr>
        <w:t xml:space="preserve">among ST1 isolates </w:t>
      </w:r>
      <w:r>
        <w:rPr>
          <w:rFonts w:ascii="Aptos" w:hAnsi="Aptos"/>
        </w:rPr>
        <w:t xml:space="preserve">which </w:t>
      </w:r>
      <w:r w:rsidRPr="00234649">
        <w:rPr>
          <w:rFonts w:ascii="Aptos" w:hAnsi="Aptos"/>
        </w:rPr>
        <w:t xml:space="preserve">revealed substantial heterogeneity in metabolites </w:t>
      </w:r>
      <w:r>
        <w:rPr>
          <w:rFonts w:ascii="Aptos" w:hAnsi="Aptos"/>
        </w:rPr>
        <w:t xml:space="preserve">being </w:t>
      </w:r>
      <w:r w:rsidRPr="00234649">
        <w:rPr>
          <w:rFonts w:ascii="Aptos" w:hAnsi="Aptos"/>
        </w:rPr>
        <w:t>consumed by protective versus non-protective strains</w:t>
      </w:r>
      <w:r>
        <w:rPr>
          <w:rFonts w:ascii="Aptos" w:hAnsi="Aptos"/>
        </w:rPr>
        <w:t xml:space="preserve"> </w:t>
      </w:r>
      <w:r>
        <w:rPr>
          <w:rFonts w:ascii="Aptos" w:eastAsia="Times New Roman" w:hAnsi="Aptos"/>
        </w:rPr>
        <w:t xml:space="preserve">but, </w:t>
      </w:r>
      <w:r>
        <w:rPr>
          <w:rFonts w:ascii="Aptos" w:hAnsi="Aptos"/>
        </w:rPr>
        <w:t xml:space="preserve">it did not reveal any specific metabolite that distinguished protective ST1 strains from the non-protective. </w:t>
      </w:r>
      <w:proofErr w:type="gramStart"/>
      <w:r>
        <w:rPr>
          <w:rFonts w:ascii="Aptos" w:hAnsi="Aptos"/>
        </w:rPr>
        <w:t>I</w:t>
      </w:r>
      <w:r w:rsidRPr="00234649">
        <w:rPr>
          <w:rFonts w:ascii="Aptos" w:hAnsi="Aptos"/>
        </w:rPr>
        <w:t>nstead</w:t>
      </w:r>
      <w:proofErr w:type="gramEnd"/>
      <w:r w:rsidRPr="00234649">
        <w:rPr>
          <w:rFonts w:ascii="Aptos" w:hAnsi="Aptos"/>
        </w:rPr>
        <w:t xml:space="preserve"> </w:t>
      </w:r>
      <w:r>
        <w:rPr>
          <w:rFonts w:ascii="Aptos" w:hAnsi="Aptos"/>
        </w:rPr>
        <w:t xml:space="preserve">the protective ability seemed to be </w:t>
      </w:r>
      <w:r w:rsidRPr="00234649">
        <w:rPr>
          <w:rFonts w:ascii="Aptos" w:hAnsi="Aptos"/>
        </w:rPr>
        <w:t>correlate</w:t>
      </w:r>
      <w:r>
        <w:rPr>
          <w:rFonts w:ascii="Aptos" w:hAnsi="Aptos"/>
        </w:rPr>
        <w:t>d</w:t>
      </w:r>
      <w:r w:rsidRPr="00234649">
        <w:rPr>
          <w:rFonts w:ascii="Aptos" w:hAnsi="Aptos"/>
        </w:rPr>
        <w:t xml:space="preserve"> with </w:t>
      </w:r>
      <w:r>
        <w:rPr>
          <w:rFonts w:ascii="Aptos" w:hAnsi="Aptos"/>
        </w:rPr>
        <w:t xml:space="preserve">the breadth of </w:t>
      </w:r>
      <w:r w:rsidRPr="00234649">
        <w:rPr>
          <w:rFonts w:ascii="Aptos" w:hAnsi="Aptos"/>
        </w:rPr>
        <w:t xml:space="preserve">metabolic </w:t>
      </w:r>
      <w:proofErr w:type="spellStart"/>
      <w:r>
        <w:rPr>
          <w:rFonts w:ascii="Aptos" w:hAnsi="Aptos"/>
        </w:rPr>
        <w:t>utilisation</w:t>
      </w:r>
      <w:proofErr w:type="spellEnd"/>
      <w:r w:rsidRPr="00234649">
        <w:rPr>
          <w:rFonts w:ascii="Aptos" w:hAnsi="Aptos"/>
        </w:rPr>
        <w:t xml:space="preserve"> across strains. These findings suggest that nutrient competition </w:t>
      </w:r>
      <w:r>
        <w:rPr>
          <w:rFonts w:ascii="Aptos" w:hAnsi="Aptos"/>
        </w:rPr>
        <w:t xml:space="preserve">through differences in niche breadth </w:t>
      </w:r>
      <w:r w:rsidRPr="00234649">
        <w:rPr>
          <w:rFonts w:ascii="Aptos" w:hAnsi="Aptos"/>
        </w:rPr>
        <w:t xml:space="preserve">is a common and potentially generalizable mechanism by which certain avirulent </w:t>
      </w:r>
      <w:r w:rsidRPr="00234649">
        <w:rPr>
          <w:rFonts w:ascii="Aptos" w:hAnsi="Aptos"/>
          <w:i/>
          <w:iCs/>
        </w:rPr>
        <w:t>C. difficile</w:t>
      </w:r>
      <w:r w:rsidRPr="00234649">
        <w:rPr>
          <w:rFonts w:ascii="Aptos" w:hAnsi="Aptos"/>
        </w:rPr>
        <w:t xml:space="preserve"> strains provide protection </w:t>
      </w:r>
      <w:r>
        <w:rPr>
          <w:rFonts w:ascii="Aptos" w:hAnsi="Aptos"/>
        </w:rPr>
        <w:t>where p</w:t>
      </w:r>
      <w:r w:rsidRPr="00234649">
        <w:rPr>
          <w:rFonts w:ascii="Aptos" w:hAnsi="Aptos"/>
        </w:rPr>
        <w:t>rotective strains exhibited a broader use of nutrients, suggesting their metabolic vers</w:t>
      </w:r>
      <w:r>
        <w:rPr>
          <w:rFonts w:ascii="Aptos" w:hAnsi="Aptos"/>
        </w:rPr>
        <w:t>ati</w:t>
      </w:r>
      <w:r w:rsidRPr="00234649">
        <w:rPr>
          <w:rFonts w:ascii="Aptos" w:hAnsi="Aptos"/>
        </w:rPr>
        <w:t>lity can potentially outcompete virulent strains for metabolic resources, thus reducing the disease symptoms associated with infection</w:t>
      </w:r>
      <w:r>
        <w:rPr>
          <w:rFonts w:ascii="Aptos" w:hAnsi="Aptos"/>
        </w:rPr>
        <w:t xml:space="preserve">. </w:t>
      </w:r>
      <w:r w:rsidRPr="00234649">
        <w:rPr>
          <w:rFonts w:ascii="Aptos" w:hAnsi="Aptos"/>
        </w:rPr>
        <w:t xml:space="preserve">This shifts the focus towards functional metabolic traits </w:t>
      </w:r>
      <w:r>
        <w:rPr>
          <w:rFonts w:ascii="Aptos" w:hAnsi="Aptos"/>
        </w:rPr>
        <w:t xml:space="preserve">as </w:t>
      </w:r>
      <w:r w:rsidRPr="00234649">
        <w:rPr>
          <w:rFonts w:ascii="Aptos" w:hAnsi="Aptos"/>
        </w:rPr>
        <w:t>a promising direction for developing therapeutics</w:t>
      </w:r>
      <w:r>
        <w:rPr>
          <w:rFonts w:ascii="Aptos" w:hAnsi="Aptos"/>
        </w:rPr>
        <w:t xml:space="preserve">. </w:t>
      </w:r>
      <w:r w:rsidRPr="00234649">
        <w:rPr>
          <w:rFonts w:ascii="Aptos" w:hAnsi="Aptos"/>
        </w:rPr>
        <w:t xml:space="preserve">Validating, this model of metabolic competition could guide the development of strain-based live biotherapeutics, designed to exploit </w:t>
      </w:r>
      <w:r>
        <w:rPr>
          <w:rFonts w:ascii="Aptos" w:hAnsi="Aptos"/>
        </w:rPr>
        <w:t>the</w:t>
      </w:r>
      <w:r w:rsidRPr="00234649">
        <w:rPr>
          <w:rFonts w:ascii="Aptos" w:hAnsi="Aptos"/>
        </w:rPr>
        <w:t xml:space="preserve"> ecological interactions within the gut and to leverage metabolic traits to prevent CDI.</w:t>
      </w:r>
      <w:r>
        <w:rPr>
          <w:rFonts w:ascii="Aptos" w:hAnsi="Aptos"/>
        </w:rPr>
        <w:t xml:space="preserve"> </w:t>
      </w:r>
    </w:p>
    <w:p w14:paraId="1F10544F" w14:textId="77777777" w:rsidR="00680BCC" w:rsidRDefault="00680BCC" w:rsidP="000F17FF">
      <w:pPr>
        <w:ind w:firstLine="720"/>
        <w:rPr>
          <w:rFonts w:ascii="Aptos" w:hAnsi="Aptos"/>
        </w:rPr>
      </w:pPr>
      <w:r w:rsidRPr="00310C99">
        <w:rPr>
          <w:rFonts w:ascii="Aptos" w:hAnsi="Aptos"/>
        </w:rPr>
        <w:t xml:space="preserve">To place these experimental observations on a formal footing, we developed a consumer-resource model of pairwise </w:t>
      </w:r>
      <w:proofErr w:type="spellStart"/>
      <w:r w:rsidRPr="00310C99">
        <w:rPr>
          <w:rFonts w:ascii="Aptos" w:hAnsi="Aptos"/>
        </w:rPr>
        <w:t>interstrain</w:t>
      </w:r>
      <w:proofErr w:type="spellEnd"/>
      <w:r w:rsidRPr="00310C99">
        <w:rPr>
          <w:rFonts w:ascii="Aptos" w:hAnsi="Aptos"/>
        </w:rPr>
        <w:t xml:space="preserve"> competition in which each strain grows on a combination of shared and private carbon source pools, with pool sizes measured directly from PM1 </w:t>
      </w:r>
      <w:r>
        <w:rPr>
          <w:rFonts w:ascii="Aptos" w:hAnsi="Aptos"/>
        </w:rPr>
        <w:t>BIOLOG</w:t>
      </w:r>
      <w:r w:rsidRPr="00310C99">
        <w:rPr>
          <w:rFonts w:ascii="Aptos" w:hAnsi="Aptos"/>
        </w:rPr>
        <w:t xml:space="preserve"> data. The model predicts </w:t>
      </w:r>
      <w:r>
        <w:rPr>
          <w:rFonts w:ascii="Aptos" w:hAnsi="Aptos"/>
        </w:rPr>
        <w:t xml:space="preserve">a </w:t>
      </w:r>
      <w:r w:rsidRPr="00310C99">
        <w:rPr>
          <w:rFonts w:ascii="Aptos" w:hAnsi="Aptos"/>
        </w:rPr>
        <w:t xml:space="preserve">competitive outcome from a single inequality relating the difference in private resource counts to their harmonic mean, a stabilization term that captures how strongly each strain self-limits </w:t>
      </w:r>
      <w:r>
        <w:rPr>
          <w:rFonts w:ascii="Aptos" w:hAnsi="Aptos"/>
        </w:rPr>
        <w:t>by</w:t>
      </w:r>
      <w:r w:rsidRPr="00310C99">
        <w:rPr>
          <w:rFonts w:ascii="Aptos" w:hAnsi="Aptos"/>
        </w:rPr>
        <w:t xml:space="preserve"> </w:t>
      </w:r>
      <w:r>
        <w:rPr>
          <w:rFonts w:ascii="Aptos" w:hAnsi="Aptos"/>
        </w:rPr>
        <w:t>depleting</w:t>
      </w:r>
      <w:r w:rsidRPr="00310C99">
        <w:rPr>
          <w:rFonts w:ascii="Aptos" w:hAnsi="Aptos"/>
        </w:rPr>
        <w:t xml:space="preserve"> its own private pool. Crucially, this inequality produces qualitatively distinct outcomes: when ST1.75 (</w:t>
      </w:r>
      <w:r>
        <w:rPr>
          <w:rFonts w:ascii="Aptos" w:hAnsi="Aptos"/>
        </w:rPr>
        <w:t>protective</w:t>
      </w:r>
      <w:r w:rsidRPr="00310C99">
        <w:rPr>
          <w:rFonts w:ascii="Aptos" w:hAnsi="Aptos"/>
        </w:rPr>
        <w:t xml:space="preserve">) competes against VPI10463 the model predicts competitive exclusion of VPI10463, consistent with the </w:t>
      </w:r>
      <w:r w:rsidRPr="00310C99">
        <w:rPr>
          <w:rFonts w:ascii="Aptos" w:hAnsi="Aptos"/>
          <w:i/>
          <w:iCs/>
        </w:rPr>
        <w:t>in vivo</w:t>
      </w:r>
      <w:r w:rsidRPr="00310C99">
        <w:rPr>
          <w:rFonts w:ascii="Aptos" w:hAnsi="Aptos"/>
        </w:rPr>
        <w:t xml:space="preserve"> result</w:t>
      </w:r>
      <w:r>
        <w:rPr>
          <w:rFonts w:ascii="Aptos" w:hAnsi="Aptos"/>
        </w:rPr>
        <w:t xml:space="preserve"> even during </w:t>
      </w:r>
      <w:proofErr w:type="spellStart"/>
      <w:r>
        <w:rPr>
          <w:rFonts w:ascii="Aptos" w:hAnsi="Aptos"/>
        </w:rPr>
        <w:t>incoculum</w:t>
      </w:r>
      <w:proofErr w:type="spellEnd"/>
      <w:r>
        <w:rPr>
          <w:rFonts w:ascii="Aptos" w:hAnsi="Aptos"/>
        </w:rPr>
        <w:t xml:space="preserve"> disadvantage</w:t>
      </w:r>
      <w:r w:rsidRPr="00310C99">
        <w:rPr>
          <w:rFonts w:ascii="Aptos" w:hAnsi="Aptos"/>
        </w:rPr>
        <w:t>. When ST1.68 (</w:t>
      </w:r>
      <w:r>
        <w:rPr>
          <w:rFonts w:ascii="Aptos" w:hAnsi="Aptos"/>
        </w:rPr>
        <w:t>non-protective</w:t>
      </w:r>
      <w:r w:rsidRPr="00310C99">
        <w:rPr>
          <w:rFonts w:ascii="Aptos" w:hAnsi="Aptos"/>
        </w:rPr>
        <w:t>) competes against VPI10463</w:t>
      </w:r>
      <w:r>
        <w:rPr>
          <w:rFonts w:ascii="Aptos" w:hAnsi="Aptos"/>
        </w:rPr>
        <w:t xml:space="preserve">, </w:t>
      </w:r>
      <w:r w:rsidRPr="00310C99">
        <w:rPr>
          <w:rFonts w:ascii="Aptos" w:hAnsi="Aptos"/>
        </w:rPr>
        <w:t xml:space="preserve">the niche imbalance reverses and the model </w:t>
      </w:r>
      <w:proofErr w:type="gramStart"/>
      <w:r w:rsidRPr="00310C99">
        <w:rPr>
          <w:rFonts w:ascii="Aptos" w:hAnsi="Aptos"/>
        </w:rPr>
        <w:t>predicts</w:t>
      </w:r>
      <w:proofErr w:type="gramEnd"/>
      <w:r w:rsidRPr="00310C99">
        <w:rPr>
          <w:rFonts w:ascii="Aptos" w:hAnsi="Aptos"/>
        </w:rPr>
        <w:t xml:space="preserve"> coexistence, consistent with ST1.68's failure to protect. These predictions arise from niche breadth alone. </w:t>
      </w:r>
    </w:p>
    <w:p w14:paraId="507F0B07" w14:textId="77777777" w:rsidR="00680BCC" w:rsidRDefault="00680BCC" w:rsidP="000F17FF">
      <w:pPr>
        <w:ind w:firstLine="720"/>
        <w:rPr>
          <w:rFonts w:ascii="Aptos" w:hAnsi="Aptos"/>
        </w:rPr>
      </w:pPr>
      <w:r w:rsidRPr="00AA69D9">
        <w:rPr>
          <w:rFonts w:ascii="Aptos" w:hAnsi="Aptos"/>
        </w:rPr>
        <w:t xml:space="preserve">A central interpretive claim of this work is that metabolic niche breadth, rather than uptake kinetics, is the primary determinant of competitive protection against </w:t>
      </w:r>
      <w:r>
        <w:rPr>
          <w:rFonts w:ascii="Aptos" w:hAnsi="Aptos"/>
        </w:rPr>
        <w:t>VPI10463</w:t>
      </w:r>
      <w:r w:rsidRPr="00AA69D9">
        <w:rPr>
          <w:rFonts w:ascii="Aptos" w:hAnsi="Aptos"/>
        </w:rPr>
        <w:t>. This conclusion runs counter to the framing of</w:t>
      </w:r>
      <w:r>
        <w:rPr>
          <w:rFonts w:ascii="Aptos" w:hAnsi="Aptos"/>
        </w:rPr>
        <w:t xml:space="preserve"> </w:t>
      </w:r>
      <w:hyperlink r:id="rId53" w:history="1">
        <w:r>
          <w:rPr>
            <w:rFonts w:ascii="Aptos" w:eastAsia="Times New Roman" w:hAnsi="Aptos"/>
          </w:rPr>
          <w:t>(Dong </w:t>
        </w:r>
        <w:r>
          <w:rPr>
            <w:rFonts w:ascii="Aptos" w:eastAsia="Times New Roman" w:hAnsi="Aptos"/>
            <w:i/>
          </w:rPr>
          <w:t>et al.</w:t>
        </w:r>
        <w:r>
          <w:rPr>
            <w:rFonts w:ascii="Aptos" w:eastAsia="Times New Roman" w:hAnsi="Aptos"/>
          </w:rPr>
          <w:t>, 2025)</w:t>
        </w:r>
      </w:hyperlink>
      <w:r w:rsidRPr="00AA69D9">
        <w:rPr>
          <w:rFonts w:ascii="Aptos" w:hAnsi="Aptos"/>
        </w:rPr>
        <w:t xml:space="preserve">, </w:t>
      </w:r>
      <w:r>
        <w:rPr>
          <w:rFonts w:ascii="Aptos" w:hAnsi="Aptos"/>
        </w:rPr>
        <w:t>where</w:t>
      </w:r>
      <w:r w:rsidRPr="00AA69D9">
        <w:rPr>
          <w:rFonts w:ascii="Aptos" w:hAnsi="Aptos"/>
        </w:rPr>
        <w:t xml:space="preserve"> ST1</w:t>
      </w:r>
      <w:r>
        <w:rPr>
          <w:rFonts w:ascii="Aptos" w:hAnsi="Aptos"/>
        </w:rPr>
        <w:t>.</w:t>
      </w:r>
      <w:r w:rsidRPr="00AA69D9">
        <w:rPr>
          <w:rFonts w:ascii="Aptos" w:hAnsi="Aptos"/>
        </w:rPr>
        <w:t xml:space="preserve">75's </w:t>
      </w:r>
      <w:r w:rsidRPr="00AA69D9">
        <w:rPr>
          <w:rFonts w:ascii="Aptos" w:hAnsi="Aptos"/>
        </w:rPr>
        <w:lastRenderedPageBreak/>
        <w:t xml:space="preserve">competitive advantage </w:t>
      </w:r>
      <w:r>
        <w:rPr>
          <w:rFonts w:ascii="Aptos" w:hAnsi="Aptos"/>
        </w:rPr>
        <w:t xml:space="preserve">was attributed </w:t>
      </w:r>
      <w:r w:rsidRPr="00AA69D9">
        <w:rPr>
          <w:rFonts w:ascii="Aptos" w:hAnsi="Aptos"/>
        </w:rPr>
        <w:t>to the rapidity of amino acid depletion relative to R20291. Our GC-MS data are qualitatively consistent with that kinetic asymmetry, and we do not dispute that faster per-substrate depletion occurs. What the consumer-resource model adds is a ceiling argument</w:t>
      </w:r>
      <w:r>
        <w:rPr>
          <w:rFonts w:ascii="Aptos" w:hAnsi="Aptos"/>
        </w:rPr>
        <w:t xml:space="preserve"> that</w:t>
      </w:r>
      <w:r w:rsidRPr="00AA69D9">
        <w:rPr>
          <w:rFonts w:ascii="Aptos" w:hAnsi="Aptos"/>
        </w:rPr>
        <w:t xml:space="preserve"> the strain pair past the hard exclusion boundary at n₁/n₂ = 1 + √2, guarante</w:t>
      </w:r>
      <w:r>
        <w:rPr>
          <w:rFonts w:ascii="Aptos" w:hAnsi="Aptos"/>
        </w:rPr>
        <w:t>es</w:t>
      </w:r>
      <w:r w:rsidRPr="00AA69D9">
        <w:rPr>
          <w:rFonts w:ascii="Aptos" w:hAnsi="Aptos"/>
        </w:rPr>
        <w:t xml:space="preserve"> competitive exclusion regardless of uptake kinetics. Kinetic asymmetries exist and likely contribute at the margins, but they are not the load-bearing mechanism.</w:t>
      </w:r>
      <w:r>
        <w:rPr>
          <w:rFonts w:ascii="Aptos" w:hAnsi="Aptos"/>
        </w:rPr>
        <w:t xml:space="preserve"> </w:t>
      </w:r>
      <w:r w:rsidRPr="00310C99">
        <w:rPr>
          <w:rFonts w:ascii="Aptos" w:hAnsi="Aptos"/>
        </w:rPr>
        <w:t xml:space="preserve">Additional factors including the </w:t>
      </w:r>
      <w:r>
        <w:rPr>
          <w:rFonts w:ascii="Aptos" w:hAnsi="Aptos"/>
        </w:rPr>
        <w:t xml:space="preserve">cumulative </w:t>
      </w:r>
      <w:r w:rsidRPr="00310C99">
        <w:rPr>
          <w:rFonts w:ascii="Aptos" w:hAnsi="Aptos"/>
        </w:rPr>
        <w:t>speed of resource uptake</w:t>
      </w:r>
      <w:r>
        <w:rPr>
          <w:rFonts w:ascii="Aptos" w:hAnsi="Aptos"/>
        </w:rPr>
        <w:t xml:space="preserve"> across different classes of nutrients</w:t>
      </w:r>
      <w:r w:rsidRPr="00310C99">
        <w:rPr>
          <w:rFonts w:ascii="Aptos" w:hAnsi="Aptos"/>
        </w:rPr>
        <w:t xml:space="preserve">, and the ability to produce or tolerate </w:t>
      </w:r>
      <w:r>
        <w:rPr>
          <w:rFonts w:ascii="Aptos" w:hAnsi="Aptos"/>
        </w:rPr>
        <w:t>antagonistic</w:t>
      </w:r>
      <w:r w:rsidRPr="00310C99">
        <w:rPr>
          <w:rFonts w:ascii="Aptos" w:hAnsi="Aptos"/>
        </w:rPr>
        <w:t xml:space="preserve"> metabolic byproducts are not captured by the current framework but would be expected to sharpen or modify competitive outcomes. The model therefore provides a minimal sufficient explanation for the observed protection phenotype and a quantitative scaffold.</w:t>
      </w:r>
    </w:p>
    <w:p w14:paraId="34D6EB74" w14:textId="77777777" w:rsidR="00680BCC" w:rsidRDefault="00680BCC" w:rsidP="000F17FF">
      <w:pPr>
        <w:ind w:firstLine="720"/>
        <w:rPr>
          <w:rFonts w:ascii="Aptos" w:hAnsi="Aptos"/>
        </w:rPr>
      </w:pPr>
      <w:r w:rsidRPr="00B720E0">
        <w:rPr>
          <w:rFonts w:ascii="Aptos" w:hAnsi="Aptos"/>
        </w:rPr>
        <w:t xml:space="preserve">Our findings </w:t>
      </w:r>
      <w:proofErr w:type="gramStart"/>
      <w:r w:rsidRPr="00B720E0">
        <w:rPr>
          <w:rFonts w:ascii="Aptos" w:hAnsi="Aptos"/>
        </w:rPr>
        <w:t>come</w:t>
      </w:r>
      <w:r>
        <w:rPr>
          <w:rFonts w:ascii="Aptos" w:hAnsi="Aptos"/>
        </w:rPr>
        <w:t>s</w:t>
      </w:r>
      <w:proofErr w:type="gramEnd"/>
      <w:r w:rsidRPr="00B720E0">
        <w:rPr>
          <w:rFonts w:ascii="Aptos" w:hAnsi="Aptos"/>
        </w:rPr>
        <w:t xml:space="preserve"> with the caveat that </w:t>
      </w:r>
      <w:r>
        <w:rPr>
          <w:rFonts w:ascii="Aptos" w:hAnsi="Aptos"/>
        </w:rPr>
        <w:t>the experimental</w:t>
      </w:r>
      <w:r w:rsidRPr="00B720E0">
        <w:rPr>
          <w:rFonts w:ascii="Aptos" w:hAnsi="Aptos"/>
        </w:rPr>
        <w:t xml:space="preserve"> techniques </w:t>
      </w:r>
      <w:r>
        <w:rPr>
          <w:rFonts w:ascii="Aptos" w:hAnsi="Aptos"/>
        </w:rPr>
        <w:t xml:space="preserve">used here </w:t>
      </w:r>
      <w:r w:rsidRPr="00B720E0">
        <w:rPr>
          <w:rFonts w:ascii="Aptos" w:hAnsi="Aptos"/>
        </w:rPr>
        <w:t>are sensitive to factors such as inoculum density, growth phase at inoculation, medium composition, plate-to-plate variation, and environmental conditions. Clinical isolates</w:t>
      </w:r>
      <w:proofErr w:type="gramStart"/>
      <w:r w:rsidRPr="00B720E0">
        <w:rPr>
          <w:rFonts w:ascii="Aptos" w:hAnsi="Aptos"/>
        </w:rPr>
        <w:t>, in particular, can</w:t>
      </w:r>
      <w:proofErr w:type="gramEnd"/>
      <w:r w:rsidRPr="00B720E0">
        <w:rPr>
          <w:rFonts w:ascii="Aptos" w:hAnsi="Aptos"/>
        </w:rPr>
        <w:t xml:space="preserve"> display erratic or inconsistent growth patterns </w:t>
      </w:r>
      <w:r w:rsidRPr="001C4D9E">
        <w:rPr>
          <w:rFonts w:ascii="Aptos" w:hAnsi="Aptos"/>
          <w:i/>
          <w:iCs/>
        </w:rPr>
        <w:t>in vitro</w:t>
      </w:r>
      <w:r w:rsidRPr="00B720E0">
        <w:rPr>
          <w:rFonts w:ascii="Aptos" w:hAnsi="Aptos"/>
        </w:rPr>
        <w:t xml:space="preserve">, resulting in substantial variability across biological replicates. Aggregating results across replicates can introduce additional error, as the large variations among replicates make it difficult to compare strains and can lead to wide confidence intervals, especially for nutrients that show only marginal utilization. These technical limitations </w:t>
      </w:r>
      <w:r>
        <w:rPr>
          <w:rFonts w:ascii="Aptos" w:hAnsi="Aptos"/>
        </w:rPr>
        <w:t>required</w:t>
      </w:r>
      <w:r w:rsidRPr="00B720E0">
        <w:rPr>
          <w:rFonts w:ascii="Aptos" w:hAnsi="Aptos"/>
        </w:rPr>
        <w:t xml:space="preserve"> cautious interpretation of carbon source utilization profiles obtained from BIOLOG data. </w:t>
      </w:r>
      <w:r>
        <w:rPr>
          <w:rFonts w:ascii="Aptos" w:hAnsi="Aptos"/>
        </w:rPr>
        <w:t>Also</w:t>
      </w:r>
      <w:r w:rsidRPr="00B720E0">
        <w:rPr>
          <w:rFonts w:ascii="Aptos" w:hAnsi="Aptos"/>
        </w:rPr>
        <w:t xml:space="preserve">, the chemically defined </w:t>
      </w:r>
      <w:r w:rsidRPr="00B720E0">
        <w:rPr>
          <w:rFonts w:ascii="Aptos" w:hAnsi="Aptos"/>
          <w:i/>
          <w:iCs/>
        </w:rPr>
        <w:t>C. difficile</w:t>
      </w:r>
      <w:r w:rsidRPr="00B720E0">
        <w:rPr>
          <w:rFonts w:ascii="Aptos" w:hAnsi="Aptos"/>
        </w:rPr>
        <w:t xml:space="preserve"> minimal medium (CDMM) is itself a complex formulation containing more than 40 unique chemicals, including several amino acids, which can support a basal level of bacterial growth even in the absence of an explicitly added carbon source. </w:t>
      </w:r>
      <w:r>
        <w:rPr>
          <w:rFonts w:ascii="Aptos" w:hAnsi="Aptos"/>
        </w:rPr>
        <w:t>The c</w:t>
      </w:r>
      <w:r w:rsidRPr="00B720E0">
        <w:rPr>
          <w:rFonts w:ascii="Aptos" w:hAnsi="Aptos"/>
        </w:rPr>
        <w:t xml:space="preserve">onclusions regarding protective phenotypes, as explained by differences in metabolic mechanisms, must be extrapolated to the clinical context with caution. Another critical limitation arises from incomplete gene annotation in </w:t>
      </w:r>
      <w:r w:rsidRPr="00B720E0">
        <w:rPr>
          <w:rFonts w:ascii="Aptos" w:hAnsi="Aptos"/>
          <w:i/>
          <w:iCs/>
        </w:rPr>
        <w:t>C. difficile</w:t>
      </w:r>
      <w:r w:rsidRPr="00B720E0">
        <w:rPr>
          <w:rFonts w:ascii="Aptos" w:hAnsi="Aptos"/>
        </w:rPr>
        <w:t>. A substantial fraction of genes remain</w:t>
      </w:r>
      <w:r>
        <w:rPr>
          <w:rFonts w:ascii="Aptos" w:hAnsi="Aptos"/>
        </w:rPr>
        <w:t>s</w:t>
      </w:r>
      <w:r w:rsidRPr="00B720E0">
        <w:rPr>
          <w:rFonts w:ascii="Aptos" w:hAnsi="Aptos"/>
        </w:rPr>
        <w:t xml:space="preserve"> uncharacterized, </w:t>
      </w:r>
      <w:r>
        <w:rPr>
          <w:rFonts w:ascii="Aptos" w:hAnsi="Aptos"/>
        </w:rPr>
        <w:t>hindering the</w:t>
      </w:r>
      <w:r w:rsidRPr="00B720E0">
        <w:rPr>
          <w:rFonts w:ascii="Aptos" w:hAnsi="Aptos"/>
        </w:rPr>
        <w:t xml:space="preserve"> efforts to directly link genetic differences to specific metabolic phenotypes. This lack of functional annotation </w:t>
      </w:r>
      <w:r>
        <w:rPr>
          <w:rFonts w:ascii="Aptos" w:hAnsi="Aptos"/>
        </w:rPr>
        <w:t xml:space="preserve">also </w:t>
      </w:r>
      <w:r w:rsidRPr="00B720E0">
        <w:rPr>
          <w:rFonts w:ascii="Aptos" w:hAnsi="Aptos"/>
        </w:rPr>
        <w:t>constrains the construction of genome-scale metabolic models</w:t>
      </w:r>
      <w:r>
        <w:rPr>
          <w:rFonts w:ascii="Aptos" w:hAnsi="Aptos"/>
        </w:rPr>
        <w:t xml:space="preserve"> (GSMMs)</w:t>
      </w:r>
      <w:r w:rsidRPr="00B720E0">
        <w:rPr>
          <w:rFonts w:ascii="Aptos" w:hAnsi="Aptos"/>
        </w:rPr>
        <w:t xml:space="preserve">, particularly for closely related strains, and limits the ability of association studies to connect genotype to phenotype. As a result, fully resolving the molecular mechanisms underlying strain-specific metabolic and protective traits remains challenging, highlighting the need for continued advances in </w:t>
      </w:r>
      <w:r w:rsidRPr="00B720E0">
        <w:rPr>
          <w:rFonts w:ascii="Aptos" w:hAnsi="Aptos"/>
          <w:i/>
          <w:iCs/>
        </w:rPr>
        <w:t>C. difficile</w:t>
      </w:r>
      <w:r w:rsidRPr="00B720E0">
        <w:rPr>
          <w:rFonts w:ascii="Aptos" w:hAnsi="Aptos"/>
        </w:rPr>
        <w:t xml:space="preserve"> </w:t>
      </w:r>
      <w:r>
        <w:rPr>
          <w:rFonts w:ascii="Aptos" w:hAnsi="Aptos"/>
        </w:rPr>
        <w:t>biology.</w:t>
      </w:r>
    </w:p>
    <w:p w14:paraId="341387CD" w14:textId="77777777" w:rsidR="00680BCC" w:rsidRDefault="00680BCC" w:rsidP="000F17FF">
      <w:pPr>
        <w:ind w:firstLine="720"/>
        <w:rPr>
          <w:rFonts w:ascii="Aptos" w:hAnsi="Aptos"/>
        </w:rPr>
      </w:pPr>
      <w:r w:rsidRPr="00234649">
        <w:rPr>
          <w:rFonts w:ascii="Aptos" w:hAnsi="Aptos"/>
        </w:rPr>
        <w:t xml:space="preserve">Strains exhibiting protective </w:t>
      </w:r>
      <w:r>
        <w:rPr>
          <w:rFonts w:ascii="Aptos" w:hAnsi="Aptos"/>
        </w:rPr>
        <w:t>phenotype</w:t>
      </w:r>
      <w:r w:rsidRPr="00234649">
        <w:rPr>
          <w:rFonts w:ascii="Aptos" w:hAnsi="Aptos"/>
        </w:rPr>
        <w:t xml:space="preserve"> could serve as the foundation for next-generation microbial therapeutics designed to prevent or even treat CDI. By leveraging these naturally protective strains or their key metabolic capabilities, it may be possible to create live biotherapeutic products that colonize the gut and outcompete virulent strains in </w:t>
      </w:r>
      <w:r w:rsidRPr="00234649">
        <w:rPr>
          <w:rFonts w:ascii="Aptos" w:hAnsi="Aptos"/>
        </w:rPr>
        <w:lastRenderedPageBreak/>
        <w:t xml:space="preserve">a targeted, safe manner without relying on broad-spectrum antibiotics or fecal microbiota transplantation. Furthermore, the potential to engineer commensal bacteria that mimic the metabolic traits of protective </w:t>
      </w:r>
      <w:r w:rsidRPr="00234649">
        <w:rPr>
          <w:rFonts w:ascii="Aptos" w:hAnsi="Aptos"/>
          <w:i/>
          <w:iCs/>
        </w:rPr>
        <w:t>C. difficile</w:t>
      </w:r>
      <w:r w:rsidRPr="00234649">
        <w:rPr>
          <w:rFonts w:ascii="Aptos" w:hAnsi="Aptos"/>
        </w:rPr>
        <w:t xml:space="preserve"> strains represents a</w:t>
      </w:r>
      <w:r>
        <w:rPr>
          <w:rFonts w:ascii="Aptos" w:hAnsi="Aptos"/>
        </w:rPr>
        <w:t xml:space="preserve"> </w:t>
      </w:r>
      <w:r w:rsidRPr="00234649">
        <w:rPr>
          <w:rFonts w:ascii="Aptos" w:hAnsi="Aptos"/>
        </w:rPr>
        <w:t xml:space="preserve">strategy for refined treatment. Such microbes would ideally be optimized for safety, stability, and persistence in the host gut environment, overcoming limitations associated with donor-derived microbiota or uncharacterized probiotic formulations. Additionally, exploring how dietary composition influences the availability of key nutrients and consequently the efficacy of protective strains could provide </w:t>
      </w:r>
      <w:r>
        <w:rPr>
          <w:rFonts w:ascii="Aptos" w:hAnsi="Aptos"/>
        </w:rPr>
        <w:t>important clinical interventions that are easy to implement</w:t>
      </w:r>
      <w:r w:rsidRPr="00234649">
        <w:rPr>
          <w:rFonts w:ascii="Aptos" w:hAnsi="Aptos"/>
        </w:rPr>
        <w:t>.</w:t>
      </w:r>
      <w:r>
        <w:rPr>
          <w:rFonts w:ascii="Aptos" w:hAnsi="Aptos"/>
        </w:rPr>
        <w:t xml:space="preserve"> </w:t>
      </w:r>
      <w:r w:rsidRPr="00234649">
        <w:rPr>
          <w:rFonts w:ascii="Aptos" w:hAnsi="Aptos"/>
        </w:rPr>
        <w:t xml:space="preserve">Modulating host diet to favor the colonization and metabolic activity of protective strains may enhance therapeutic outcomes or serve as </w:t>
      </w:r>
      <w:r>
        <w:rPr>
          <w:rFonts w:ascii="Aptos" w:hAnsi="Aptos"/>
        </w:rPr>
        <w:t xml:space="preserve">an </w:t>
      </w:r>
      <w:r w:rsidRPr="00234649">
        <w:rPr>
          <w:rFonts w:ascii="Aptos" w:hAnsi="Aptos"/>
        </w:rPr>
        <w:t>adjunctive measure</w:t>
      </w:r>
      <w:r>
        <w:rPr>
          <w:rFonts w:ascii="Aptos" w:hAnsi="Aptos"/>
        </w:rPr>
        <w:t xml:space="preserve">. </w:t>
      </w:r>
    </w:p>
    <w:p w14:paraId="6C4D81F6" w14:textId="77777777" w:rsidR="00680BCC" w:rsidRPr="00037B8D" w:rsidRDefault="00680BCC" w:rsidP="00037B8D">
      <w:pPr>
        <w:pStyle w:val="BodyText"/>
        <w:spacing w:line="276" w:lineRule="auto"/>
        <w:rPr>
          <w:rFonts w:ascii="Aptos" w:hAnsi="Aptos"/>
        </w:rPr>
      </w:pPr>
      <w:r>
        <w:rPr>
          <w:rFonts w:ascii="Aptos" w:hAnsi="Aptos"/>
        </w:rPr>
        <w:tab/>
      </w:r>
      <w:r w:rsidRPr="00234649">
        <w:rPr>
          <w:rFonts w:ascii="Aptos" w:hAnsi="Aptos"/>
        </w:rPr>
        <w:t xml:space="preserve">This work advances our understanding of how strain-level metabolic differences among closely related avirulent </w:t>
      </w:r>
      <w:r w:rsidRPr="00234649">
        <w:rPr>
          <w:rFonts w:ascii="Aptos" w:hAnsi="Aptos"/>
          <w:i/>
          <w:iCs/>
        </w:rPr>
        <w:t>C. difficile</w:t>
      </w:r>
      <w:r w:rsidRPr="00234649">
        <w:rPr>
          <w:rFonts w:ascii="Aptos" w:hAnsi="Aptos"/>
        </w:rPr>
        <w:t xml:space="preserve"> ST1 strains drive protection against infection by virulent strains</w:t>
      </w:r>
      <w:r>
        <w:rPr>
          <w:rFonts w:ascii="Aptos" w:hAnsi="Aptos"/>
        </w:rPr>
        <w:t>. T</w:t>
      </w:r>
      <w:r w:rsidRPr="00234649">
        <w:rPr>
          <w:rFonts w:ascii="Aptos" w:hAnsi="Aptos"/>
        </w:rPr>
        <w:t xml:space="preserve">his work </w:t>
      </w:r>
      <w:r>
        <w:rPr>
          <w:rFonts w:ascii="Aptos" w:hAnsi="Aptos"/>
        </w:rPr>
        <w:t xml:space="preserve">also </w:t>
      </w:r>
      <w:r w:rsidRPr="00234649">
        <w:rPr>
          <w:rFonts w:ascii="Aptos" w:hAnsi="Aptos"/>
        </w:rPr>
        <w:t xml:space="preserve">highlights the central role of metabolic competition in mediating colonization resistance. The comprehensive profiling of diverse clinical isolates and integration of phenotypic, genomic, and competition assays provide a robust framework to link metabolic traits to protective capacity. Ultimately, this study lays the groundwork for leveraging metabolic phenotypes to prevent and control </w:t>
      </w:r>
      <w:r w:rsidRPr="00060282">
        <w:rPr>
          <w:rFonts w:ascii="Aptos" w:hAnsi="Aptos"/>
          <w:i/>
          <w:iCs/>
        </w:rPr>
        <w:t>C. difficile</w:t>
      </w:r>
      <w:r w:rsidRPr="00234649">
        <w:rPr>
          <w:rFonts w:ascii="Aptos" w:hAnsi="Aptos"/>
        </w:rPr>
        <w:t xml:space="preserve"> infection, moving beyond broad-spectrum antibiotics and improving patient outcomes through precise, mechanism-based microbial therapeutic</w:t>
      </w:r>
      <w:r>
        <w:rPr>
          <w:rFonts w:ascii="Aptos" w:hAnsi="Aptos"/>
        </w:rPr>
        <w:t>s.</w:t>
      </w:r>
    </w:p>
    <w:p w14:paraId="747FA6EF" w14:textId="77777777" w:rsidR="00680BCC" w:rsidRDefault="00680BCC" w:rsidP="00162EA8">
      <w:pPr>
        <w:pStyle w:val="Heading1"/>
      </w:pPr>
      <w:r>
        <w:t>Methods</w:t>
      </w:r>
      <w:r w:rsidRPr="009C2318">
        <w:t xml:space="preserve"> </w:t>
      </w:r>
      <w:r>
        <w:t xml:space="preserve"> </w:t>
      </w:r>
    </w:p>
    <w:p w14:paraId="603426AB" w14:textId="77777777" w:rsidR="00680BCC" w:rsidRPr="00191377" w:rsidRDefault="00680BCC" w:rsidP="00162EA8">
      <w:pPr>
        <w:pStyle w:val="Heading2"/>
        <w:spacing w:line="276" w:lineRule="auto"/>
        <w:rPr>
          <w:rFonts w:ascii="Aptos" w:hAnsi="Aptos"/>
          <w:sz w:val="24"/>
          <w:szCs w:val="24"/>
        </w:rPr>
      </w:pPr>
      <w:r w:rsidRPr="00191377">
        <w:rPr>
          <w:rFonts w:ascii="Aptos" w:eastAsia="Arial" w:hAnsi="Aptos" w:cs="Arial"/>
          <w:b/>
          <w:bCs/>
          <w:sz w:val="24"/>
          <w:szCs w:val="24"/>
        </w:rPr>
        <w:t>Bacterial Strains and Mouse Lines</w:t>
      </w:r>
    </w:p>
    <w:p w14:paraId="4BBC5419" w14:textId="77777777" w:rsidR="00680BCC" w:rsidRDefault="00680BCC" w:rsidP="00162EA8">
      <w:pPr>
        <w:spacing w:line="276" w:lineRule="auto"/>
        <w:rPr>
          <w:rFonts w:ascii="Aptos" w:eastAsia="Arial" w:hAnsi="Aptos" w:cs="Arial"/>
        </w:rPr>
      </w:pPr>
      <w:r w:rsidRPr="00191377">
        <w:rPr>
          <w:rFonts w:ascii="Aptos" w:eastAsia="Arial" w:hAnsi="Aptos" w:cs="Arial"/>
        </w:rPr>
        <w:t xml:space="preserve">Clinical isolates of </w:t>
      </w:r>
      <w:r w:rsidRPr="00191377">
        <w:rPr>
          <w:rFonts w:ascii="Aptos" w:eastAsia="Arial" w:hAnsi="Aptos" w:cs="Arial"/>
          <w:i/>
          <w:iCs/>
        </w:rPr>
        <w:t xml:space="preserve">C. difficile </w:t>
      </w:r>
      <w:r w:rsidRPr="00191377">
        <w:rPr>
          <w:rFonts w:ascii="Aptos" w:eastAsia="Arial" w:hAnsi="Aptos" w:cs="Arial"/>
        </w:rPr>
        <w:t xml:space="preserve">sequence type 1 (ST1; </w:t>
      </w:r>
      <w:proofErr w:type="spellStart"/>
      <w:r w:rsidRPr="00191377">
        <w:rPr>
          <w:rFonts w:ascii="Aptos" w:eastAsia="Arial" w:hAnsi="Aptos" w:cs="Arial"/>
        </w:rPr>
        <w:t>ribotype</w:t>
      </w:r>
      <w:proofErr w:type="spellEnd"/>
      <w:r w:rsidRPr="00191377">
        <w:rPr>
          <w:rFonts w:ascii="Aptos" w:eastAsia="Arial" w:hAnsi="Aptos" w:cs="Arial"/>
        </w:rPr>
        <w:t xml:space="preserve"> RT027) were obtained from a prospective molecular surveillance program conducted at Memorial Sloan Kettering Cancer Center (MSKCC), New York, between 2013 and 2017, as previously described (Miles-Jay et al., 2021). A total of 21 isolates were selected based on </w:t>
      </w:r>
      <w:r>
        <w:rPr>
          <w:rFonts w:ascii="Aptos" w:eastAsia="Arial" w:hAnsi="Aptos" w:cs="Arial"/>
        </w:rPr>
        <w:t>their MLST classification, also described in Table 1.</w:t>
      </w:r>
      <w:r w:rsidRPr="00191377">
        <w:rPr>
          <w:rFonts w:ascii="Aptos" w:eastAsia="Arial" w:hAnsi="Aptos" w:cs="Arial"/>
        </w:rPr>
        <w:t xml:space="preserve"> Average nucleotide identity (ANI) among all 21 isolates exceeded 99.84%, confirming their relatedness</w:t>
      </w:r>
      <w:r w:rsidRPr="00191377">
        <w:rPr>
          <w:rFonts w:ascii="Aptos" w:hAnsi="Aptos"/>
        </w:rPr>
        <w:t xml:space="preserve"> calculated through fast ANI</w:t>
      </w:r>
      <w:r>
        <w:rPr>
          <w:rFonts w:ascii="Aptos" w:eastAsia="Arial" w:hAnsi="Aptos" w:cs="Arial"/>
        </w:rPr>
        <w:t xml:space="preserve"> </w:t>
      </w:r>
      <w:hyperlink r:id="rId54" w:history="1">
        <w:r>
          <w:rPr>
            <w:rFonts w:ascii="Aptos" w:eastAsia="Times New Roman" w:hAnsi="Aptos"/>
          </w:rPr>
          <w:t>(Jain </w:t>
        </w:r>
        <w:r>
          <w:rPr>
            <w:rFonts w:ascii="Aptos" w:eastAsia="Times New Roman" w:hAnsi="Aptos"/>
            <w:i/>
          </w:rPr>
          <w:t>et al.</w:t>
        </w:r>
        <w:r>
          <w:rPr>
            <w:rFonts w:ascii="Aptos" w:eastAsia="Times New Roman" w:hAnsi="Aptos"/>
          </w:rPr>
          <w:t>, 2018)</w:t>
        </w:r>
      </w:hyperlink>
      <w:r w:rsidRPr="00191377">
        <w:rPr>
          <w:rFonts w:ascii="Aptos" w:eastAsia="Arial" w:hAnsi="Aptos" w:cs="Arial"/>
        </w:rPr>
        <w:t xml:space="preserve">. Six- to eight-week-old conventionally housed C57BL/6 (B6) </w:t>
      </w:r>
      <w:r w:rsidRPr="00191377">
        <w:rPr>
          <w:rFonts w:ascii="Aptos" w:hAnsi="Aptos"/>
        </w:rPr>
        <w:t xml:space="preserve">female </w:t>
      </w:r>
      <w:r w:rsidRPr="00191377">
        <w:rPr>
          <w:rFonts w:ascii="Aptos" w:eastAsia="Arial" w:hAnsi="Aptos" w:cs="Arial"/>
        </w:rPr>
        <w:t>mice were obtained from Jackson Laboratories and maintained under specific pathogen-free conditions at MSKCC.</w:t>
      </w:r>
      <w:r>
        <w:rPr>
          <w:rFonts w:ascii="Aptos" w:eastAsia="Arial" w:hAnsi="Aptos" w:cs="Arial"/>
        </w:rPr>
        <w:t xml:space="preserve"> Mice were acclimatized to the facility environment for a week before starting the experiments.</w:t>
      </w:r>
    </w:p>
    <w:p w14:paraId="12F32517" w14:textId="77777777" w:rsidR="00680BCC" w:rsidRDefault="00680BCC" w:rsidP="00066BA5">
      <w:pPr>
        <w:pStyle w:val="Heading2"/>
        <w:spacing w:line="276" w:lineRule="auto"/>
        <w:rPr>
          <w:rFonts w:ascii="Aptos" w:eastAsia="Arial" w:hAnsi="Aptos" w:cs="Arial"/>
          <w:b/>
          <w:bCs/>
          <w:sz w:val="24"/>
          <w:szCs w:val="24"/>
        </w:rPr>
      </w:pPr>
      <w:r>
        <w:rPr>
          <w:rFonts w:ascii="Aptos" w:eastAsia="Arial" w:hAnsi="Aptos" w:cs="Arial"/>
          <w:b/>
          <w:bCs/>
          <w:sz w:val="24"/>
          <w:szCs w:val="24"/>
        </w:rPr>
        <w:t>Spore formation protocol</w:t>
      </w:r>
    </w:p>
    <w:p w14:paraId="14E2AD50" w14:textId="77777777" w:rsidR="00680BCC" w:rsidRPr="00AA5E6D" w:rsidRDefault="00680BCC" w:rsidP="00AA5E6D">
      <w:r w:rsidRPr="00066BA5">
        <w:rPr>
          <w:i/>
          <w:iCs/>
        </w:rPr>
        <w:t>C. difficile</w:t>
      </w:r>
      <w:r>
        <w:t xml:space="preserve"> spores were streaked on the BHIS plates supplemented with Taurocholic acid. The plates were first pre-reduced inside the anerobic chamber overnight. Two days post </w:t>
      </w:r>
      <w:r>
        <w:lastRenderedPageBreak/>
        <w:t xml:space="preserve">streaking a single colony was inoculated in 5ml BHIS media broth for 24 hours which was pre-reduced overnight. The </w:t>
      </w:r>
      <w:proofErr w:type="spellStart"/>
      <w:r>
        <w:t>inoclua</w:t>
      </w:r>
      <w:proofErr w:type="spellEnd"/>
      <w:r>
        <w:t xml:space="preserve"> was transferred into 40 ml pre-reduced BHIS media for 5-7 days. The culture obtained was then put in centrifuge at 4000g for 30 mins at 4C. The </w:t>
      </w:r>
      <w:proofErr w:type="spellStart"/>
      <w:r>
        <w:t>celle</w:t>
      </w:r>
      <w:proofErr w:type="spellEnd"/>
      <w:r>
        <w:t xml:space="preserve"> pellet was suspended in 1ml cold H</w:t>
      </w:r>
      <w:r>
        <w:rPr>
          <w:vertAlign w:val="subscript"/>
        </w:rPr>
        <w:t>2</w:t>
      </w:r>
      <w:r>
        <w:t>O and then transferred to 1.5ml screw cap tube to store at -20C for 2 days. Sample was then thawed to room temperature followed by washing with cold ddH</w:t>
      </w:r>
      <w:r>
        <w:rPr>
          <w:vertAlign w:val="subscript"/>
        </w:rPr>
        <w:t>2</w:t>
      </w:r>
      <w:r>
        <w:t xml:space="preserve">O at 13000 rpm for 2 minutes. The washing step was repeated 5 times. The </w:t>
      </w:r>
      <w:proofErr w:type="spellStart"/>
      <w:r>
        <w:t>clesn</w:t>
      </w:r>
      <w:proofErr w:type="spellEnd"/>
      <w:r>
        <w:t xml:space="preserve"> pellet was then resuspended in 1ml PBS and then the tube was transferred to the dry heat block set at 70C for 20 minutes. Spore number quantified by platting the 3 serial dilutions on pre-reduced BHIS-TA plates in the </w:t>
      </w:r>
      <w:proofErr w:type="spellStart"/>
      <w:r>
        <w:t>aneorbic</w:t>
      </w:r>
      <w:proofErr w:type="spellEnd"/>
      <w:r>
        <w:t xml:space="preserve"> chamber. </w:t>
      </w:r>
    </w:p>
    <w:p w14:paraId="571F9440" w14:textId="77777777" w:rsidR="00680BCC" w:rsidRDefault="00680BCC" w:rsidP="00162EA8">
      <w:pPr>
        <w:pStyle w:val="Heading2"/>
        <w:spacing w:line="276" w:lineRule="auto"/>
        <w:rPr>
          <w:rFonts w:ascii="Aptos" w:eastAsia="Arial" w:hAnsi="Aptos" w:cs="Arial"/>
          <w:b/>
          <w:bCs/>
          <w:sz w:val="24"/>
          <w:szCs w:val="24"/>
        </w:rPr>
      </w:pPr>
      <w:r w:rsidRPr="00191377">
        <w:rPr>
          <w:rFonts w:ascii="Aptos" w:eastAsia="Arial" w:hAnsi="Aptos" w:cs="Arial"/>
          <w:b/>
          <w:bCs/>
          <w:sz w:val="24"/>
          <w:szCs w:val="24"/>
        </w:rPr>
        <w:t>Mouse Infection Model</w:t>
      </w:r>
      <w:r>
        <w:rPr>
          <w:rFonts w:ascii="Aptos" w:eastAsia="Arial" w:hAnsi="Aptos" w:cs="Arial"/>
          <w:b/>
          <w:bCs/>
          <w:sz w:val="24"/>
          <w:szCs w:val="24"/>
        </w:rPr>
        <w:t xml:space="preserve"> </w:t>
      </w:r>
    </w:p>
    <w:p w14:paraId="7187524F" w14:textId="77777777" w:rsidR="00680BCC" w:rsidRPr="00AA5E6D" w:rsidRDefault="00680BCC" w:rsidP="00AA5E6D">
      <w:pPr>
        <w:rPr>
          <w:b/>
          <w:bCs/>
        </w:rPr>
      </w:pPr>
      <w:r>
        <w:rPr>
          <w:b/>
          <w:bCs/>
        </w:rPr>
        <w:t>Mono-colonization protocol</w:t>
      </w:r>
      <w:r w:rsidRPr="00AA5E6D">
        <w:rPr>
          <w:b/>
          <w:bCs/>
        </w:rPr>
        <w:t xml:space="preserve"> </w:t>
      </w:r>
    </w:p>
    <w:p w14:paraId="6F6D9296" w14:textId="77777777" w:rsidR="00680BCC" w:rsidRDefault="00680BCC" w:rsidP="00AA5E6D">
      <w:pPr>
        <w:spacing w:line="276" w:lineRule="auto"/>
        <w:rPr>
          <w:rFonts w:ascii="Aptos" w:eastAsia="Arial" w:hAnsi="Aptos" w:cs="Arial"/>
        </w:rPr>
      </w:pPr>
      <w:r w:rsidRPr="00191377">
        <w:rPr>
          <w:rFonts w:ascii="Aptos" w:eastAsia="Arial" w:hAnsi="Aptos" w:cs="Arial"/>
        </w:rPr>
        <w:t xml:space="preserve">Mice were individually housed </w:t>
      </w:r>
      <w:r>
        <w:rPr>
          <w:rFonts w:ascii="Aptos" w:eastAsia="Arial" w:hAnsi="Aptos" w:cs="Arial"/>
        </w:rPr>
        <w:t xml:space="preserve">in the </w:t>
      </w:r>
      <w:proofErr w:type="spellStart"/>
      <w:r>
        <w:rPr>
          <w:rFonts w:ascii="Aptos" w:eastAsia="Arial" w:hAnsi="Aptos" w:cs="Arial"/>
        </w:rPr>
        <w:t>autolclaved</w:t>
      </w:r>
      <w:proofErr w:type="spellEnd"/>
      <w:r>
        <w:rPr>
          <w:rFonts w:ascii="Aptos" w:eastAsia="Arial" w:hAnsi="Aptos" w:cs="Arial"/>
        </w:rPr>
        <w:t xml:space="preserve"> cages </w:t>
      </w:r>
      <w:r w:rsidRPr="00191377">
        <w:rPr>
          <w:rFonts w:ascii="Aptos" w:eastAsia="Arial" w:hAnsi="Aptos" w:cs="Arial"/>
        </w:rPr>
        <w:t xml:space="preserve">throughout all infection experiments. To disrupt the resident microbiota and establish susceptibility to </w:t>
      </w:r>
      <w:r w:rsidRPr="00191377">
        <w:rPr>
          <w:rFonts w:ascii="Aptos" w:eastAsia="Arial" w:hAnsi="Aptos" w:cs="Arial"/>
          <w:i/>
          <w:iCs/>
        </w:rPr>
        <w:t>C. difficile</w:t>
      </w:r>
      <w:r w:rsidRPr="00191377">
        <w:rPr>
          <w:rFonts w:ascii="Aptos" w:eastAsia="Arial" w:hAnsi="Aptos" w:cs="Arial"/>
        </w:rPr>
        <w:t xml:space="preserve"> colonization, mice received a three-antibiotic cocktail consisting of metronidazole (</w:t>
      </w:r>
      <w:r>
        <w:rPr>
          <w:rFonts w:ascii="Aptos" w:eastAsia="Arial" w:hAnsi="Aptos" w:cs="Arial"/>
        </w:rPr>
        <w:t>0.25</w:t>
      </w:r>
      <w:r w:rsidRPr="00191377">
        <w:rPr>
          <w:rFonts w:ascii="Aptos" w:eastAsia="Arial" w:hAnsi="Aptos" w:cs="Arial"/>
        </w:rPr>
        <w:t xml:space="preserve"> g/L), neomycin (</w:t>
      </w:r>
      <w:r>
        <w:rPr>
          <w:rFonts w:ascii="Aptos" w:eastAsia="Arial" w:hAnsi="Aptos" w:cs="Arial"/>
        </w:rPr>
        <w:t>0.25</w:t>
      </w:r>
      <w:r w:rsidRPr="00191377">
        <w:rPr>
          <w:rFonts w:ascii="Aptos" w:eastAsia="Arial" w:hAnsi="Aptos" w:cs="Arial"/>
        </w:rPr>
        <w:t xml:space="preserve"> g/L), and vancomycin (0.</w:t>
      </w:r>
      <w:r>
        <w:rPr>
          <w:rFonts w:ascii="Aptos" w:eastAsia="Arial" w:hAnsi="Aptos" w:cs="Arial"/>
        </w:rPr>
        <w:t>25</w:t>
      </w:r>
      <w:r w:rsidRPr="00191377">
        <w:rPr>
          <w:rFonts w:ascii="Aptos" w:eastAsia="Arial" w:hAnsi="Aptos" w:cs="Arial"/>
        </w:rPr>
        <w:t xml:space="preserve"> g/L) in their drinking water for three consecutive days, followed by two days of antibiotic cessation with regular water. Clindamycin (</w:t>
      </w:r>
      <w:r>
        <w:rPr>
          <w:rFonts w:ascii="Aptos" w:eastAsia="Arial" w:hAnsi="Aptos" w:cs="Arial"/>
        </w:rPr>
        <w:t>200 ug</w:t>
      </w:r>
      <w:r w:rsidRPr="00191377">
        <w:rPr>
          <w:rFonts w:ascii="Aptos" w:eastAsia="Arial" w:hAnsi="Aptos" w:cs="Arial"/>
        </w:rPr>
        <w:t>) was administered intraperitoneally</w:t>
      </w:r>
      <w:r>
        <w:rPr>
          <w:rFonts w:ascii="Aptos" w:eastAsia="Arial" w:hAnsi="Aptos" w:cs="Arial"/>
        </w:rPr>
        <w:t xml:space="preserve"> (100 ul) </w:t>
      </w:r>
      <w:proofErr w:type="spellStart"/>
      <w:r>
        <w:rPr>
          <w:rFonts w:ascii="Aptos" w:eastAsia="Arial" w:hAnsi="Aptos" w:cs="Arial"/>
        </w:rPr>
        <w:t>ands</w:t>
      </w:r>
      <w:proofErr w:type="spellEnd"/>
      <w:r>
        <w:rPr>
          <w:rFonts w:ascii="Aptos" w:eastAsia="Arial" w:hAnsi="Aptos" w:cs="Arial"/>
        </w:rPr>
        <w:t xml:space="preserve"> then</w:t>
      </w:r>
      <w:r w:rsidRPr="00191377">
        <w:rPr>
          <w:rFonts w:ascii="Aptos" w:eastAsia="Arial" w:hAnsi="Aptos" w:cs="Arial"/>
        </w:rPr>
        <w:t xml:space="preserve"> 24 hours </w:t>
      </w:r>
      <w:r>
        <w:rPr>
          <w:rFonts w:ascii="Aptos" w:eastAsia="Arial" w:hAnsi="Aptos" w:cs="Arial"/>
        </w:rPr>
        <w:t>later ~200 spores</w:t>
      </w:r>
      <w:r w:rsidRPr="00191377">
        <w:rPr>
          <w:rFonts w:ascii="Aptos" w:eastAsia="Arial" w:hAnsi="Aptos" w:cs="Arial"/>
        </w:rPr>
        <w:t xml:space="preserve"> </w:t>
      </w:r>
      <w:r>
        <w:rPr>
          <w:rFonts w:ascii="Aptos" w:eastAsia="Arial" w:hAnsi="Aptos" w:cs="Arial"/>
        </w:rPr>
        <w:t xml:space="preserve">were orally </w:t>
      </w:r>
      <w:proofErr w:type="spellStart"/>
      <w:r>
        <w:rPr>
          <w:rFonts w:ascii="Aptos" w:eastAsia="Arial" w:hAnsi="Aptos" w:cs="Arial"/>
        </w:rPr>
        <w:t>gavaged</w:t>
      </w:r>
      <w:proofErr w:type="spellEnd"/>
      <w:r>
        <w:rPr>
          <w:rFonts w:ascii="Aptos" w:eastAsia="Arial" w:hAnsi="Aptos" w:cs="Arial"/>
        </w:rPr>
        <w:t>, resuspended in 1 ml PBS</w:t>
      </w:r>
      <w:r w:rsidRPr="00191377">
        <w:rPr>
          <w:rFonts w:ascii="Aptos" w:eastAsia="Arial" w:hAnsi="Aptos" w:cs="Arial"/>
        </w:rPr>
        <w:t>.</w:t>
      </w:r>
      <w:r>
        <w:rPr>
          <w:rFonts w:ascii="Aptos" w:hAnsi="Aptos"/>
        </w:rPr>
        <w:t xml:space="preserve"> </w:t>
      </w:r>
      <w:r w:rsidRPr="00191377">
        <w:rPr>
          <w:rFonts w:ascii="Aptos" w:eastAsia="Arial" w:hAnsi="Aptos" w:cs="Arial"/>
        </w:rPr>
        <w:t>Animals were monitored for disease symptoms including body weight, stool consistency, and mortality. All animal experiments were conducted in accordance with MSKCC Institutional Animal Care and Use Committee (IACUC) protocols.</w:t>
      </w:r>
      <w:r>
        <w:rPr>
          <w:rFonts w:ascii="Aptos" w:eastAsia="Arial" w:hAnsi="Aptos" w:cs="Arial"/>
        </w:rPr>
        <w:t xml:space="preserve"> </w:t>
      </w:r>
    </w:p>
    <w:p w14:paraId="599D884A" w14:textId="77777777" w:rsidR="00680BCC" w:rsidRPr="00AA5E6D" w:rsidRDefault="00680BCC" w:rsidP="00162EA8">
      <w:pPr>
        <w:spacing w:line="276" w:lineRule="auto"/>
        <w:rPr>
          <w:rFonts w:ascii="Aptos" w:hAnsi="Aptos"/>
          <w:b/>
          <w:bCs/>
        </w:rPr>
      </w:pPr>
      <w:r w:rsidRPr="00AA5E6D">
        <w:rPr>
          <w:rFonts w:ascii="Aptos" w:hAnsi="Aptos"/>
          <w:b/>
          <w:bCs/>
        </w:rPr>
        <w:t>Secondary rechallenge</w:t>
      </w:r>
    </w:p>
    <w:p w14:paraId="0B826C35" w14:textId="77777777" w:rsidR="00680BCC" w:rsidRDefault="00680BCC" w:rsidP="00162EA8">
      <w:pPr>
        <w:spacing w:line="276" w:lineRule="auto"/>
        <w:rPr>
          <w:rFonts w:ascii="Aptos" w:eastAsia="Arial" w:hAnsi="Aptos" w:cs="Arial"/>
        </w:rPr>
      </w:pPr>
      <w:r>
        <w:rPr>
          <w:rFonts w:ascii="Aptos" w:eastAsia="Arial" w:hAnsi="Aptos" w:cs="Arial"/>
        </w:rPr>
        <w:t xml:space="preserve">For the secondary rechallenge, individually </w:t>
      </w:r>
      <w:proofErr w:type="spellStart"/>
      <w:r>
        <w:rPr>
          <w:rFonts w:ascii="Aptos" w:eastAsia="Arial" w:hAnsi="Aptos" w:cs="Arial"/>
        </w:rPr>
        <w:t>hosued</w:t>
      </w:r>
      <w:proofErr w:type="spellEnd"/>
      <w:r>
        <w:rPr>
          <w:rFonts w:ascii="Aptos" w:eastAsia="Arial" w:hAnsi="Aptos" w:cs="Arial"/>
        </w:rPr>
        <w:t xml:space="preserve"> mice in autoclaved cages were given the same </w:t>
      </w:r>
      <w:proofErr w:type="spellStart"/>
      <w:r>
        <w:rPr>
          <w:rFonts w:ascii="Aptos" w:eastAsia="Arial" w:hAnsi="Aptos" w:cs="Arial"/>
        </w:rPr>
        <w:t>abtibiotic</w:t>
      </w:r>
      <w:proofErr w:type="spellEnd"/>
      <w:r>
        <w:rPr>
          <w:rFonts w:ascii="Aptos" w:eastAsia="Arial" w:hAnsi="Aptos" w:cs="Arial"/>
        </w:rPr>
        <w:t xml:space="preserve"> treatment as described above followed by oral gavage by ST1 strain (~200 spores/ml resuspended in PBS). 11 days later, </w:t>
      </w:r>
      <w:proofErr w:type="gramStart"/>
      <w:r>
        <w:rPr>
          <w:rFonts w:ascii="Aptos" w:eastAsia="Arial" w:hAnsi="Aptos" w:cs="Arial"/>
        </w:rPr>
        <w:t>the each</w:t>
      </w:r>
      <w:proofErr w:type="gramEnd"/>
      <w:r>
        <w:rPr>
          <w:rFonts w:ascii="Aptos" w:eastAsia="Arial" w:hAnsi="Aptos" w:cs="Arial"/>
        </w:rPr>
        <w:t xml:space="preserve"> mice received the same antibiotic treatment again followed by oral gavage of ~200 VPI10463 spores resuspended in 1ml PBS.</w:t>
      </w:r>
      <w:r w:rsidRPr="00191377">
        <w:rPr>
          <w:rFonts w:ascii="Aptos" w:eastAsia="Arial" w:hAnsi="Aptos" w:cs="Arial"/>
        </w:rPr>
        <w:t xml:space="preserve"> Animals were monitored for disease symptoms including body weight, stool consistency, and mortality</w:t>
      </w:r>
      <w:r>
        <w:rPr>
          <w:rFonts w:ascii="Aptos" w:eastAsia="Arial" w:hAnsi="Aptos" w:cs="Arial"/>
        </w:rPr>
        <w:t>.</w:t>
      </w:r>
    </w:p>
    <w:p w14:paraId="257DE142" w14:textId="77777777" w:rsidR="00680BCC" w:rsidRDefault="00680BCC" w:rsidP="00AA5E6D">
      <w:pPr>
        <w:spacing w:line="276" w:lineRule="auto"/>
        <w:rPr>
          <w:rFonts w:ascii="Aptos" w:hAnsi="Aptos"/>
          <w:b/>
          <w:bCs/>
        </w:rPr>
      </w:pPr>
      <w:r>
        <w:rPr>
          <w:rFonts w:ascii="Aptos" w:hAnsi="Aptos"/>
          <w:b/>
          <w:bCs/>
        </w:rPr>
        <w:t>Co-infection protocol</w:t>
      </w:r>
    </w:p>
    <w:p w14:paraId="693756B3" w14:textId="77777777" w:rsidR="00680BCC" w:rsidRDefault="00680BCC" w:rsidP="00162EA8">
      <w:pPr>
        <w:spacing w:line="276" w:lineRule="auto"/>
        <w:rPr>
          <w:rFonts w:ascii="Aptos" w:eastAsia="Arial" w:hAnsi="Aptos" w:cs="Arial"/>
        </w:rPr>
      </w:pPr>
      <w:r>
        <w:rPr>
          <w:rFonts w:ascii="Aptos" w:hAnsi="Aptos"/>
        </w:rPr>
        <w:t xml:space="preserve">For the co-infection protocol all the mice received the same antibiotic treatment as </w:t>
      </w:r>
      <w:proofErr w:type="spellStart"/>
      <w:r>
        <w:rPr>
          <w:rFonts w:ascii="Aptos" w:hAnsi="Aptos"/>
        </w:rPr>
        <w:t>descobed</w:t>
      </w:r>
      <w:proofErr w:type="spellEnd"/>
      <w:r>
        <w:rPr>
          <w:rFonts w:ascii="Aptos" w:hAnsi="Aptos"/>
        </w:rPr>
        <w:t xml:space="preserve"> above followed by oral </w:t>
      </w:r>
      <w:proofErr w:type="spellStart"/>
      <w:r>
        <w:rPr>
          <w:rFonts w:ascii="Aptos" w:hAnsi="Aptos"/>
        </w:rPr>
        <w:t>gavaging</w:t>
      </w:r>
      <w:proofErr w:type="spellEnd"/>
      <w:r>
        <w:rPr>
          <w:rFonts w:ascii="Aptos" w:hAnsi="Aptos"/>
        </w:rPr>
        <w:t xml:space="preserve"> ~200 spores of ST1 strain resuspended in 1ml PBS </w:t>
      </w:r>
      <w:proofErr w:type="spellStart"/>
      <w:r>
        <w:rPr>
          <w:rFonts w:ascii="Aptos" w:hAnsi="Aptos"/>
        </w:rPr>
        <w:t>alongwith</w:t>
      </w:r>
      <w:proofErr w:type="spellEnd"/>
      <w:r>
        <w:rPr>
          <w:rFonts w:ascii="Aptos" w:hAnsi="Aptos"/>
        </w:rPr>
        <w:t xml:space="preserve"> ~200 spores of VPI10463 strain resuspended in 1ml PBS.</w:t>
      </w:r>
      <w:r w:rsidRPr="002C6728">
        <w:rPr>
          <w:rFonts w:ascii="Aptos" w:eastAsia="Arial" w:hAnsi="Aptos" w:cs="Arial"/>
        </w:rPr>
        <w:t xml:space="preserve"> </w:t>
      </w:r>
      <w:r w:rsidRPr="00191377">
        <w:rPr>
          <w:rFonts w:ascii="Aptos" w:eastAsia="Arial" w:hAnsi="Aptos" w:cs="Arial"/>
        </w:rPr>
        <w:t>Animals were monitored for disease symptoms including body weight, stool consistency, and mortality</w:t>
      </w:r>
      <w:r>
        <w:rPr>
          <w:rFonts w:ascii="Aptos" w:eastAsia="Arial" w:hAnsi="Aptos" w:cs="Arial"/>
        </w:rPr>
        <w:t xml:space="preserve">. </w:t>
      </w:r>
      <w:proofErr w:type="spellStart"/>
      <w:r w:rsidRPr="00037B8D">
        <w:rPr>
          <w:rFonts w:ascii="Aptos" w:eastAsia="Arial" w:hAnsi="Aptos" w:cs="Arial"/>
        </w:rPr>
        <w:t>Faecal</w:t>
      </w:r>
      <w:proofErr w:type="spellEnd"/>
      <w:r w:rsidRPr="00037B8D">
        <w:rPr>
          <w:rFonts w:ascii="Aptos" w:eastAsia="Arial" w:hAnsi="Aptos" w:cs="Arial"/>
        </w:rPr>
        <w:t xml:space="preserve"> samples were kept at −80</w:t>
      </w:r>
      <w:r w:rsidRPr="00037B8D">
        <w:rPr>
          <w:rFonts w:ascii="Arial" w:eastAsia="Arial" w:hAnsi="Arial" w:cs="Arial"/>
        </w:rPr>
        <w:t> </w:t>
      </w:r>
      <w:r w:rsidRPr="00037B8D">
        <w:rPr>
          <w:rFonts w:ascii="Aptos" w:eastAsia="Arial" w:hAnsi="Aptos" w:cs="Arial"/>
        </w:rPr>
        <w:t>°C until further processing.</w:t>
      </w:r>
    </w:p>
    <w:p w14:paraId="0B05F3F0" w14:textId="77777777" w:rsidR="00680BCC" w:rsidRPr="00037B8D" w:rsidRDefault="00680BCC" w:rsidP="00037B8D">
      <w:pPr>
        <w:pStyle w:val="Heading2"/>
        <w:spacing w:line="276" w:lineRule="auto"/>
        <w:rPr>
          <w:rFonts w:ascii="Aptos" w:hAnsi="Aptos"/>
          <w:color w:val="000000" w:themeColor="text1"/>
          <w:sz w:val="24"/>
          <w:szCs w:val="24"/>
        </w:rPr>
      </w:pPr>
      <w:r w:rsidRPr="00037B8D">
        <w:rPr>
          <w:rFonts w:ascii="Aptos" w:eastAsia="Arial" w:hAnsi="Aptos" w:cs="Arial"/>
          <w:b/>
          <w:bCs/>
          <w:color w:val="000000" w:themeColor="text1"/>
          <w:sz w:val="24"/>
          <w:szCs w:val="24"/>
        </w:rPr>
        <w:lastRenderedPageBreak/>
        <w:t>RAG Knockout Mouse Experiments</w:t>
      </w:r>
    </w:p>
    <w:p w14:paraId="7E6BE8AB" w14:textId="77777777" w:rsidR="00680BCC" w:rsidRPr="00037B8D" w:rsidRDefault="00680BCC" w:rsidP="00162EA8">
      <w:pPr>
        <w:spacing w:line="276" w:lineRule="auto"/>
        <w:rPr>
          <w:rFonts w:ascii="Aptos" w:hAnsi="Aptos"/>
        </w:rPr>
      </w:pPr>
      <w:r w:rsidRPr="00191377">
        <w:rPr>
          <w:rFonts w:ascii="Aptos" w:eastAsia="Arial" w:hAnsi="Aptos" w:cs="Arial"/>
        </w:rPr>
        <w:t>To assess the contribution of adaptive immunity to colonization resistance, RAG1-deficient mice. RAGKO mice were subjected to the same antibiotic pretreatment, primary ST1</w:t>
      </w:r>
      <w:r>
        <w:rPr>
          <w:rFonts w:ascii="Aptos" w:eastAsia="Arial" w:hAnsi="Aptos" w:cs="Arial"/>
        </w:rPr>
        <w:t>.75</w:t>
      </w:r>
      <w:r w:rsidRPr="00191377">
        <w:rPr>
          <w:rFonts w:ascii="Aptos" w:eastAsia="Arial" w:hAnsi="Aptos" w:cs="Arial"/>
        </w:rPr>
        <w:t xml:space="preserve"> infection, and VPI 10463 rechallenge protocol as described above for conventional B6 mice. Animals were monitored for disease symptoms including body weight, stool consistency, and mortality. </w:t>
      </w:r>
    </w:p>
    <w:p w14:paraId="0CC9E7F4" w14:textId="77777777" w:rsidR="00680BCC" w:rsidRPr="00191377" w:rsidRDefault="00680BCC" w:rsidP="00E82724">
      <w:pPr>
        <w:pStyle w:val="Heading2"/>
        <w:spacing w:line="276" w:lineRule="auto"/>
        <w:rPr>
          <w:rFonts w:ascii="Aptos" w:hAnsi="Aptos"/>
          <w:sz w:val="24"/>
          <w:szCs w:val="24"/>
        </w:rPr>
      </w:pPr>
      <w:r>
        <w:rPr>
          <w:rFonts w:ascii="Aptos" w:eastAsia="Arial" w:hAnsi="Aptos" w:cs="Arial"/>
          <w:b/>
          <w:bCs/>
          <w:sz w:val="24"/>
          <w:szCs w:val="24"/>
        </w:rPr>
        <w:t xml:space="preserve">Mathematical model to </w:t>
      </w:r>
      <w:proofErr w:type="spellStart"/>
      <w:r>
        <w:rPr>
          <w:rFonts w:ascii="Aptos" w:eastAsia="Arial" w:hAnsi="Aptos" w:cs="Arial"/>
          <w:b/>
          <w:bCs/>
          <w:sz w:val="24"/>
          <w:szCs w:val="24"/>
        </w:rPr>
        <w:t>quatify</w:t>
      </w:r>
      <w:proofErr w:type="spellEnd"/>
      <w:r>
        <w:rPr>
          <w:rFonts w:ascii="Aptos" w:eastAsia="Arial" w:hAnsi="Aptos" w:cs="Arial"/>
          <w:b/>
          <w:bCs/>
          <w:sz w:val="24"/>
          <w:szCs w:val="24"/>
        </w:rPr>
        <w:t xml:space="preserve"> disease phenotype</w:t>
      </w:r>
    </w:p>
    <w:p w14:paraId="38D42A79" w14:textId="77777777" w:rsidR="00680BCC" w:rsidRPr="00E82724" w:rsidRDefault="00680BCC" w:rsidP="00162EA8">
      <w:pPr>
        <w:spacing w:line="276" w:lineRule="auto"/>
        <w:rPr>
          <w:rFonts w:ascii="Aptos" w:eastAsiaTheme="minorEastAsia" w:hAnsi="Aptos"/>
        </w:rPr>
      </w:pPr>
      <w:r>
        <w:rPr>
          <w:rFonts w:ascii="Aptos" w:hAnsi="Aptos"/>
        </w:rPr>
        <w:t xml:space="preserve">To quantify the extent of virulence caused by ST1 strains in mice model </w:t>
      </w:r>
      <w:proofErr w:type="spellStart"/>
      <w:r>
        <w:rPr>
          <w:rFonts w:ascii="Aptos" w:hAnsi="Aptos"/>
        </w:rPr>
        <w:t>fo</w:t>
      </w:r>
      <w:proofErr w:type="spellEnd"/>
      <w:r>
        <w:rPr>
          <w:rFonts w:ascii="Aptos" w:hAnsi="Aptos"/>
        </w:rPr>
        <w:t xml:space="preserve"> </w:t>
      </w:r>
      <w:r w:rsidRPr="00E82724">
        <w:rPr>
          <w:rFonts w:ascii="Aptos" w:hAnsi="Aptos"/>
          <w:i/>
          <w:iCs/>
        </w:rPr>
        <w:t>C. difficile</w:t>
      </w:r>
      <w:r>
        <w:rPr>
          <w:rFonts w:ascii="Aptos" w:hAnsi="Aptos"/>
        </w:rPr>
        <w:t xml:space="preserve"> infection we used the following linear mixed effects model using </w:t>
      </w:r>
      <w:proofErr w:type="spellStart"/>
      <w:r>
        <w:rPr>
          <w:rFonts w:ascii="Aptos" w:hAnsi="Aptos"/>
        </w:rPr>
        <w:t>fitlme</w:t>
      </w:r>
      <w:proofErr w:type="spellEnd"/>
      <w:r>
        <w:rPr>
          <w:rFonts w:ascii="Aptos" w:hAnsi="Aptos"/>
        </w:rPr>
        <w:t xml:space="preserve"> model in MATLAB:</w:t>
      </w:r>
      <w:r>
        <w:rPr>
          <w:rFonts w:ascii="Aptos" w:hAnsi="Aptos"/>
        </w:rPr>
        <w:br/>
      </w:r>
      <m:oMathPara>
        <m:oMath>
          <m:r>
            <w:rPr>
              <w:rFonts w:ascii="Cambria Math" w:hAnsi="Cambria Math"/>
            </w:rPr>
            <m:t>Relative weight ~ Strain+</m:t>
          </m:r>
          <m:d>
            <m:dPr>
              <m:ctrlPr>
                <w:rPr>
                  <w:rFonts w:ascii="Cambria Math" w:hAnsi="Cambria Math"/>
                  <w:i/>
                </w:rPr>
              </m:ctrlPr>
            </m:dPr>
            <m:e>
              <m:r>
                <w:rPr>
                  <w:rFonts w:ascii="Cambria Math" w:hAnsi="Cambria Math"/>
                </w:rPr>
                <m:t>1</m:t>
              </m:r>
            </m:e>
            <m:e>
              <m:r>
                <w:rPr>
                  <w:rFonts w:ascii="Cambria Math" w:hAnsi="Cambria Math"/>
                </w:rPr>
                <m:t>MouseID</m:t>
              </m:r>
            </m:e>
          </m:d>
          <m:r>
            <w:rPr>
              <w:rFonts w:ascii="Cambria Math" w:hAnsi="Cambria Math"/>
            </w:rPr>
            <m:t>+(1|Day)</m:t>
          </m:r>
        </m:oMath>
      </m:oMathPara>
    </w:p>
    <w:p w14:paraId="3E6E2B97" w14:textId="77777777" w:rsidR="00680BCC" w:rsidRDefault="00680BCC" w:rsidP="00162EA8">
      <w:pPr>
        <w:spacing w:line="276" w:lineRule="auto"/>
        <w:rPr>
          <w:rFonts w:ascii="Aptos" w:eastAsia="Times New Roman" w:hAnsi="Aptos"/>
        </w:rPr>
      </w:pPr>
      <w:r>
        <w:rPr>
          <w:rFonts w:ascii="Aptos" w:eastAsiaTheme="minorEastAsia" w:hAnsi="Aptos"/>
        </w:rPr>
        <w:t xml:space="preserve">Here the reference category was the PBS infected mice. Data for 7 days post infection was used to fit in the model. Weights were normalized to Day 0 of infection. The effect sizes associated with the variable Strain serve as the Virulence Estimate which signifies the extent of weight loss caused by the certain strain as compared to the PBS infected mice. </w:t>
      </w:r>
      <w:proofErr w:type="gramStart"/>
      <w:r>
        <w:rPr>
          <w:rFonts w:ascii="Aptos" w:eastAsiaTheme="minorEastAsia" w:hAnsi="Aptos"/>
        </w:rPr>
        <w:t>Similarly</w:t>
      </w:r>
      <w:proofErr w:type="gramEnd"/>
      <w:r>
        <w:rPr>
          <w:rFonts w:ascii="Aptos" w:eastAsiaTheme="minorEastAsia" w:hAnsi="Aptos"/>
        </w:rPr>
        <w:t xml:space="preserve"> to quantify the extent of protection conferred by ST1 strains against infection by VPI10463 we used the same model as described above where the model reference </w:t>
      </w:r>
      <w:r w:rsidRPr="00DA6C33">
        <w:t xml:space="preserve">of </w:t>
      </w:r>
      <w:r w:rsidRPr="00DA6C33">
        <w:rPr>
          <w:kern w:val="0"/>
          <w14:ligatures w14:val="none"/>
        </w:rPr>
        <w:t xml:space="preserve">comparison </w:t>
      </w:r>
      <w:r>
        <w:rPr>
          <w:kern w:val="0"/>
          <w14:ligatures w14:val="none"/>
        </w:rPr>
        <w:t>are</w:t>
      </w:r>
      <w:r w:rsidRPr="00DA6C33">
        <w:rPr>
          <w:kern w:val="0"/>
          <w14:ligatures w14:val="none"/>
        </w:rPr>
        <w:t xml:space="preserve"> the mice that received a sham infection by PBS instead of the ST1 strain and therefore were</w:t>
      </w:r>
      <w:r w:rsidRPr="00DA6C33">
        <w:t xml:space="preserve"> not protected against the </w:t>
      </w:r>
      <w:r w:rsidRPr="00DA6C33">
        <w:rPr>
          <w:rFonts w:ascii="Aptos" w:eastAsia="Times New Roman" w:hAnsi="Aptos"/>
        </w:rPr>
        <w:t>VPI10463 challenge</w:t>
      </w:r>
      <w:r>
        <w:rPr>
          <w:rFonts w:ascii="Aptos" w:eastAsia="Times New Roman" w:hAnsi="Aptos"/>
        </w:rPr>
        <w:t>. In this case the effect sizes for the variable Strain signified the weight improvement caused by ST1 strain as compared to the virulent VPI10463 infection alone.</w:t>
      </w:r>
    </w:p>
    <w:p w14:paraId="238B0C36" w14:textId="77777777" w:rsidR="00680BCC" w:rsidRPr="00F35BDF" w:rsidRDefault="00680BCC" w:rsidP="00162EA8">
      <w:pPr>
        <w:spacing w:line="276" w:lineRule="auto"/>
        <w:rPr>
          <w:rFonts w:ascii="Aptos" w:eastAsia="Times New Roman" w:hAnsi="Aptos"/>
        </w:rPr>
      </w:pPr>
      <w:r>
        <w:rPr>
          <w:rFonts w:ascii="Aptos" w:eastAsia="Times New Roman" w:hAnsi="Aptos"/>
        </w:rPr>
        <w:t xml:space="preserve">To assess the relationship between the Virulence and Protection phenotypes, we used the linear fit as: </w:t>
      </w:r>
    </w:p>
    <w:p w14:paraId="28602A9E" w14:textId="77777777" w:rsidR="00680BCC" w:rsidRPr="00F35BDF" w:rsidRDefault="00680BCC" w:rsidP="00162EA8">
      <w:pPr>
        <w:spacing w:line="276" w:lineRule="auto"/>
        <w:rPr>
          <w:rFonts w:ascii="Aptos" w:eastAsia="Times New Roman" w:hAnsi="Aptos"/>
        </w:rPr>
      </w:pPr>
      <m:oMathPara>
        <m:oMath>
          <m:r>
            <w:rPr>
              <w:rFonts w:ascii="Cambria Math" w:eastAsia="Times New Roman" w:hAnsi="Cambria Math"/>
            </w:rPr>
            <m:t>Protection Estimate ~ Virulence Estimate</m:t>
          </m:r>
          <m:r>
            <m:rPr>
              <m:sty m:val="p"/>
            </m:rPr>
            <w:rPr>
              <w:rFonts w:ascii="Aptos" w:eastAsia="Times New Roman" w:hAnsi="Aptos"/>
            </w:rPr>
            <w:br/>
          </m:r>
        </m:oMath>
      </m:oMathPara>
      <w:r>
        <w:t>The statistical significance of outliers in the linear regression between virulence and protection estimates was assessed using a Bonferroni-corrected externally studentized residual test.</w:t>
      </w:r>
    </w:p>
    <w:p w14:paraId="0C4FAF51" w14:textId="77777777" w:rsidR="00680BCC" w:rsidRPr="00191377" w:rsidRDefault="00680BCC" w:rsidP="00162EA8">
      <w:pPr>
        <w:pStyle w:val="Heading2"/>
        <w:spacing w:line="276" w:lineRule="auto"/>
        <w:rPr>
          <w:rFonts w:ascii="Aptos" w:hAnsi="Aptos"/>
          <w:sz w:val="24"/>
          <w:szCs w:val="24"/>
        </w:rPr>
      </w:pPr>
      <w:r w:rsidRPr="00191377">
        <w:rPr>
          <w:rFonts w:ascii="Aptos" w:eastAsia="Arial" w:hAnsi="Aptos" w:cs="Arial"/>
          <w:b/>
          <w:bCs/>
          <w:sz w:val="24"/>
          <w:szCs w:val="24"/>
        </w:rPr>
        <w:t>Whole-Genome Sequencing and Genomic Analysis</w:t>
      </w:r>
    </w:p>
    <w:p w14:paraId="68056794" w14:textId="77777777" w:rsidR="00680BCC" w:rsidRDefault="00680BCC" w:rsidP="00162EA8">
      <w:pPr>
        <w:spacing w:line="276" w:lineRule="auto"/>
        <w:rPr>
          <w:rFonts w:ascii="Aptos" w:eastAsia="Arial" w:hAnsi="Aptos" w:cs="Arial"/>
        </w:rPr>
      </w:pPr>
      <w:r w:rsidRPr="00191377">
        <w:rPr>
          <w:rFonts w:ascii="Aptos" w:eastAsia="Arial" w:hAnsi="Aptos" w:cs="Arial"/>
        </w:rPr>
        <w:t xml:space="preserve">Average nucleotide identity (ANI) between all pairwise isolate combinations was computed using </w:t>
      </w:r>
      <w:proofErr w:type="spellStart"/>
      <w:r w:rsidRPr="00191377">
        <w:rPr>
          <w:rFonts w:ascii="Aptos" w:eastAsia="Arial" w:hAnsi="Aptos" w:cs="Arial"/>
        </w:rPr>
        <w:t>FastANI</w:t>
      </w:r>
      <w:proofErr w:type="spellEnd"/>
      <w:r>
        <w:fldChar w:fldCharType="begin"/>
      </w:r>
      <w:r>
        <w:instrText>HYPERLINK "https://sciwheel.com/work/citation?ids=6087081&amp;pre=&amp;suf=&amp;sa=0&amp;dbf=0"</w:instrText>
      </w:r>
      <w:r>
        <w:fldChar w:fldCharType="separate"/>
      </w:r>
      <w:r>
        <w:rPr>
          <w:rFonts w:ascii="Aptos" w:eastAsia="Times New Roman" w:hAnsi="Aptos"/>
        </w:rPr>
        <w:t>(Jain </w:t>
      </w:r>
      <w:r>
        <w:rPr>
          <w:rFonts w:ascii="Aptos" w:eastAsia="Times New Roman" w:hAnsi="Aptos"/>
          <w:i/>
        </w:rPr>
        <w:t>et al.</w:t>
      </w:r>
      <w:r>
        <w:rPr>
          <w:rFonts w:ascii="Aptos" w:eastAsia="Times New Roman" w:hAnsi="Aptos"/>
        </w:rPr>
        <w:t>, 2018)</w:t>
      </w:r>
      <w:r>
        <w:fldChar w:fldCharType="end"/>
      </w:r>
      <w:r w:rsidRPr="00191377">
        <w:rPr>
          <w:rFonts w:ascii="Aptos" w:eastAsia="Arial" w:hAnsi="Aptos" w:cs="Arial"/>
        </w:rPr>
        <w:t xml:space="preserve">. </w:t>
      </w:r>
      <w:r>
        <w:rPr>
          <w:rFonts w:ascii="Aptos" w:eastAsia="Arial" w:hAnsi="Aptos" w:cs="Arial"/>
        </w:rPr>
        <w:t>VPI whole genome sequence was obtained from NCBI ATCC 43255 accession number. G</w:t>
      </w:r>
      <w:r w:rsidRPr="00191377">
        <w:rPr>
          <w:rFonts w:ascii="Aptos" w:eastAsia="Arial" w:hAnsi="Aptos" w:cs="Arial"/>
        </w:rPr>
        <w:t xml:space="preserve">ene content was annotated using </w:t>
      </w:r>
      <w:proofErr w:type="spellStart"/>
      <w:r w:rsidRPr="00191377">
        <w:rPr>
          <w:rFonts w:ascii="Aptos" w:eastAsia="Arial" w:hAnsi="Aptos" w:cs="Arial"/>
        </w:rPr>
        <w:t>Prokka</w:t>
      </w:r>
      <w:proofErr w:type="spellEnd"/>
      <w:r>
        <w:fldChar w:fldCharType="begin"/>
      </w:r>
      <w:r>
        <w:instrText>HYPERLINK "https://sciwheel.com/work/citation?ids=429229&amp;pre=&amp;suf=&amp;sa=0&amp;dbf=0"</w:instrText>
      </w:r>
      <w:r>
        <w:fldChar w:fldCharType="separate"/>
      </w:r>
      <w:r>
        <w:rPr>
          <w:rFonts w:ascii="Aptos" w:eastAsia="Times New Roman" w:hAnsi="Aptos"/>
        </w:rPr>
        <w:t>(Seemann, 2014)</w:t>
      </w:r>
      <w:r>
        <w:fldChar w:fldCharType="end"/>
      </w:r>
      <w:r w:rsidRPr="00191377">
        <w:rPr>
          <w:rFonts w:ascii="Aptos" w:eastAsia="Arial" w:hAnsi="Aptos" w:cs="Arial"/>
        </w:rPr>
        <w:t xml:space="preserve">. </w:t>
      </w:r>
      <w:r>
        <w:rPr>
          <w:rFonts w:ascii="Aptos" w:eastAsia="Arial" w:hAnsi="Aptos" w:cs="Arial"/>
        </w:rPr>
        <w:t xml:space="preserve">Followed by pan genome </w:t>
      </w:r>
      <w:proofErr w:type="spellStart"/>
      <w:r>
        <w:rPr>
          <w:rFonts w:ascii="Aptos" w:eastAsia="Arial" w:hAnsi="Aptos" w:cs="Arial"/>
        </w:rPr>
        <w:t>anaylsis</w:t>
      </w:r>
      <w:proofErr w:type="spellEnd"/>
      <w:r>
        <w:rPr>
          <w:rFonts w:ascii="Aptos" w:eastAsia="Arial" w:hAnsi="Aptos" w:cs="Arial"/>
        </w:rPr>
        <w:t xml:space="preserve"> using Roary</w:t>
      </w:r>
      <w:hyperlink r:id="rId55" w:history="1">
        <w:r>
          <w:rPr>
            <w:rFonts w:ascii="Aptos" w:eastAsia="Times New Roman" w:hAnsi="Aptos"/>
          </w:rPr>
          <w:t>(Page </w:t>
        </w:r>
        <w:r>
          <w:rPr>
            <w:rFonts w:ascii="Aptos" w:eastAsia="Times New Roman" w:hAnsi="Aptos"/>
            <w:i/>
          </w:rPr>
          <w:t>et al.</w:t>
        </w:r>
        <w:r>
          <w:rPr>
            <w:rFonts w:ascii="Aptos" w:eastAsia="Times New Roman" w:hAnsi="Aptos"/>
          </w:rPr>
          <w:t>, 2015)</w:t>
        </w:r>
      </w:hyperlink>
      <w:r>
        <w:rPr>
          <w:rFonts w:ascii="Aptos" w:eastAsia="Arial" w:hAnsi="Aptos" w:cs="Arial"/>
        </w:rPr>
        <w:t>.</w:t>
      </w:r>
    </w:p>
    <w:p w14:paraId="3263789A" w14:textId="77777777" w:rsidR="00680BCC" w:rsidRPr="00191377" w:rsidRDefault="00680BCC" w:rsidP="00E85623">
      <w:pPr>
        <w:pStyle w:val="Heading2"/>
        <w:spacing w:line="276" w:lineRule="auto"/>
        <w:rPr>
          <w:rFonts w:ascii="Aptos" w:hAnsi="Aptos"/>
          <w:sz w:val="24"/>
          <w:szCs w:val="24"/>
        </w:rPr>
      </w:pPr>
      <w:r w:rsidRPr="00191377">
        <w:rPr>
          <w:rFonts w:ascii="Aptos" w:eastAsia="Arial" w:hAnsi="Aptos" w:cs="Arial"/>
          <w:b/>
          <w:bCs/>
          <w:sz w:val="24"/>
          <w:szCs w:val="24"/>
        </w:rPr>
        <w:t>16S rRNA Amplicon Sequencing</w:t>
      </w:r>
    </w:p>
    <w:p w14:paraId="2D166BA3" w14:textId="77777777" w:rsidR="00680BCC" w:rsidRDefault="00680BCC" w:rsidP="00162EA8">
      <w:pPr>
        <w:spacing w:line="276" w:lineRule="auto"/>
        <w:rPr>
          <w:rFonts w:ascii="Aptos" w:eastAsia="Arial" w:hAnsi="Aptos" w:cs="Arial"/>
        </w:rPr>
      </w:pPr>
      <w:r>
        <w:rPr>
          <w:rFonts w:ascii="Aptos" w:eastAsia="Arial" w:hAnsi="Aptos" w:cs="Arial"/>
        </w:rPr>
        <w:t>A</w:t>
      </w:r>
      <w:r w:rsidRPr="00037B8D">
        <w:rPr>
          <w:rFonts w:ascii="Aptos" w:eastAsia="Arial" w:hAnsi="Aptos" w:cs="Arial"/>
        </w:rPr>
        <w:t xml:space="preserve">ll </w:t>
      </w:r>
      <w:proofErr w:type="spellStart"/>
      <w:r w:rsidRPr="00037B8D">
        <w:rPr>
          <w:rFonts w:ascii="Aptos" w:eastAsia="Arial" w:hAnsi="Aptos" w:cs="Arial"/>
        </w:rPr>
        <w:t>faecal</w:t>
      </w:r>
      <w:proofErr w:type="spellEnd"/>
      <w:r w:rsidRPr="00037B8D">
        <w:rPr>
          <w:rFonts w:ascii="Aptos" w:eastAsia="Arial" w:hAnsi="Aptos" w:cs="Arial"/>
        </w:rPr>
        <w:t xml:space="preserve"> samples were subjected to DNA extraction and further processing in the Xavier lab with protocols adapted to ensure proper DNA amplification and library preparation. </w:t>
      </w:r>
      <w:r w:rsidRPr="00037B8D">
        <w:rPr>
          <w:rFonts w:ascii="Aptos" w:eastAsia="Arial" w:hAnsi="Aptos" w:cs="Arial"/>
        </w:rPr>
        <w:lastRenderedPageBreak/>
        <w:t>DNA was extracted and the 16S rRNA gene was amplified using a previously described protocol</w:t>
      </w:r>
      <w:r>
        <w:rPr>
          <w:rFonts w:ascii="Aptos" w:eastAsia="Arial" w:hAnsi="Aptos" w:cs="Arial"/>
        </w:rPr>
        <w:t xml:space="preserve"> </w:t>
      </w:r>
      <w:hyperlink r:id="rId56" w:history="1">
        <w:r>
          <w:rPr>
            <w:rFonts w:ascii="Aptos" w:eastAsia="Times New Roman" w:hAnsi="Aptos"/>
          </w:rPr>
          <w:t>(Taur </w:t>
        </w:r>
        <w:r>
          <w:rPr>
            <w:rFonts w:ascii="Aptos" w:eastAsia="Times New Roman" w:hAnsi="Aptos"/>
            <w:i/>
          </w:rPr>
          <w:t>et al.</w:t>
        </w:r>
        <w:r>
          <w:rPr>
            <w:rFonts w:ascii="Aptos" w:eastAsia="Times New Roman" w:hAnsi="Aptos"/>
          </w:rPr>
          <w:t>, 2018)</w:t>
        </w:r>
      </w:hyperlink>
      <w:r w:rsidRPr="00037B8D">
        <w:rPr>
          <w:rFonts w:ascii="Aptos" w:eastAsia="Arial" w:hAnsi="Aptos" w:cs="Arial"/>
        </w:rPr>
        <w:t>. The V4–V5 region of the 16S rRNA gene was amplified with Q5 High-Fidelity DNA polymerase (NEB, M0491) following manufacturer recommendations. Briefly, for each sample, 25</w:t>
      </w:r>
      <w:r w:rsidRPr="00037B8D">
        <w:rPr>
          <w:rFonts w:ascii="Arial" w:eastAsia="Arial" w:hAnsi="Arial" w:cs="Arial"/>
        </w:rPr>
        <w:t> </w:t>
      </w:r>
      <w:proofErr w:type="spellStart"/>
      <w:r w:rsidRPr="00037B8D">
        <w:rPr>
          <w:rFonts w:ascii="Aptos" w:eastAsia="Arial" w:hAnsi="Aptos" w:cs="Arial"/>
        </w:rPr>
        <w:t>μl</w:t>
      </w:r>
      <w:proofErr w:type="spellEnd"/>
      <w:r w:rsidRPr="00037B8D">
        <w:rPr>
          <w:rFonts w:ascii="Aptos" w:eastAsia="Arial" w:hAnsi="Aptos" w:cs="Arial"/>
        </w:rPr>
        <w:t xml:space="preserve"> of the PCR was prepared containing 5</w:t>
      </w:r>
      <w:r w:rsidRPr="00037B8D">
        <w:rPr>
          <w:rFonts w:ascii="Arial" w:eastAsia="Arial" w:hAnsi="Arial" w:cs="Arial"/>
        </w:rPr>
        <w:t> </w:t>
      </w:r>
      <w:proofErr w:type="spellStart"/>
      <w:r w:rsidRPr="00037B8D">
        <w:rPr>
          <w:rFonts w:ascii="Aptos" w:eastAsia="Arial" w:hAnsi="Aptos" w:cs="Arial"/>
        </w:rPr>
        <w:t>μl</w:t>
      </w:r>
      <w:proofErr w:type="spellEnd"/>
      <w:r w:rsidRPr="00037B8D">
        <w:rPr>
          <w:rFonts w:ascii="Aptos" w:eastAsia="Arial" w:hAnsi="Aptos" w:cs="Arial"/>
        </w:rPr>
        <w:t xml:space="preserve"> of the Q5 buffer, 5</w:t>
      </w:r>
      <w:r w:rsidRPr="00037B8D">
        <w:rPr>
          <w:rFonts w:ascii="Arial" w:eastAsia="Arial" w:hAnsi="Arial" w:cs="Arial"/>
        </w:rPr>
        <w:t> </w:t>
      </w:r>
      <w:proofErr w:type="spellStart"/>
      <w:r w:rsidRPr="00037B8D">
        <w:rPr>
          <w:rFonts w:ascii="Aptos" w:eastAsia="Arial" w:hAnsi="Aptos" w:cs="Arial"/>
        </w:rPr>
        <w:t>μl</w:t>
      </w:r>
      <w:proofErr w:type="spellEnd"/>
      <w:r w:rsidRPr="00037B8D">
        <w:rPr>
          <w:rFonts w:ascii="Aptos" w:eastAsia="Arial" w:hAnsi="Aptos" w:cs="Arial"/>
        </w:rPr>
        <w:t xml:space="preserve"> of the Q5 enhancer, 0.5</w:t>
      </w:r>
      <w:r w:rsidRPr="00037B8D">
        <w:rPr>
          <w:rFonts w:ascii="Arial" w:eastAsia="Arial" w:hAnsi="Arial" w:cs="Arial"/>
        </w:rPr>
        <w:t> </w:t>
      </w:r>
      <w:proofErr w:type="spellStart"/>
      <w:r w:rsidRPr="00037B8D">
        <w:rPr>
          <w:rFonts w:ascii="Aptos" w:eastAsia="Arial" w:hAnsi="Aptos" w:cs="Arial"/>
        </w:rPr>
        <w:t>μl</w:t>
      </w:r>
      <w:proofErr w:type="spellEnd"/>
      <w:r w:rsidRPr="00037B8D">
        <w:rPr>
          <w:rFonts w:ascii="Aptos" w:eastAsia="Arial" w:hAnsi="Aptos" w:cs="Arial"/>
        </w:rPr>
        <w:t xml:space="preserve"> 10</w:t>
      </w:r>
      <w:r w:rsidRPr="00037B8D">
        <w:rPr>
          <w:rFonts w:ascii="Arial" w:eastAsia="Arial" w:hAnsi="Arial" w:cs="Arial"/>
        </w:rPr>
        <w:t> </w:t>
      </w:r>
      <w:r w:rsidRPr="00037B8D">
        <w:rPr>
          <w:rFonts w:ascii="Aptos" w:eastAsia="Arial" w:hAnsi="Aptos" w:cs="Arial"/>
        </w:rPr>
        <w:t>mM dNTPs and 0.625</w:t>
      </w:r>
      <w:r w:rsidRPr="00037B8D">
        <w:rPr>
          <w:rFonts w:ascii="Arial" w:eastAsia="Arial" w:hAnsi="Arial" w:cs="Arial"/>
        </w:rPr>
        <w:t> </w:t>
      </w:r>
      <w:proofErr w:type="spellStart"/>
      <w:r w:rsidRPr="00037B8D">
        <w:rPr>
          <w:rFonts w:ascii="Aptos" w:eastAsia="Arial" w:hAnsi="Aptos" w:cs="Arial"/>
        </w:rPr>
        <w:t>μl</w:t>
      </w:r>
      <w:proofErr w:type="spellEnd"/>
      <w:r w:rsidRPr="00037B8D">
        <w:rPr>
          <w:rFonts w:ascii="Aptos" w:eastAsia="Arial" w:hAnsi="Aptos" w:cs="Arial"/>
        </w:rPr>
        <w:t xml:space="preserve"> Q5 polymerase. Volumes of 2.5</w:t>
      </w:r>
      <w:r w:rsidRPr="00037B8D">
        <w:rPr>
          <w:rFonts w:ascii="Arial" w:eastAsia="Arial" w:hAnsi="Arial" w:cs="Arial"/>
        </w:rPr>
        <w:t> </w:t>
      </w:r>
      <w:proofErr w:type="spellStart"/>
      <w:r w:rsidRPr="00037B8D">
        <w:rPr>
          <w:rFonts w:ascii="Aptos" w:eastAsia="Arial" w:hAnsi="Aptos" w:cs="Arial"/>
        </w:rPr>
        <w:t>μl</w:t>
      </w:r>
      <w:proofErr w:type="spellEnd"/>
      <w:r w:rsidRPr="00037B8D">
        <w:rPr>
          <w:rFonts w:ascii="Aptos" w:eastAsia="Arial" w:hAnsi="Aptos" w:cs="Arial"/>
        </w:rPr>
        <w:t xml:space="preserve"> of the forward and 2.5</w:t>
      </w:r>
      <w:r w:rsidRPr="00037B8D">
        <w:rPr>
          <w:rFonts w:ascii="Arial" w:eastAsia="Arial" w:hAnsi="Arial" w:cs="Arial"/>
        </w:rPr>
        <w:t> </w:t>
      </w:r>
      <w:proofErr w:type="spellStart"/>
      <w:r w:rsidRPr="00037B8D">
        <w:rPr>
          <w:rFonts w:ascii="Aptos" w:eastAsia="Arial" w:hAnsi="Aptos" w:cs="Arial"/>
        </w:rPr>
        <w:t>μl</w:t>
      </w:r>
      <w:proofErr w:type="spellEnd"/>
      <w:r w:rsidRPr="00037B8D">
        <w:rPr>
          <w:rFonts w:ascii="Aptos" w:eastAsia="Arial" w:hAnsi="Aptos" w:cs="Arial"/>
        </w:rPr>
        <w:t xml:space="preserve"> of the reverse primer at concentrations of 10</w:t>
      </w:r>
      <w:r w:rsidRPr="00037B8D">
        <w:rPr>
          <w:rFonts w:ascii="Arial" w:eastAsia="Arial" w:hAnsi="Arial" w:cs="Arial"/>
        </w:rPr>
        <w:t> </w:t>
      </w:r>
      <w:proofErr w:type="spellStart"/>
      <w:r w:rsidRPr="00037B8D">
        <w:rPr>
          <w:rFonts w:ascii="Aptos" w:eastAsia="Arial" w:hAnsi="Aptos" w:cs="Arial"/>
        </w:rPr>
        <w:t>μM</w:t>
      </w:r>
      <w:proofErr w:type="spellEnd"/>
      <w:r w:rsidRPr="00037B8D">
        <w:rPr>
          <w:rFonts w:ascii="Aptos" w:eastAsia="Arial" w:hAnsi="Aptos" w:cs="Arial"/>
        </w:rPr>
        <w:t xml:space="preserve"> were added. Forward and reverse primers used for each sample contained unique sequences that would allow demultiplexing during the sequence processing step. Of the DNA extracted, 1</w:t>
      </w:r>
      <w:r w:rsidRPr="00037B8D">
        <w:rPr>
          <w:rFonts w:ascii="Arial" w:eastAsia="Arial" w:hAnsi="Arial" w:cs="Arial"/>
        </w:rPr>
        <w:t> </w:t>
      </w:r>
      <w:r w:rsidRPr="00037B8D">
        <w:rPr>
          <w:rFonts w:ascii="Aptos" w:eastAsia="Arial" w:hAnsi="Aptos" w:cs="Arial"/>
        </w:rPr>
        <w:t>ng was added to the reaction. Where necessary, the volume of the reaction was completed with water. Cycling conditions of the PCR were 96</w:t>
      </w:r>
      <w:r w:rsidRPr="00037B8D">
        <w:rPr>
          <w:rFonts w:ascii="Arial" w:eastAsia="Arial" w:hAnsi="Arial" w:cs="Arial"/>
        </w:rPr>
        <w:t> </w:t>
      </w:r>
      <w:r w:rsidRPr="00037B8D">
        <w:rPr>
          <w:rFonts w:ascii="Aptos" w:eastAsia="Arial" w:hAnsi="Aptos" w:cs="Arial"/>
        </w:rPr>
        <w:t>°C for 10</w:t>
      </w:r>
      <w:r w:rsidRPr="00037B8D">
        <w:rPr>
          <w:rFonts w:ascii="Arial" w:eastAsia="Arial" w:hAnsi="Arial" w:cs="Arial"/>
        </w:rPr>
        <w:t> </w:t>
      </w:r>
      <w:r w:rsidRPr="00037B8D">
        <w:rPr>
          <w:rFonts w:ascii="Aptos" w:eastAsia="Arial" w:hAnsi="Aptos" w:cs="Arial"/>
        </w:rPr>
        <w:t>min and 35 cycles of 96</w:t>
      </w:r>
      <w:r w:rsidRPr="00037B8D">
        <w:rPr>
          <w:rFonts w:ascii="Arial" w:eastAsia="Arial" w:hAnsi="Arial" w:cs="Arial"/>
        </w:rPr>
        <w:t> </w:t>
      </w:r>
      <w:r w:rsidRPr="00037B8D">
        <w:rPr>
          <w:rFonts w:ascii="Aptos" w:eastAsia="Arial" w:hAnsi="Aptos" w:cs="Arial"/>
        </w:rPr>
        <w:t>°C for 10</w:t>
      </w:r>
      <w:r w:rsidRPr="00037B8D">
        <w:rPr>
          <w:rFonts w:ascii="Arial" w:eastAsia="Arial" w:hAnsi="Arial" w:cs="Arial"/>
        </w:rPr>
        <w:t> </w:t>
      </w:r>
      <w:r w:rsidRPr="00037B8D">
        <w:rPr>
          <w:rFonts w:ascii="Aptos" w:eastAsia="Arial" w:hAnsi="Aptos" w:cs="Arial"/>
        </w:rPr>
        <w:t>s, 51</w:t>
      </w:r>
      <w:r w:rsidRPr="00037B8D">
        <w:rPr>
          <w:rFonts w:ascii="Arial" w:eastAsia="Arial" w:hAnsi="Arial" w:cs="Arial"/>
        </w:rPr>
        <w:t> </w:t>
      </w:r>
      <w:r w:rsidRPr="00037B8D">
        <w:rPr>
          <w:rFonts w:ascii="Aptos" w:eastAsia="Arial" w:hAnsi="Aptos" w:cs="Arial"/>
        </w:rPr>
        <w:t>°C for 30</w:t>
      </w:r>
      <w:r w:rsidRPr="00037B8D">
        <w:rPr>
          <w:rFonts w:ascii="Arial" w:eastAsia="Arial" w:hAnsi="Arial" w:cs="Arial"/>
        </w:rPr>
        <w:t> </w:t>
      </w:r>
      <w:r w:rsidRPr="00037B8D">
        <w:rPr>
          <w:rFonts w:ascii="Aptos" w:eastAsia="Arial" w:hAnsi="Aptos" w:cs="Arial"/>
        </w:rPr>
        <w:t>s and 72</w:t>
      </w:r>
      <w:r w:rsidRPr="00037B8D">
        <w:rPr>
          <w:rFonts w:ascii="Arial" w:eastAsia="Arial" w:hAnsi="Arial" w:cs="Arial"/>
        </w:rPr>
        <w:t> </w:t>
      </w:r>
      <w:r w:rsidRPr="00037B8D">
        <w:rPr>
          <w:rFonts w:ascii="Aptos" w:eastAsia="Arial" w:hAnsi="Aptos" w:cs="Arial"/>
        </w:rPr>
        <w:t>°C for 30</w:t>
      </w:r>
      <w:r w:rsidRPr="00037B8D">
        <w:rPr>
          <w:rFonts w:ascii="Arial" w:eastAsia="Arial" w:hAnsi="Arial" w:cs="Arial"/>
        </w:rPr>
        <w:t> </w:t>
      </w:r>
      <w:r w:rsidRPr="00037B8D">
        <w:rPr>
          <w:rFonts w:ascii="Aptos" w:eastAsia="Arial" w:hAnsi="Aptos" w:cs="Arial"/>
        </w:rPr>
        <w:t>s. The final elongation step was performed at 72</w:t>
      </w:r>
      <w:r w:rsidRPr="00037B8D">
        <w:rPr>
          <w:rFonts w:ascii="Arial" w:eastAsia="Arial" w:hAnsi="Arial" w:cs="Arial"/>
        </w:rPr>
        <w:t> </w:t>
      </w:r>
      <w:r w:rsidRPr="00037B8D">
        <w:rPr>
          <w:rFonts w:ascii="Aptos" w:eastAsia="Arial" w:hAnsi="Aptos" w:cs="Arial"/>
        </w:rPr>
        <w:t>°C for 5</w:t>
      </w:r>
      <w:r w:rsidRPr="00037B8D">
        <w:rPr>
          <w:rFonts w:ascii="Arial" w:eastAsia="Arial" w:hAnsi="Arial" w:cs="Arial"/>
        </w:rPr>
        <w:t> </w:t>
      </w:r>
      <w:r w:rsidRPr="00037B8D">
        <w:rPr>
          <w:rFonts w:ascii="Aptos" w:eastAsia="Arial" w:hAnsi="Aptos" w:cs="Arial"/>
        </w:rPr>
        <w:t xml:space="preserve">min. Amplification was confirmed with agarose gel electrophoresis, and PCR products were purified with </w:t>
      </w:r>
      <w:proofErr w:type="spellStart"/>
      <w:r w:rsidRPr="00037B8D">
        <w:rPr>
          <w:rFonts w:ascii="Aptos" w:eastAsia="Arial" w:hAnsi="Aptos" w:cs="Arial"/>
        </w:rPr>
        <w:t>AxyPrep</w:t>
      </w:r>
      <w:proofErr w:type="spellEnd"/>
      <w:r w:rsidRPr="00037B8D">
        <w:rPr>
          <w:rFonts w:ascii="Aptos" w:eastAsia="Arial" w:hAnsi="Aptos" w:cs="Arial"/>
        </w:rPr>
        <w:t xml:space="preserve"> magnetic beads, quantified with Quant-</w:t>
      </w:r>
      <w:proofErr w:type="spellStart"/>
      <w:r w:rsidRPr="00037B8D">
        <w:rPr>
          <w:rFonts w:ascii="Aptos" w:eastAsia="Arial" w:hAnsi="Aptos" w:cs="Arial"/>
        </w:rPr>
        <w:t>iT</w:t>
      </w:r>
      <w:proofErr w:type="spellEnd"/>
      <w:r w:rsidRPr="00037B8D">
        <w:rPr>
          <w:rFonts w:ascii="Aptos" w:eastAsia="Arial" w:hAnsi="Aptos" w:cs="Arial"/>
        </w:rPr>
        <w:t xml:space="preserve"> </w:t>
      </w:r>
      <w:proofErr w:type="spellStart"/>
      <w:r w:rsidRPr="00037B8D">
        <w:rPr>
          <w:rFonts w:ascii="Aptos" w:eastAsia="Arial" w:hAnsi="Aptos" w:cs="Arial"/>
        </w:rPr>
        <w:t>PicoGreen</w:t>
      </w:r>
      <w:proofErr w:type="spellEnd"/>
      <w:r w:rsidRPr="00037B8D">
        <w:rPr>
          <w:rFonts w:ascii="Aptos" w:eastAsia="Arial" w:hAnsi="Aptos" w:cs="Arial"/>
        </w:rPr>
        <w:t xml:space="preserve"> dsDNA kit (Invitrogen, P7589), normalized and pooled. The KAPA LTP Library Preparation kit (07961871001) was used to generate sequencing libraries that were later quantified with Quant-</w:t>
      </w:r>
      <w:proofErr w:type="spellStart"/>
      <w:r w:rsidRPr="00037B8D">
        <w:rPr>
          <w:rFonts w:ascii="Aptos" w:eastAsia="Arial" w:hAnsi="Aptos" w:cs="Arial"/>
        </w:rPr>
        <w:t>iT</w:t>
      </w:r>
      <w:proofErr w:type="spellEnd"/>
      <w:r w:rsidRPr="00037B8D">
        <w:rPr>
          <w:rFonts w:ascii="Aptos" w:eastAsia="Arial" w:hAnsi="Aptos" w:cs="Arial"/>
        </w:rPr>
        <w:t xml:space="preserve"> </w:t>
      </w:r>
      <w:proofErr w:type="spellStart"/>
      <w:r w:rsidRPr="00037B8D">
        <w:rPr>
          <w:rFonts w:ascii="Aptos" w:eastAsia="Arial" w:hAnsi="Aptos" w:cs="Arial"/>
        </w:rPr>
        <w:t>PicoGreen</w:t>
      </w:r>
      <w:proofErr w:type="spellEnd"/>
      <w:r w:rsidRPr="00037B8D">
        <w:rPr>
          <w:rFonts w:ascii="Aptos" w:eastAsia="Arial" w:hAnsi="Aptos" w:cs="Arial"/>
        </w:rPr>
        <w:t xml:space="preserve"> dsDNA kit, normalized and sequenced using </w:t>
      </w:r>
      <w:proofErr w:type="spellStart"/>
      <w:r w:rsidRPr="00037B8D">
        <w:rPr>
          <w:rFonts w:ascii="Aptos" w:eastAsia="Arial" w:hAnsi="Aptos" w:cs="Arial"/>
        </w:rPr>
        <w:t>MiSeq</w:t>
      </w:r>
      <w:proofErr w:type="spellEnd"/>
      <w:r w:rsidRPr="00037B8D">
        <w:rPr>
          <w:rFonts w:ascii="Aptos" w:eastAsia="Arial" w:hAnsi="Aptos" w:cs="Arial"/>
        </w:rPr>
        <w:t xml:space="preserve"> Reagent kit V3.</w:t>
      </w:r>
    </w:p>
    <w:p w14:paraId="502C0ED3" w14:textId="77777777" w:rsidR="00680BCC" w:rsidRDefault="00680BCC" w:rsidP="00162EA8">
      <w:pPr>
        <w:spacing w:line="276" w:lineRule="auto"/>
        <w:rPr>
          <w:rFonts w:ascii="Aptos" w:eastAsia="Arial" w:hAnsi="Aptos" w:cs="Arial"/>
        </w:rPr>
      </w:pPr>
      <w:r>
        <w:rPr>
          <w:rFonts w:ascii="Aptos" w:eastAsia="Arial" w:hAnsi="Aptos" w:cs="Arial"/>
        </w:rPr>
        <w:t>All the sequence analysis was done as in previously described reference</w:t>
      </w:r>
      <w:hyperlink r:id="rId57" w:history="1">
        <w:r>
          <w:rPr>
            <w:rFonts w:ascii="Aptos" w:eastAsia="Times New Roman" w:hAnsi="Aptos"/>
          </w:rPr>
          <w:t>(Liao </w:t>
        </w:r>
        <w:r>
          <w:rPr>
            <w:rFonts w:ascii="Aptos" w:eastAsia="Times New Roman" w:hAnsi="Aptos"/>
            <w:i/>
          </w:rPr>
          <w:t>et al.</w:t>
        </w:r>
        <w:r>
          <w:rPr>
            <w:rFonts w:ascii="Aptos" w:eastAsia="Times New Roman" w:hAnsi="Aptos"/>
          </w:rPr>
          <w:t>, 2024)</w:t>
        </w:r>
      </w:hyperlink>
    </w:p>
    <w:p w14:paraId="4541A0D9" w14:textId="77777777" w:rsidR="00680BCC" w:rsidRPr="00191377" w:rsidRDefault="00680BCC" w:rsidP="00162EA8">
      <w:pPr>
        <w:pStyle w:val="Heading2"/>
        <w:spacing w:line="276" w:lineRule="auto"/>
        <w:rPr>
          <w:rFonts w:ascii="Aptos" w:hAnsi="Aptos"/>
          <w:sz w:val="24"/>
          <w:szCs w:val="24"/>
        </w:rPr>
      </w:pPr>
      <w:r w:rsidRPr="00191377">
        <w:rPr>
          <w:rFonts w:ascii="Aptos" w:eastAsia="Arial" w:hAnsi="Aptos" w:cs="Arial"/>
          <w:b/>
          <w:bCs/>
          <w:sz w:val="24"/>
          <w:szCs w:val="24"/>
        </w:rPr>
        <w:t>Amino Acid Metabolomics</w:t>
      </w:r>
    </w:p>
    <w:p w14:paraId="01C489C4" w14:textId="77777777" w:rsidR="00680BCC" w:rsidRPr="000B5FDD" w:rsidRDefault="00680BCC" w:rsidP="00162EA8">
      <w:pPr>
        <w:spacing w:line="276" w:lineRule="auto"/>
        <w:rPr>
          <w:rFonts w:ascii="Aptos" w:eastAsia="Arial" w:hAnsi="Aptos" w:cs="Arial"/>
        </w:rPr>
      </w:pPr>
      <w:r w:rsidRPr="00191377">
        <w:rPr>
          <w:rFonts w:ascii="Aptos" w:eastAsia="Arial" w:hAnsi="Aptos" w:cs="Arial"/>
        </w:rPr>
        <w:t>To quantify amino acid consumption and production, ST1 strains and VPI</w:t>
      </w:r>
      <w:r w:rsidRPr="00191377">
        <w:rPr>
          <w:rFonts w:ascii="Aptos" w:hAnsi="Aptos"/>
        </w:rPr>
        <w:t>1</w:t>
      </w:r>
      <w:r w:rsidRPr="00191377">
        <w:rPr>
          <w:rFonts w:ascii="Aptos" w:eastAsia="Arial" w:hAnsi="Aptos" w:cs="Arial"/>
        </w:rPr>
        <w:t xml:space="preserve">0463 were grown in </w:t>
      </w:r>
      <w:r w:rsidRPr="00191377">
        <w:rPr>
          <w:rFonts w:ascii="Aptos" w:hAnsi="Aptos"/>
        </w:rPr>
        <w:t xml:space="preserve">CDMM </w:t>
      </w:r>
      <w:r w:rsidRPr="00191377">
        <w:rPr>
          <w:rFonts w:ascii="Aptos" w:eastAsia="Arial" w:hAnsi="Aptos" w:cs="Arial"/>
        </w:rPr>
        <w:t xml:space="preserve">for </w:t>
      </w:r>
      <w:r w:rsidRPr="00191377">
        <w:rPr>
          <w:rFonts w:ascii="Aptos" w:hAnsi="Aptos"/>
        </w:rPr>
        <w:t>6</w:t>
      </w:r>
      <w:r w:rsidRPr="00191377">
        <w:rPr>
          <w:rFonts w:ascii="Aptos" w:eastAsia="Arial" w:hAnsi="Aptos" w:cs="Arial"/>
        </w:rPr>
        <w:t xml:space="preserve"> hours. </w:t>
      </w:r>
      <w:r w:rsidRPr="000B5FDD">
        <w:rPr>
          <w:rFonts w:ascii="Aptos" w:hAnsi="Aptos"/>
        </w:rPr>
        <w:t xml:space="preserve">Cell culture was centrifuged at </w:t>
      </w:r>
      <w:r>
        <w:rPr>
          <w:rFonts w:ascii="Aptos" w:hAnsi="Aptos"/>
        </w:rPr>
        <w:t>4000</w:t>
      </w:r>
      <w:r w:rsidRPr="000B5FDD">
        <w:rPr>
          <w:rFonts w:ascii="Aptos" w:hAnsi="Aptos"/>
        </w:rPr>
        <w:t xml:space="preserve">g for </w:t>
      </w:r>
      <w:r>
        <w:rPr>
          <w:rFonts w:ascii="Aptos" w:hAnsi="Aptos"/>
        </w:rPr>
        <w:t>10</w:t>
      </w:r>
      <w:r w:rsidRPr="000B5FDD">
        <w:rPr>
          <w:rFonts w:ascii="Aptos" w:hAnsi="Aptos"/>
        </w:rPr>
        <w:t xml:space="preserve"> min at </w:t>
      </w:r>
      <w:r>
        <w:rPr>
          <w:rFonts w:ascii="Aptos" w:hAnsi="Aptos"/>
        </w:rPr>
        <w:t>4C</w:t>
      </w:r>
      <w:r w:rsidRPr="000B5FDD">
        <w:rPr>
          <w:rFonts w:ascii="Aptos" w:hAnsi="Aptos"/>
        </w:rPr>
        <w:t xml:space="preserve"> to separate cell pellet from the medium. </w:t>
      </w:r>
      <w:r>
        <w:rPr>
          <w:rFonts w:ascii="Aptos" w:hAnsi="Aptos"/>
        </w:rPr>
        <w:t>8</w:t>
      </w:r>
      <w:r w:rsidRPr="000B5FDD">
        <w:rPr>
          <w:rFonts w:ascii="Aptos" w:hAnsi="Aptos"/>
        </w:rPr>
        <w:t xml:space="preserve">uL medium was taken where 1mL of -80C methanol was added to extract metabolites. For cell pellets, 1mL of -80C methanol was added and sonicated for lysis. Each sample was sonicated for 30 seconds with 1 second pulse on and 0.5 second pulse off. Both methanol-added supernatant and cell pellet layers were stored in a -80C freezer for 24 hours. After the freeze-thaw cycle, both layers were spun down at </w:t>
      </w:r>
      <w:r>
        <w:rPr>
          <w:rFonts w:ascii="Aptos" w:hAnsi="Aptos"/>
        </w:rPr>
        <w:t>13000</w:t>
      </w:r>
      <w:r w:rsidRPr="000B5FDD">
        <w:rPr>
          <w:rFonts w:ascii="Aptos" w:hAnsi="Aptos"/>
        </w:rPr>
        <w:t xml:space="preserve">g for </w:t>
      </w:r>
      <w:r>
        <w:rPr>
          <w:rFonts w:ascii="Aptos" w:hAnsi="Aptos"/>
        </w:rPr>
        <w:t>10</w:t>
      </w:r>
      <w:r w:rsidRPr="000B5FDD">
        <w:rPr>
          <w:rFonts w:ascii="Aptos" w:hAnsi="Aptos"/>
        </w:rPr>
        <w:t xml:space="preserve"> minutes at room temperature. The supernatants were collected and dried in a speed vacuum evaporator for 6 hours. Dried samples were resuspended in 50uL </w:t>
      </w:r>
      <w:proofErr w:type="spellStart"/>
      <w:r w:rsidRPr="000B5FDD">
        <w:rPr>
          <w:rFonts w:ascii="Aptos" w:hAnsi="Aptos"/>
        </w:rPr>
        <w:t>methoxyamine</w:t>
      </w:r>
      <w:proofErr w:type="spellEnd"/>
      <w:r w:rsidRPr="000B5FDD">
        <w:rPr>
          <w:rFonts w:ascii="Aptos" w:hAnsi="Aptos"/>
        </w:rPr>
        <w:t xml:space="preserve"> (TS-45940, </w:t>
      </w:r>
      <w:proofErr w:type="spellStart"/>
      <w:r w:rsidRPr="000B5FDD">
        <w:rPr>
          <w:rFonts w:ascii="Aptos" w:hAnsi="Aptos"/>
        </w:rPr>
        <w:t>Thermo</w:t>
      </w:r>
      <w:proofErr w:type="spellEnd"/>
      <w:r w:rsidRPr="000B5FDD">
        <w:rPr>
          <w:rFonts w:ascii="Aptos" w:hAnsi="Aptos"/>
        </w:rPr>
        <w:t xml:space="preserve"> Fisher Scientific) and shaken at 1,400 rpm at 30C for 2 hours. 80uL of MSTFA + 1% TMCS (TS-48915, </w:t>
      </w:r>
      <w:proofErr w:type="spellStart"/>
      <w:r w:rsidRPr="000B5FDD">
        <w:rPr>
          <w:rFonts w:ascii="Aptos" w:hAnsi="Aptos"/>
        </w:rPr>
        <w:t>Thermo</w:t>
      </w:r>
      <w:proofErr w:type="spellEnd"/>
      <w:r w:rsidRPr="000B5FDD">
        <w:rPr>
          <w:rFonts w:ascii="Aptos" w:hAnsi="Aptos"/>
        </w:rPr>
        <w:t xml:space="preserve"> Fisher Scientific) was added to each </w:t>
      </w:r>
      <w:proofErr w:type="gramStart"/>
      <w:r w:rsidRPr="000B5FDD">
        <w:rPr>
          <w:rFonts w:ascii="Aptos" w:hAnsi="Aptos"/>
        </w:rPr>
        <w:t>sample</w:t>
      </w:r>
      <w:proofErr w:type="gramEnd"/>
      <w:r w:rsidRPr="000B5FDD">
        <w:rPr>
          <w:rFonts w:ascii="Aptos" w:hAnsi="Aptos"/>
        </w:rPr>
        <w:t xml:space="preserve"> and the solution was moved to autosampler vials with 70uL ethyl acetate. Samples were incubated at 37C for 30 minutes before processing on GC-MS. Agilent 8890 GC system coupled to 5977B GC/Mass selective detector (MSD) was used to analyze extracted metabolites. The injection volume was 1uL and all samples were run at Gain 5 factor mode. The initial oven temperature 60C was held for 1 minute, increased at 7.3C/minute to reach a final temperature of 250C which was held for 10.5 minutes. Helium was used as a carrier gas with a constant linear velocity of 1mL/minute. Agilent </w:t>
      </w:r>
      <w:proofErr w:type="spellStart"/>
      <w:r w:rsidRPr="000B5FDD">
        <w:rPr>
          <w:rFonts w:ascii="Aptos" w:hAnsi="Aptos"/>
        </w:rPr>
        <w:t>MassHunter</w:t>
      </w:r>
      <w:proofErr w:type="spellEnd"/>
      <w:r w:rsidRPr="000B5FDD">
        <w:rPr>
          <w:rFonts w:ascii="Aptos" w:hAnsi="Aptos"/>
        </w:rPr>
        <w:t xml:space="preserve"> Qualitative Analysis 10.0 and </w:t>
      </w:r>
      <w:proofErr w:type="spellStart"/>
      <w:r w:rsidRPr="000B5FDD">
        <w:rPr>
          <w:rFonts w:ascii="Aptos" w:hAnsi="Aptos"/>
        </w:rPr>
        <w:t>MassHunter</w:t>
      </w:r>
      <w:proofErr w:type="spellEnd"/>
      <w:r w:rsidRPr="000B5FDD">
        <w:rPr>
          <w:rFonts w:ascii="Aptos" w:hAnsi="Aptos"/>
        </w:rPr>
        <w:t xml:space="preserve"> Quantitative Analysis B.08.00 were used for targeted analysis of </w:t>
      </w:r>
      <w:r w:rsidRPr="000B5FDD">
        <w:rPr>
          <w:rFonts w:ascii="Aptos" w:hAnsi="Aptos"/>
        </w:rPr>
        <w:lastRenderedPageBreak/>
        <w:t xml:space="preserve">metabolites. </w:t>
      </w:r>
      <w:r w:rsidRPr="00191377">
        <w:rPr>
          <w:rFonts w:ascii="Aptos" w:eastAsia="Arial" w:hAnsi="Aptos" w:cs="Arial"/>
        </w:rPr>
        <w:t>Amino acids were classified as strain-private resources if their utilization differed significantly between strains (FDR-adjusted p &lt; 0.05, [statistical test]) and were consumed exclusively by one strain under competitive conditions.</w:t>
      </w:r>
    </w:p>
    <w:p w14:paraId="6BE5CB03" w14:textId="77777777" w:rsidR="00680BCC" w:rsidRPr="00191377" w:rsidRDefault="00680BCC" w:rsidP="00162EA8">
      <w:pPr>
        <w:pStyle w:val="Heading2"/>
        <w:spacing w:line="276" w:lineRule="auto"/>
        <w:rPr>
          <w:rFonts w:ascii="Aptos" w:hAnsi="Aptos"/>
          <w:sz w:val="24"/>
          <w:szCs w:val="24"/>
        </w:rPr>
      </w:pPr>
      <w:r w:rsidRPr="00191377">
        <w:rPr>
          <w:rFonts w:ascii="Aptos" w:eastAsia="Arial" w:hAnsi="Aptos" w:cs="Arial"/>
          <w:b/>
          <w:bCs/>
          <w:sz w:val="24"/>
          <w:szCs w:val="24"/>
        </w:rPr>
        <w:t>Mathematical Modeling</w:t>
      </w:r>
    </w:p>
    <w:p w14:paraId="69AA35BD" w14:textId="77777777" w:rsidR="00680BCC" w:rsidRPr="00191377" w:rsidRDefault="00680BCC" w:rsidP="00162EA8">
      <w:pPr>
        <w:spacing w:line="276" w:lineRule="auto"/>
        <w:rPr>
          <w:rFonts w:ascii="Aptos" w:hAnsi="Aptos"/>
        </w:rPr>
      </w:pPr>
      <w:r w:rsidRPr="00191377">
        <w:rPr>
          <w:rFonts w:ascii="Aptos" w:eastAsia="Arial" w:hAnsi="Aptos" w:cs="Arial"/>
        </w:rPr>
        <w:t xml:space="preserve">A consumer-resource (CR) model was developed to describe pairwise </w:t>
      </w:r>
      <w:proofErr w:type="spellStart"/>
      <w:r w:rsidRPr="00191377">
        <w:rPr>
          <w:rFonts w:ascii="Aptos" w:eastAsia="Arial" w:hAnsi="Aptos" w:cs="Arial"/>
        </w:rPr>
        <w:t>interstrain</w:t>
      </w:r>
      <w:proofErr w:type="spellEnd"/>
      <w:r w:rsidRPr="00191377">
        <w:rPr>
          <w:rFonts w:ascii="Aptos" w:eastAsia="Arial" w:hAnsi="Aptos" w:cs="Arial"/>
        </w:rPr>
        <w:t xml:space="preserve"> competition in a continuous-flow gut environment. The model tracks the dynamics of two competing bacterial populations (N</w:t>
      </w:r>
      <w:r w:rsidRPr="00191377">
        <w:rPr>
          <w:rFonts w:ascii="Aptos" w:eastAsia="Arial" w:hAnsi="Aptos" w:cs="Arial"/>
          <w:vertAlign w:val="subscript"/>
        </w:rPr>
        <w:t>1</w:t>
      </w:r>
      <w:r w:rsidRPr="00191377">
        <w:rPr>
          <w:rFonts w:ascii="Aptos" w:eastAsia="Arial" w:hAnsi="Aptos" w:cs="Arial"/>
        </w:rPr>
        <w:t>, N</w:t>
      </w:r>
      <w:r w:rsidRPr="00191377">
        <w:rPr>
          <w:rFonts w:ascii="Aptos" w:eastAsia="Arial" w:hAnsi="Aptos" w:cs="Arial"/>
          <w:vertAlign w:val="subscript"/>
        </w:rPr>
        <w:t>2</w:t>
      </w:r>
      <w:r w:rsidRPr="00191377">
        <w:rPr>
          <w:rFonts w:ascii="Aptos" w:eastAsia="Arial" w:hAnsi="Aptos" w:cs="Arial"/>
        </w:rPr>
        <w:t>) over three resource classes: a shared amino acid pool (R</w:t>
      </w:r>
      <w:r w:rsidRPr="00191377">
        <w:rPr>
          <w:rFonts w:ascii="Aptos" w:eastAsia="Arial" w:hAnsi="Aptos" w:cs="Arial"/>
          <w:vertAlign w:val="subscript"/>
        </w:rPr>
        <w:t>s</w:t>
      </w:r>
      <w:r w:rsidRPr="00191377">
        <w:rPr>
          <w:rFonts w:ascii="Aptos" w:eastAsia="Arial" w:hAnsi="Aptos" w:cs="Arial"/>
        </w:rPr>
        <w:t>) consumed by both strains, and two strain-private pools (R</w:t>
      </w:r>
      <w:r w:rsidRPr="00191377">
        <w:rPr>
          <w:rFonts w:ascii="Aptos" w:eastAsia="Arial" w:hAnsi="Aptos" w:cs="Arial"/>
          <w:vertAlign w:val="subscript"/>
        </w:rPr>
        <w:t>1</w:t>
      </w:r>
      <w:r w:rsidRPr="00191377">
        <w:rPr>
          <w:rFonts w:ascii="Aptos" w:eastAsia="Arial" w:hAnsi="Aptos" w:cs="Arial"/>
        </w:rPr>
        <w:t>, R</w:t>
      </w:r>
      <w:r w:rsidRPr="00191377">
        <w:rPr>
          <w:rFonts w:ascii="Aptos" w:eastAsia="Arial" w:hAnsi="Aptos" w:cs="Arial"/>
          <w:vertAlign w:val="subscript"/>
        </w:rPr>
        <w:t>2</w:t>
      </w:r>
      <w:r w:rsidRPr="00191377">
        <w:rPr>
          <w:rFonts w:ascii="Aptos" w:eastAsia="Arial" w:hAnsi="Aptos" w:cs="Arial"/>
        </w:rPr>
        <w:t>) each exclusive to one strain. Resource supply, dilution, and bacterial uptake were modeled using standard MacArthur consumer-resource equations. Asymmetric uptake rates on the shared pool were introduced to capture differences in metabolic speed between strains. Equilibrium analysis and invasion criteria were derived analytically under a quasi-steady-state approximation for resource dynamics. Stability conditions for competitive exclusion versus coexistence were expressed in terms of dimensionless parameters characterizing niche breadth (private resource pool size) and metabolic speed (shared resource uptake rate). Full model derivation, parameter definitions, and stability analysis are provided in the Supplemental Information.</w:t>
      </w:r>
    </w:p>
    <w:p w14:paraId="41DC89F9" w14:textId="77777777" w:rsidR="00680BCC" w:rsidRDefault="00680BCC" w:rsidP="00037B8D">
      <w:pPr>
        <w:pStyle w:val="Heading2"/>
        <w:spacing w:line="276" w:lineRule="auto"/>
        <w:rPr>
          <w:rFonts w:ascii="Aptos" w:eastAsia="Arial" w:hAnsi="Aptos" w:cs="Arial"/>
          <w:b/>
          <w:bCs/>
          <w:sz w:val="24"/>
          <w:szCs w:val="24"/>
        </w:rPr>
      </w:pPr>
      <w:r w:rsidRPr="00191377">
        <w:rPr>
          <w:rFonts w:ascii="Aptos" w:eastAsia="Arial" w:hAnsi="Aptos" w:cs="Arial"/>
          <w:b/>
          <w:bCs/>
          <w:sz w:val="24"/>
          <w:szCs w:val="24"/>
        </w:rPr>
        <w:t>Flow Cytometry</w:t>
      </w:r>
    </w:p>
    <w:p w14:paraId="44A5E807" w14:textId="77777777" w:rsidR="00680BCC" w:rsidRPr="00037B8D" w:rsidRDefault="00680BCC" w:rsidP="00037B8D"/>
    <w:p w14:paraId="2BC334D4" w14:textId="77777777" w:rsidR="00680BCC" w:rsidRPr="00191377" w:rsidRDefault="00680BCC" w:rsidP="00162EA8">
      <w:pPr>
        <w:pStyle w:val="Heading2"/>
        <w:spacing w:line="276" w:lineRule="auto"/>
        <w:rPr>
          <w:rFonts w:ascii="Aptos" w:hAnsi="Aptos"/>
          <w:sz w:val="24"/>
          <w:szCs w:val="24"/>
        </w:rPr>
      </w:pPr>
      <w:r w:rsidRPr="00191377">
        <w:rPr>
          <w:rFonts w:ascii="Aptos" w:eastAsia="Arial" w:hAnsi="Aptos" w:cs="Arial"/>
          <w:b/>
          <w:bCs/>
          <w:sz w:val="24"/>
          <w:szCs w:val="24"/>
        </w:rPr>
        <w:t>Quantification and Statistical Analysis</w:t>
      </w:r>
    </w:p>
    <w:p w14:paraId="7ACE6C26" w14:textId="77777777" w:rsidR="00680BCC" w:rsidRDefault="00680BCC" w:rsidP="00AA69D9">
      <w:pPr>
        <w:rPr>
          <w:rFonts w:ascii="Aptos" w:hAnsi="Aptos"/>
        </w:rPr>
      </w:pPr>
      <w:r w:rsidRPr="00191377">
        <w:rPr>
          <w:rFonts w:ascii="Aptos" w:eastAsia="Arial" w:hAnsi="Aptos" w:cs="Arial"/>
        </w:rPr>
        <w:t>Statistical analyses were performed in MATLAB (R202</w:t>
      </w:r>
      <w:r>
        <w:rPr>
          <w:rFonts w:ascii="Aptos" w:eastAsia="Arial" w:hAnsi="Aptos" w:cs="Arial"/>
        </w:rPr>
        <w:t>5</w:t>
      </w:r>
      <w:r w:rsidRPr="00191377">
        <w:rPr>
          <w:rFonts w:ascii="Aptos" w:eastAsia="Arial" w:hAnsi="Aptos" w:cs="Arial"/>
        </w:rPr>
        <w:t>b). Weight loss trajectories were compared across strains using [mixed-effects model / ANOVA]. Virulence scores were correlated with colonization resistance outcomes using Spearman's rank correlation. Multiple comparisons were corrected using the Benjamini-Hochberg procedure. Significance thresholds were set at α = 0.05 unless otherwise stated. Sample sizes (n) are reported in the figure legends. All replicates are biological replicates.</w:t>
      </w:r>
      <w:r w:rsidRPr="00AA69D9">
        <w:rPr>
          <w:rFonts w:ascii="Aptos" w:hAnsi="Aptos"/>
        </w:rPr>
        <w:t xml:space="preserve"> </w:t>
      </w:r>
    </w:p>
    <w:p w14:paraId="5C17E46A" w14:textId="77777777" w:rsidR="00680BCC" w:rsidRDefault="00680BCC" w:rsidP="00037B8D">
      <w:r>
        <w:rPr>
          <w:rFonts w:ascii="Arial" w:eastAsia="Arial" w:hAnsi="Arial" w:cs="Arial"/>
          <w:b/>
          <w:bCs/>
          <w:sz w:val="20"/>
          <w:szCs w:val="20"/>
        </w:rPr>
        <w:t>Table1. Bacterial strains used in this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680BCC" w14:paraId="14C10D4E" w14:textId="77777777" w:rsidTr="0012476E">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BA2A508" w14:textId="77777777" w:rsidR="00680BCC" w:rsidRDefault="00680BCC" w:rsidP="0012476E">
            <w:r>
              <w:rPr>
                <w:rFonts w:ascii="Arial" w:eastAsia="Arial" w:hAnsi="Arial" w:cs="Arial"/>
                <w:b/>
                <w:bCs/>
                <w:sz w:val="20"/>
                <w:szCs w:val="20"/>
              </w:rPr>
              <w:t>Strain</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9A1D44F" w14:textId="77777777" w:rsidR="00680BCC" w:rsidRDefault="00680BCC" w:rsidP="0012476E">
            <w:r>
              <w:rPr>
                <w:rFonts w:ascii="Arial" w:eastAsia="Arial" w:hAnsi="Arial" w:cs="Arial"/>
                <w:b/>
                <w:bCs/>
                <w:sz w:val="20"/>
                <w:szCs w:val="20"/>
              </w:rPr>
              <w:t>Source</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05AC193" w14:textId="77777777" w:rsidR="00680BCC" w:rsidRDefault="00680BCC" w:rsidP="0012476E">
            <w:r>
              <w:rPr>
                <w:rFonts w:ascii="Arial" w:eastAsia="Arial" w:hAnsi="Arial" w:cs="Arial"/>
                <w:b/>
                <w:bCs/>
                <w:sz w:val="20"/>
                <w:szCs w:val="20"/>
              </w:rPr>
              <w:t>Accession</w:t>
            </w:r>
          </w:p>
        </w:tc>
      </w:tr>
      <w:tr w:rsidR="00680BCC" w14:paraId="2337EA7C"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282833"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R20291</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9B1594"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979B92" w14:textId="77777777" w:rsidR="00680BCC" w:rsidRDefault="00680BCC" w:rsidP="0012476E">
            <w:r>
              <w:rPr>
                <w:rFonts w:ascii="Arial" w:eastAsia="Arial" w:hAnsi="Arial" w:cs="Arial"/>
                <w:sz w:val="20"/>
                <w:szCs w:val="20"/>
              </w:rPr>
              <w:t>NCBI: NC_013316</w:t>
            </w:r>
          </w:p>
        </w:tc>
      </w:tr>
      <w:tr w:rsidR="00680BCC" w14:paraId="586D66C7"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2B6499"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ST1.2</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BF1B59"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88F00A" w14:textId="77777777" w:rsidR="00680BCC" w:rsidRDefault="00680BCC" w:rsidP="0012476E">
            <w:r>
              <w:rPr>
                <w:rFonts w:ascii="Arial" w:eastAsia="Arial" w:hAnsi="Arial" w:cs="Arial"/>
                <w:sz w:val="20"/>
                <w:szCs w:val="20"/>
              </w:rPr>
              <w:t>SAMN13566372</w:t>
            </w:r>
          </w:p>
        </w:tc>
      </w:tr>
      <w:tr w:rsidR="00680BCC" w14:paraId="2ACBB5A4"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0CD481"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ST1.6</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414E81"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6D6516" w14:textId="77777777" w:rsidR="00680BCC" w:rsidRDefault="00680BCC" w:rsidP="0012476E">
            <w:r>
              <w:rPr>
                <w:rFonts w:ascii="Arial" w:eastAsia="Arial" w:hAnsi="Arial" w:cs="Arial"/>
                <w:sz w:val="20"/>
                <w:szCs w:val="20"/>
              </w:rPr>
              <w:t>SAMN13566324</w:t>
            </w:r>
          </w:p>
        </w:tc>
      </w:tr>
      <w:tr w:rsidR="00680BCC" w14:paraId="58F9B520"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041457" w14:textId="77777777" w:rsidR="00680BCC" w:rsidRDefault="00680BCC" w:rsidP="0012476E">
            <w:r>
              <w:rPr>
                <w:rFonts w:ascii="Arial" w:eastAsia="Arial" w:hAnsi="Arial" w:cs="Arial"/>
                <w:i/>
                <w:iCs/>
                <w:sz w:val="20"/>
                <w:szCs w:val="20"/>
              </w:rPr>
              <w:lastRenderedPageBreak/>
              <w:t>C. difficile</w:t>
            </w:r>
            <w:r>
              <w:rPr>
                <w:rFonts w:ascii="Arial" w:eastAsia="Arial" w:hAnsi="Arial" w:cs="Arial"/>
                <w:sz w:val="20"/>
                <w:szCs w:val="20"/>
              </w:rPr>
              <w:t xml:space="preserve"> ST1.11</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8D3D8D"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7F0BEF" w14:textId="77777777" w:rsidR="00680BCC" w:rsidRDefault="00680BCC" w:rsidP="0012476E">
            <w:r>
              <w:rPr>
                <w:rFonts w:ascii="Arial" w:eastAsia="Arial" w:hAnsi="Arial" w:cs="Arial"/>
                <w:sz w:val="20"/>
                <w:szCs w:val="20"/>
              </w:rPr>
              <w:t>SAMN13566371</w:t>
            </w:r>
          </w:p>
        </w:tc>
      </w:tr>
      <w:tr w:rsidR="00680BCC" w14:paraId="27CBEFF2"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A67CA4"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ST1.12</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088E9F"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544AF1" w14:textId="77777777" w:rsidR="00680BCC" w:rsidRDefault="00680BCC" w:rsidP="0012476E">
            <w:r>
              <w:rPr>
                <w:rFonts w:ascii="Arial" w:eastAsia="Arial" w:hAnsi="Arial" w:cs="Arial"/>
                <w:sz w:val="20"/>
                <w:szCs w:val="20"/>
              </w:rPr>
              <w:t>SAMN13566370</w:t>
            </w:r>
          </w:p>
        </w:tc>
      </w:tr>
      <w:tr w:rsidR="00680BCC" w14:paraId="2BD53F68"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C0DC12"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ST1.19</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C7917A"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24E797" w14:textId="77777777" w:rsidR="00680BCC" w:rsidRDefault="00680BCC" w:rsidP="0012476E">
            <w:r>
              <w:rPr>
                <w:rFonts w:ascii="Arial" w:eastAsia="Arial" w:hAnsi="Arial" w:cs="Arial"/>
                <w:sz w:val="20"/>
                <w:szCs w:val="20"/>
              </w:rPr>
              <w:t>SAMN13566326</w:t>
            </w:r>
          </w:p>
        </w:tc>
      </w:tr>
      <w:tr w:rsidR="00680BCC" w14:paraId="49A90D76"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EE516C"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ST1.20</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B67182"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D3076" w14:textId="77777777" w:rsidR="00680BCC" w:rsidRDefault="00680BCC" w:rsidP="0012476E">
            <w:r>
              <w:rPr>
                <w:rFonts w:ascii="Arial" w:eastAsia="Arial" w:hAnsi="Arial" w:cs="Arial"/>
                <w:sz w:val="20"/>
                <w:szCs w:val="20"/>
              </w:rPr>
              <w:t>SAMN13566335</w:t>
            </w:r>
          </w:p>
        </w:tc>
      </w:tr>
      <w:tr w:rsidR="00680BCC" w14:paraId="548136AE"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764599"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ST1.23</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5907B3"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9474D" w14:textId="77777777" w:rsidR="00680BCC" w:rsidRDefault="00680BCC" w:rsidP="0012476E">
            <w:r>
              <w:rPr>
                <w:rFonts w:ascii="Arial" w:eastAsia="Arial" w:hAnsi="Arial" w:cs="Arial"/>
                <w:sz w:val="20"/>
                <w:szCs w:val="20"/>
              </w:rPr>
              <w:t>SAMN13566336</w:t>
            </w:r>
          </w:p>
        </w:tc>
      </w:tr>
      <w:tr w:rsidR="00680BCC" w14:paraId="11998C42"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1B85A7"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ST1.25</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E34CB5"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028AF5" w14:textId="77777777" w:rsidR="00680BCC" w:rsidRDefault="00680BCC" w:rsidP="0012476E">
            <w:r>
              <w:rPr>
                <w:rFonts w:ascii="Arial" w:eastAsia="Arial" w:hAnsi="Arial" w:cs="Arial"/>
                <w:sz w:val="20"/>
                <w:szCs w:val="20"/>
              </w:rPr>
              <w:t>SAMN13566328</w:t>
            </w:r>
          </w:p>
        </w:tc>
      </w:tr>
      <w:tr w:rsidR="00680BCC" w14:paraId="0732F616"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A67CBE"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ST1.27</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0C6AC6"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692165" w14:textId="77777777" w:rsidR="00680BCC" w:rsidRDefault="00680BCC" w:rsidP="0012476E">
            <w:r>
              <w:rPr>
                <w:rFonts w:ascii="Arial" w:eastAsia="Arial" w:hAnsi="Arial" w:cs="Arial"/>
                <w:sz w:val="20"/>
                <w:szCs w:val="20"/>
              </w:rPr>
              <w:t>SAMN13566330</w:t>
            </w:r>
          </w:p>
        </w:tc>
      </w:tr>
      <w:tr w:rsidR="00680BCC" w14:paraId="07710BC2"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176E07"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ST1.49</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E4D9B0"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7FF1EE" w14:textId="77777777" w:rsidR="00680BCC" w:rsidRDefault="00680BCC" w:rsidP="0012476E">
            <w:r>
              <w:rPr>
                <w:rFonts w:ascii="Arial" w:eastAsia="Arial" w:hAnsi="Arial" w:cs="Arial"/>
                <w:sz w:val="20"/>
                <w:szCs w:val="20"/>
              </w:rPr>
              <w:t>SAMN13566378</w:t>
            </w:r>
          </w:p>
        </w:tc>
      </w:tr>
      <w:tr w:rsidR="00680BCC" w14:paraId="4F3B2841"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DCD238"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ST1.53</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795F6C"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4E8B1A" w14:textId="77777777" w:rsidR="00680BCC" w:rsidRDefault="00680BCC" w:rsidP="0012476E">
            <w:r>
              <w:rPr>
                <w:rFonts w:ascii="Arial" w:eastAsia="Arial" w:hAnsi="Arial" w:cs="Arial"/>
                <w:sz w:val="20"/>
                <w:szCs w:val="20"/>
              </w:rPr>
              <w:t>SAMN13566406</w:t>
            </w:r>
          </w:p>
        </w:tc>
      </w:tr>
      <w:tr w:rsidR="00680BCC" w14:paraId="4EAA30CF"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842E37"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ST1.57</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DBD57"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855F6A" w14:textId="77777777" w:rsidR="00680BCC" w:rsidRDefault="00680BCC" w:rsidP="0012476E">
            <w:r>
              <w:rPr>
                <w:rFonts w:ascii="Arial" w:eastAsia="Arial" w:hAnsi="Arial" w:cs="Arial"/>
                <w:sz w:val="20"/>
                <w:szCs w:val="20"/>
              </w:rPr>
              <w:t>SAMN13566317</w:t>
            </w:r>
          </w:p>
        </w:tc>
      </w:tr>
      <w:tr w:rsidR="00680BCC" w14:paraId="428E7FA5"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1F6417"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ST1.58</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4FBFF7"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43914" w14:textId="77777777" w:rsidR="00680BCC" w:rsidRDefault="00680BCC" w:rsidP="0012476E">
            <w:r>
              <w:rPr>
                <w:rFonts w:ascii="Arial" w:eastAsia="Arial" w:hAnsi="Arial" w:cs="Arial"/>
                <w:sz w:val="20"/>
                <w:szCs w:val="20"/>
              </w:rPr>
              <w:t>SAMN13566423</w:t>
            </w:r>
          </w:p>
        </w:tc>
      </w:tr>
      <w:tr w:rsidR="00680BCC" w14:paraId="2B80D187"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C3AC70"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ST1.62</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BB3A2D"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B3A2FE" w14:textId="77777777" w:rsidR="00680BCC" w:rsidRDefault="00680BCC" w:rsidP="0012476E">
            <w:r>
              <w:rPr>
                <w:rFonts w:ascii="Arial" w:eastAsia="Arial" w:hAnsi="Arial" w:cs="Arial"/>
                <w:sz w:val="20"/>
                <w:szCs w:val="20"/>
              </w:rPr>
              <w:t>SAMN13566360</w:t>
            </w:r>
          </w:p>
        </w:tc>
      </w:tr>
      <w:tr w:rsidR="00680BCC" w14:paraId="5FF2AC6C"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F2E710"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ST1.63</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96FB13"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2ACC77" w14:textId="77777777" w:rsidR="00680BCC" w:rsidRDefault="00680BCC" w:rsidP="0012476E">
            <w:r>
              <w:rPr>
                <w:rFonts w:ascii="Arial" w:eastAsia="Arial" w:hAnsi="Arial" w:cs="Arial"/>
                <w:sz w:val="20"/>
                <w:szCs w:val="20"/>
              </w:rPr>
              <w:t>SAMN13566320</w:t>
            </w:r>
          </w:p>
        </w:tc>
      </w:tr>
      <w:tr w:rsidR="00680BCC" w14:paraId="2988407A"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D981A"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ST1.65</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511ABA"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7B2005" w14:textId="77777777" w:rsidR="00680BCC" w:rsidRDefault="00680BCC" w:rsidP="0012476E">
            <w:r>
              <w:rPr>
                <w:rFonts w:ascii="Arial" w:eastAsia="Arial" w:hAnsi="Arial" w:cs="Arial"/>
                <w:sz w:val="20"/>
                <w:szCs w:val="20"/>
              </w:rPr>
              <w:t>SAMN13566318</w:t>
            </w:r>
          </w:p>
        </w:tc>
      </w:tr>
      <w:tr w:rsidR="00680BCC" w14:paraId="7BEA876E"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1E47EF"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ST1.66</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BA7DD6"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7A1E56" w14:textId="77777777" w:rsidR="00680BCC" w:rsidRDefault="00680BCC" w:rsidP="0012476E">
            <w:r>
              <w:rPr>
                <w:rFonts w:ascii="Arial" w:eastAsia="Arial" w:hAnsi="Arial" w:cs="Arial"/>
                <w:sz w:val="20"/>
                <w:szCs w:val="20"/>
              </w:rPr>
              <w:t>SAMN13566292</w:t>
            </w:r>
          </w:p>
        </w:tc>
      </w:tr>
      <w:tr w:rsidR="00680BCC" w14:paraId="7813C084"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5A7E05"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ST1.67</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A177C7"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7D1823" w14:textId="77777777" w:rsidR="00680BCC" w:rsidRDefault="00680BCC" w:rsidP="0012476E">
            <w:r>
              <w:rPr>
                <w:rFonts w:ascii="Arial" w:eastAsia="Arial" w:hAnsi="Arial" w:cs="Arial"/>
                <w:sz w:val="20"/>
                <w:szCs w:val="20"/>
              </w:rPr>
              <w:t>SAMN13566325</w:t>
            </w:r>
          </w:p>
        </w:tc>
      </w:tr>
      <w:tr w:rsidR="00680BCC" w14:paraId="3FB6ABAA"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CD84EF"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ST1.68</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19DC3"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BE32FB" w14:textId="77777777" w:rsidR="00680BCC" w:rsidRDefault="00680BCC" w:rsidP="0012476E">
            <w:r>
              <w:rPr>
                <w:rFonts w:ascii="Arial" w:eastAsia="Arial" w:hAnsi="Arial" w:cs="Arial"/>
                <w:sz w:val="20"/>
                <w:szCs w:val="20"/>
              </w:rPr>
              <w:t>SAMN13566403</w:t>
            </w:r>
          </w:p>
        </w:tc>
      </w:tr>
      <w:tr w:rsidR="00680BCC" w14:paraId="037AF533"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E46290"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ST1.69</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A604EF"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17F768" w14:textId="77777777" w:rsidR="00680BCC" w:rsidRDefault="00680BCC" w:rsidP="0012476E">
            <w:r>
              <w:rPr>
                <w:rFonts w:ascii="Arial" w:eastAsia="Arial" w:hAnsi="Arial" w:cs="Arial"/>
                <w:sz w:val="20"/>
                <w:szCs w:val="20"/>
              </w:rPr>
              <w:t>SAMN13566435</w:t>
            </w:r>
          </w:p>
        </w:tc>
      </w:tr>
      <w:tr w:rsidR="00680BCC" w14:paraId="1B703D6A"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1D63A5"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ST1.75</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47AAC" w14:textId="77777777" w:rsidR="00680BCC" w:rsidRDefault="00680BCC" w:rsidP="0012476E">
            <w:r>
              <w:rPr>
                <w:rFonts w:ascii="Arial" w:eastAsia="Arial" w:hAnsi="Arial" w:cs="Arial"/>
                <w:sz w:val="20"/>
                <w:szCs w:val="20"/>
              </w:rPr>
              <w:t>Human isolate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62E823" w14:textId="77777777" w:rsidR="00680BCC" w:rsidRDefault="00680BCC" w:rsidP="0012476E">
            <w:r>
              <w:rPr>
                <w:rFonts w:ascii="Arial" w:eastAsia="Arial" w:hAnsi="Arial" w:cs="Arial"/>
                <w:sz w:val="20"/>
                <w:szCs w:val="20"/>
              </w:rPr>
              <w:t>SAMN13566366</w:t>
            </w:r>
          </w:p>
        </w:tc>
      </w:tr>
      <w:tr w:rsidR="00680BCC" w14:paraId="4201B492" w14:textId="77777777" w:rsidTr="0012476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0D5EA" w14:textId="77777777" w:rsidR="00680BCC" w:rsidRDefault="00680BCC" w:rsidP="0012476E">
            <w:r>
              <w:rPr>
                <w:rFonts w:ascii="Arial" w:eastAsia="Arial" w:hAnsi="Arial" w:cs="Arial"/>
                <w:i/>
                <w:iCs/>
                <w:sz w:val="20"/>
                <w:szCs w:val="20"/>
              </w:rPr>
              <w:t>C. difficile</w:t>
            </w:r>
            <w:r>
              <w:rPr>
                <w:rFonts w:ascii="Arial" w:eastAsia="Arial" w:hAnsi="Arial" w:cs="Arial"/>
                <w:sz w:val="20"/>
                <w:szCs w:val="20"/>
              </w:rPr>
              <w:t xml:space="preserve"> VPI10463</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4B33A6" w14:textId="77777777" w:rsidR="00680BCC" w:rsidRDefault="00680BCC" w:rsidP="0012476E">
            <w:r>
              <w:rPr>
                <w:rFonts w:ascii="Arial" w:eastAsia="Arial" w:hAnsi="Arial" w:cs="Arial"/>
                <w:sz w:val="20"/>
                <w:szCs w:val="20"/>
              </w:rPr>
              <w:t>ATCC</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091F46" w14:textId="77777777" w:rsidR="00680BCC" w:rsidRDefault="00680BCC" w:rsidP="0012476E">
            <w:r>
              <w:rPr>
                <w:rFonts w:ascii="Arial" w:eastAsia="Arial" w:hAnsi="Arial" w:cs="Arial"/>
                <w:sz w:val="20"/>
                <w:szCs w:val="20"/>
              </w:rPr>
              <w:t>ATCC #43255</w:t>
            </w:r>
          </w:p>
        </w:tc>
      </w:tr>
    </w:tbl>
    <w:p w14:paraId="56790D58" w14:textId="77777777" w:rsidR="00680BCC" w:rsidRPr="000F17FF" w:rsidRDefault="00680BCC" w:rsidP="00AA69D9"/>
    <w:p w14:paraId="7D01CDAB" w14:textId="77777777" w:rsidR="00680BCC" w:rsidRPr="000F28A2" w:rsidRDefault="00680BCC" w:rsidP="000F28A2">
      <w:pPr>
        <w:pStyle w:val="Heading1"/>
      </w:pPr>
      <w:r>
        <w:lastRenderedPageBreak/>
        <w:t>References</w:t>
      </w:r>
      <w:r w:rsidRPr="009C2318">
        <w:t xml:space="preserve"> </w:t>
      </w:r>
      <w:r>
        <w:t xml:space="preserve"> </w:t>
      </w:r>
    </w:p>
    <w:p w14:paraId="136CCBC0" w14:textId="77777777" w:rsidR="00680BCC" w:rsidRPr="00680BCC" w:rsidRDefault="00680BCC">
      <w:pPr>
        <w:rPr>
          <w:rFonts w:ascii="Aptos" w:eastAsia="Times New Roman" w:hAnsi="Aptos"/>
          <w:color w:val="000000"/>
          <w:kern w:val="0"/>
          <w14:ligatures w14:val="none"/>
        </w:rPr>
      </w:pPr>
      <w:r w:rsidRPr="003128FF">
        <w:rPr>
          <w:rFonts w:ascii="Aptos" w:hAnsi="Aptos"/>
          <w:color w:val="000000"/>
        </w:rPr>
        <w:t xml:space="preserve"> </w:t>
      </w:r>
    </w:p>
    <w:p w14:paraId="4FD12E8F" w14:textId="77777777" w:rsidR="00680BCC" w:rsidRPr="00680BCC" w:rsidRDefault="00680BCC" w:rsidP="00680BCC">
      <w:pPr>
        <w:pStyle w:val="NormalWeb"/>
        <w:spacing w:afterLines="100" w:after="240"/>
        <w:rPr>
          <w:rFonts w:ascii="Aptos" w:hAnsi="Aptos"/>
          <w:color w:val="000000"/>
        </w:rPr>
      </w:pPr>
      <w:hyperlink r:id="rId58" w:history="1">
        <w:r w:rsidRPr="00680BCC">
          <w:rPr>
            <w:rStyle w:val="csl-entry"/>
            <w:rFonts w:ascii="Aptos" w:hAnsi="Aptos"/>
            <w:color w:val="000000"/>
          </w:rPr>
          <w:t xml:space="preserve">Allen, S.J. </w:t>
        </w:r>
        <w:r w:rsidRPr="00680BCC">
          <w:rPr>
            <w:rStyle w:val="csl-entry"/>
            <w:rFonts w:ascii="Aptos" w:hAnsi="Aptos"/>
            <w:i/>
            <w:iCs/>
            <w:color w:val="000000"/>
          </w:rPr>
          <w:t>et al.</w:t>
        </w:r>
        <w:r w:rsidRPr="00680BCC">
          <w:rPr>
            <w:rStyle w:val="csl-entry"/>
            <w:rFonts w:ascii="Aptos" w:hAnsi="Aptos"/>
            <w:color w:val="000000"/>
          </w:rPr>
          <w:t xml:space="preserve"> (2013) “Lactobacilli and bifidobacteria in the prevention of antibiotic-associated </w:t>
        </w:r>
        <w:proofErr w:type="spellStart"/>
        <w:r w:rsidRPr="00680BCC">
          <w:rPr>
            <w:rStyle w:val="csl-entry"/>
            <w:rFonts w:ascii="Aptos" w:hAnsi="Aptos"/>
            <w:color w:val="000000"/>
          </w:rPr>
          <w:t>diarrhoea</w:t>
        </w:r>
        <w:proofErr w:type="spellEnd"/>
        <w:r w:rsidRPr="00680BCC">
          <w:rPr>
            <w:rStyle w:val="csl-entry"/>
            <w:rFonts w:ascii="Aptos" w:hAnsi="Aptos"/>
            <w:color w:val="000000"/>
          </w:rPr>
          <w:t xml:space="preserve"> and Clostridium difficile </w:t>
        </w:r>
        <w:proofErr w:type="spellStart"/>
        <w:r w:rsidRPr="00680BCC">
          <w:rPr>
            <w:rStyle w:val="csl-entry"/>
            <w:rFonts w:ascii="Aptos" w:hAnsi="Aptos"/>
            <w:color w:val="000000"/>
          </w:rPr>
          <w:t>diarrhoea</w:t>
        </w:r>
        <w:proofErr w:type="spellEnd"/>
        <w:r w:rsidRPr="00680BCC">
          <w:rPr>
            <w:rStyle w:val="csl-entry"/>
            <w:rFonts w:ascii="Aptos" w:hAnsi="Aptos"/>
            <w:color w:val="000000"/>
          </w:rPr>
          <w:t xml:space="preserve"> in older inpatients (PLACIDE): a </w:t>
        </w:r>
        <w:proofErr w:type="spellStart"/>
        <w:r w:rsidRPr="00680BCC">
          <w:rPr>
            <w:rStyle w:val="csl-entry"/>
            <w:rFonts w:ascii="Aptos" w:hAnsi="Aptos"/>
            <w:color w:val="000000"/>
          </w:rPr>
          <w:t>randomised</w:t>
        </w:r>
        <w:proofErr w:type="spellEnd"/>
        <w:r w:rsidRPr="00680BCC">
          <w:rPr>
            <w:rStyle w:val="csl-entry"/>
            <w:rFonts w:ascii="Aptos" w:hAnsi="Aptos"/>
            <w:color w:val="000000"/>
          </w:rPr>
          <w:t xml:space="preserve">, double-blind, placebo-controlled, </w:t>
        </w:r>
        <w:proofErr w:type="spellStart"/>
        <w:r w:rsidRPr="00680BCC">
          <w:rPr>
            <w:rStyle w:val="csl-entry"/>
            <w:rFonts w:ascii="Aptos" w:hAnsi="Aptos"/>
            <w:color w:val="000000"/>
          </w:rPr>
          <w:t>multicentre</w:t>
        </w:r>
        <w:proofErr w:type="spellEnd"/>
        <w:r w:rsidRPr="00680BCC">
          <w:rPr>
            <w:rStyle w:val="csl-entry"/>
            <w:rFonts w:ascii="Aptos" w:hAnsi="Aptos"/>
            <w:color w:val="000000"/>
          </w:rPr>
          <w:t xml:space="preserve"> trial.,” </w:t>
        </w:r>
        <w:r w:rsidRPr="00680BCC">
          <w:rPr>
            <w:rStyle w:val="csl-entry"/>
            <w:rFonts w:ascii="Aptos" w:hAnsi="Aptos"/>
            <w:i/>
            <w:iCs/>
            <w:color w:val="000000"/>
          </w:rPr>
          <w:t>The Lancet</w:t>
        </w:r>
        <w:r w:rsidRPr="00680BCC">
          <w:rPr>
            <w:rStyle w:val="csl-entry"/>
            <w:rFonts w:ascii="Aptos" w:hAnsi="Aptos"/>
            <w:color w:val="000000"/>
          </w:rPr>
          <w:t>, 382(9900), pp. 1249–1257. doi:10.1016/S0140-6736(13)61218-0.</w:t>
        </w:r>
      </w:hyperlink>
    </w:p>
    <w:p w14:paraId="26F40B6D" w14:textId="77777777" w:rsidR="00680BCC" w:rsidRPr="00680BCC" w:rsidRDefault="00680BCC" w:rsidP="00680BCC">
      <w:pPr>
        <w:pStyle w:val="NormalWeb"/>
        <w:spacing w:afterLines="100" w:after="240"/>
        <w:rPr>
          <w:rFonts w:ascii="Aptos" w:hAnsi="Aptos"/>
          <w:color w:val="000000"/>
        </w:rPr>
      </w:pPr>
      <w:hyperlink r:id="rId59" w:history="1">
        <w:r w:rsidRPr="00680BCC">
          <w:rPr>
            <w:rStyle w:val="csl-entry"/>
            <w:rFonts w:ascii="Aptos" w:hAnsi="Aptos"/>
            <w:color w:val="000000"/>
          </w:rPr>
          <w:t xml:space="preserve">Al Sharaby, A. </w:t>
        </w:r>
        <w:r w:rsidRPr="00680BCC">
          <w:rPr>
            <w:rStyle w:val="csl-entry"/>
            <w:rFonts w:ascii="Aptos" w:hAnsi="Aptos"/>
            <w:i/>
            <w:iCs/>
            <w:color w:val="000000"/>
          </w:rPr>
          <w:t>et al.</w:t>
        </w:r>
        <w:r w:rsidRPr="00680BCC">
          <w:rPr>
            <w:rStyle w:val="csl-entry"/>
            <w:rFonts w:ascii="Aptos" w:hAnsi="Aptos"/>
            <w:color w:val="000000"/>
          </w:rPr>
          <w:t xml:space="preserve"> (2022) “Do Probiotics Prevent Clostridium </w:t>
        </w:r>
        <w:proofErr w:type="gramStart"/>
        <w:r w:rsidRPr="00680BCC">
          <w:rPr>
            <w:rStyle w:val="csl-entry"/>
            <w:rFonts w:ascii="Aptos" w:hAnsi="Aptos"/>
            <w:color w:val="000000"/>
          </w:rPr>
          <w:t>difficile</w:t>
        </w:r>
        <w:proofErr w:type="gramEnd"/>
        <w:r w:rsidRPr="00680BCC">
          <w:rPr>
            <w:rStyle w:val="csl-entry"/>
            <w:rFonts w:ascii="Aptos" w:hAnsi="Aptos"/>
            <w:color w:val="000000"/>
          </w:rPr>
          <w:t xml:space="preserve">-Associated </w:t>
        </w:r>
        <w:proofErr w:type="gramStart"/>
        <w:r w:rsidRPr="00680BCC">
          <w:rPr>
            <w:rStyle w:val="csl-entry"/>
            <w:rFonts w:ascii="Aptos" w:hAnsi="Aptos"/>
            <w:color w:val="000000"/>
          </w:rPr>
          <w:t>Diarrhea?,</w:t>
        </w:r>
        <w:proofErr w:type="gramEnd"/>
        <w:r w:rsidRPr="00680BCC">
          <w:rPr>
            <w:rStyle w:val="csl-entry"/>
            <w:rFonts w:ascii="Aptos" w:hAnsi="Aptos"/>
            <w:color w:val="000000"/>
          </w:rPr>
          <w:t xml:space="preserve">” </w:t>
        </w:r>
        <w:proofErr w:type="spellStart"/>
        <w:r w:rsidRPr="00680BCC">
          <w:rPr>
            <w:rStyle w:val="csl-entry"/>
            <w:rFonts w:ascii="Aptos" w:hAnsi="Aptos"/>
            <w:i/>
            <w:iCs/>
            <w:color w:val="000000"/>
          </w:rPr>
          <w:t>Cureus</w:t>
        </w:r>
        <w:proofErr w:type="spellEnd"/>
        <w:r w:rsidRPr="00680BCC">
          <w:rPr>
            <w:rStyle w:val="csl-entry"/>
            <w:rFonts w:ascii="Aptos" w:hAnsi="Aptos"/>
            <w:color w:val="000000"/>
          </w:rPr>
          <w:t>, 14(8), p. e27624. doi:10.7759/cureus.27624.</w:t>
        </w:r>
      </w:hyperlink>
    </w:p>
    <w:p w14:paraId="7B672884" w14:textId="77777777" w:rsidR="00680BCC" w:rsidRPr="00680BCC" w:rsidRDefault="00680BCC" w:rsidP="00680BCC">
      <w:pPr>
        <w:pStyle w:val="NormalWeb"/>
        <w:spacing w:afterLines="100" w:after="240"/>
        <w:rPr>
          <w:rFonts w:ascii="Aptos" w:hAnsi="Aptos"/>
          <w:color w:val="000000"/>
        </w:rPr>
      </w:pPr>
      <w:hyperlink r:id="rId60" w:history="1">
        <w:proofErr w:type="spellStart"/>
        <w:r w:rsidRPr="00680BCC">
          <w:rPr>
            <w:rStyle w:val="csl-entry"/>
            <w:rFonts w:ascii="Aptos" w:hAnsi="Aptos"/>
            <w:color w:val="000000"/>
          </w:rPr>
          <w:t>Battaglioli</w:t>
        </w:r>
        <w:proofErr w:type="spellEnd"/>
        <w:r w:rsidRPr="00680BCC">
          <w:rPr>
            <w:rStyle w:val="csl-entry"/>
            <w:rFonts w:ascii="Aptos" w:hAnsi="Aptos"/>
            <w:color w:val="000000"/>
          </w:rPr>
          <w:t xml:space="preserve">, E.J. </w:t>
        </w:r>
        <w:r w:rsidRPr="00680BCC">
          <w:rPr>
            <w:rStyle w:val="csl-entry"/>
            <w:rFonts w:ascii="Aptos" w:hAnsi="Aptos"/>
            <w:i/>
            <w:iCs/>
            <w:color w:val="000000"/>
          </w:rPr>
          <w:t>et al.</w:t>
        </w:r>
        <w:r w:rsidRPr="00680BCC">
          <w:rPr>
            <w:rStyle w:val="csl-entry"/>
            <w:rFonts w:ascii="Aptos" w:hAnsi="Aptos"/>
            <w:color w:val="000000"/>
          </w:rPr>
          <w:t xml:space="preserve"> (2018) “Clostridioides difficile uses amino acids associated with gut microbial dysbiosis in a subset of patients with diarrhea.,” </w:t>
        </w:r>
        <w:r w:rsidRPr="00680BCC">
          <w:rPr>
            <w:rStyle w:val="csl-entry"/>
            <w:rFonts w:ascii="Aptos" w:hAnsi="Aptos"/>
            <w:i/>
            <w:iCs/>
            <w:color w:val="000000"/>
          </w:rPr>
          <w:t>Science Translational Medicine</w:t>
        </w:r>
        <w:r w:rsidRPr="00680BCC">
          <w:rPr>
            <w:rStyle w:val="csl-entry"/>
            <w:rFonts w:ascii="Aptos" w:hAnsi="Aptos"/>
            <w:color w:val="000000"/>
          </w:rPr>
          <w:t>, 10(464). doi:10.1126/scitranslmed.aam7019.</w:t>
        </w:r>
      </w:hyperlink>
    </w:p>
    <w:p w14:paraId="3F8A3A94" w14:textId="77777777" w:rsidR="00680BCC" w:rsidRPr="00680BCC" w:rsidRDefault="00680BCC" w:rsidP="00680BCC">
      <w:pPr>
        <w:pStyle w:val="NormalWeb"/>
        <w:spacing w:afterLines="100" w:after="240"/>
        <w:rPr>
          <w:rFonts w:ascii="Aptos" w:hAnsi="Aptos"/>
          <w:color w:val="000000"/>
        </w:rPr>
      </w:pPr>
      <w:hyperlink r:id="rId61" w:history="1">
        <w:r w:rsidRPr="00680BCC">
          <w:rPr>
            <w:rStyle w:val="csl-entry"/>
            <w:rFonts w:ascii="Aptos" w:hAnsi="Aptos"/>
            <w:color w:val="000000"/>
          </w:rPr>
          <w:t xml:space="preserve">Borriello, S.P. and Barclay, F.E. (1985) “Protection of hamsters against Clostridium difficile </w:t>
        </w:r>
        <w:proofErr w:type="spellStart"/>
        <w:r w:rsidRPr="00680BCC">
          <w:rPr>
            <w:rStyle w:val="csl-entry"/>
            <w:rFonts w:ascii="Aptos" w:hAnsi="Aptos"/>
            <w:color w:val="000000"/>
          </w:rPr>
          <w:t>ileocaecitis</w:t>
        </w:r>
        <w:proofErr w:type="spellEnd"/>
        <w:r w:rsidRPr="00680BCC">
          <w:rPr>
            <w:rStyle w:val="csl-entry"/>
            <w:rFonts w:ascii="Aptos" w:hAnsi="Aptos"/>
            <w:color w:val="000000"/>
          </w:rPr>
          <w:t xml:space="preserve"> by prior </w:t>
        </w:r>
        <w:proofErr w:type="spellStart"/>
        <w:r w:rsidRPr="00680BCC">
          <w:rPr>
            <w:rStyle w:val="csl-entry"/>
            <w:rFonts w:ascii="Aptos" w:hAnsi="Aptos"/>
            <w:color w:val="000000"/>
          </w:rPr>
          <w:t>colonisation</w:t>
        </w:r>
        <w:proofErr w:type="spellEnd"/>
        <w:r w:rsidRPr="00680BCC">
          <w:rPr>
            <w:rStyle w:val="csl-entry"/>
            <w:rFonts w:ascii="Aptos" w:hAnsi="Aptos"/>
            <w:color w:val="000000"/>
          </w:rPr>
          <w:t xml:space="preserve"> with non-pathogenic strains.,” </w:t>
        </w:r>
        <w:r w:rsidRPr="00680BCC">
          <w:rPr>
            <w:rStyle w:val="csl-entry"/>
            <w:rFonts w:ascii="Aptos" w:hAnsi="Aptos"/>
            <w:i/>
            <w:iCs/>
            <w:color w:val="000000"/>
          </w:rPr>
          <w:t>Journal of Medical Microbiology</w:t>
        </w:r>
        <w:r w:rsidRPr="00680BCC">
          <w:rPr>
            <w:rStyle w:val="csl-entry"/>
            <w:rFonts w:ascii="Aptos" w:hAnsi="Aptos"/>
            <w:color w:val="000000"/>
          </w:rPr>
          <w:t>, 19(3), pp. 339–350. doi:10.1099/00222615-19-3-339.</w:t>
        </w:r>
      </w:hyperlink>
    </w:p>
    <w:p w14:paraId="34F60586" w14:textId="77777777" w:rsidR="00680BCC" w:rsidRPr="00680BCC" w:rsidRDefault="00680BCC" w:rsidP="00680BCC">
      <w:pPr>
        <w:pStyle w:val="NormalWeb"/>
        <w:spacing w:afterLines="100" w:after="240"/>
        <w:rPr>
          <w:rFonts w:ascii="Aptos" w:hAnsi="Aptos"/>
          <w:color w:val="000000"/>
        </w:rPr>
      </w:pPr>
      <w:hyperlink r:id="rId62" w:history="1">
        <w:r w:rsidRPr="00680BCC">
          <w:rPr>
            <w:rStyle w:val="csl-entry"/>
            <w:rFonts w:ascii="Aptos" w:hAnsi="Aptos"/>
            <w:color w:val="000000"/>
          </w:rPr>
          <w:t xml:space="preserve">Buffie, C.G. and Pamer, E.G. (2013) “Microbiota-mediated colonization resistance against intestinal pathogens.,” </w:t>
        </w:r>
        <w:r w:rsidRPr="00680BCC">
          <w:rPr>
            <w:rStyle w:val="csl-entry"/>
            <w:rFonts w:ascii="Aptos" w:hAnsi="Aptos"/>
            <w:i/>
            <w:iCs/>
            <w:color w:val="000000"/>
          </w:rPr>
          <w:t>Nature Reviews. Immunology</w:t>
        </w:r>
        <w:r w:rsidRPr="00680BCC">
          <w:rPr>
            <w:rStyle w:val="csl-entry"/>
            <w:rFonts w:ascii="Aptos" w:hAnsi="Aptos"/>
            <w:color w:val="000000"/>
          </w:rPr>
          <w:t>, 13(11), pp. 790–801. doi:10.1038/nri3535.</w:t>
        </w:r>
      </w:hyperlink>
    </w:p>
    <w:p w14:paraId="5D3EC3A3" w14:textId="77777777" w:rsidR="00680BCC" w:rsidRPr="00680BCC" w:rsidRDefault="00680BCC" w:rsidP="00680BCC">
      <w:pPr>
        <w:pStyle w:val="NormalWeb"/>
        <w:spacing w:afterLines="100" w:after="240"/>
        <w:rPr>
          <w:rFonts w:ascii="Aptos" w:hAnsi="Aptos"/>
          <w:color w:val="000000"/>
        </w:rPr>
      </w:pPr>
      <w:hyperlink r:id="rId63" w:history="1">
        <w:r w:rsidRPr="00680BCC">
          <w:rPr>
            <w:rStyle w:val="csl-entry"/>
            <w:rFonts w:ascii="Aptos" w:hAnsi="Aptos"/>
            <w:color w:val="000000"/>
          </w:rPr>
          <w:t xml:space="preserve">Chesson, P. (2000) “Mechanisms of maintenance of species diversity,” </w:t>
        </w:r>
        <w:r w:rsidRPr="00680BCC">
          <w:rPr>
            <w:rStyle w:val="csl-entry"/>
            <w:rFonts w:ascii="Aptos" w:hAnsi="Aptos"/>
            <w:i/>
            <w:iCs/>
            <w:color w:val="000000"/>
          </w:rPr>
          <w:t>Annual review of ecology and systematics</w:t>
        </w:r>
        <w:r w:rsidRPr="00680BCC">
          <w:rPr>
            <w:rStyle w:val="csl-entry"/>
            <w:rFonts w:ascii="Aptos" w:hAnsi="Aptos"/>
            <w:color w:val="000000"/>
          </w:rPr>
          <w:t>, 31(1), pp. 343–366. doi:10.1146/annurev.ecolsys.31.1.343.</w:t>
        </w:r>
      </w:hyperlink>
    </w:p>
    <w:p w14:paraId="4BE43BE0" w14:textId="77777777" w:rsidR="00680BCC" w:rsidRPr="00680BCC" w:rsidRDefault="00680BCC" w:rsidP="00680BCC">
      <w:pPr>
        <w:pStyle w:val="NormalWeb"/>
        <w:spacing w:afterLines="100" w:after="240"/>
        <w:rPr>
          <w:rFonts w:ascii="Aptos" w:hAnsi="Aptos"/>
          <w:color w:val="000000"/>
        </w:rPr>
      </w:pPr>
      <w:hyperlink r:id="rId64" w:history="1">
        <w:r w:rsidRPr="00680BCC">
          <w:rPr>
            <w:rStyle w:val="csl-entry"/>
            <w:rFonts w:ascii="Aptos" w:hAnsi="Aptos"/>
            <w:color w:val="000000"/>
          </w:rPr>
          <w:t xml:space="preserve">Collins, J. </w:t>
        </w:r>
        <w:r w:rsidRPr="00680BCC">
          <w:rPr>
            <w:rStyle w:val="csl-entry"/>
            <w:rFonts w:ascii="Aptos" w:hAnsi="Aptos"/>
            <w:i/>
            <w:iCs/>
            <w:color w:val="000000"/>
          </w:rPr>
          <w:t>et al.</w:t>
        </w:r>
        <w:r w:rsidRPr="00680BCC">
          <w:rPr>
            <w:rStyle w:val="csl-entry"/>
            <w:rFonts w:ascii="Aptos" w:hAnsi="Aptos"/>
            <w:color w:val="000000"/>
          </w:rPr>
          <w:t xml:space="preserve"> (2018) “Dietary trehalose enhances virulence of epidemic Clostridium difficile.,” </w:t>
        </w:r>
        <w:r w:rsidRPr="00680BCC">
          <w:rPr>
            <w:rStyle w:val="csl-entry"/>
            <w:rFonts w:ascii="Aptos" w:hAnsi="Aptos"/>
            <w:i/>
            <w:iCs/>
            <w:color w:val="000000"/>
          </w:rPr>
          <w:t>Nature</w:t>
        </w:r>
        <w:r w:rsidRPr="00680BCC">
          <w:rPr>
            <w:rStyle w:val="csl-entry"/>
            <w:rFonts w:ascii="Aptos" w:hAnsi="Aptos"/>
            <w:color w:val="000000"/>
          </w:rPr>
          <w:t>, 553(7688), pp. 291–294. doi:10.1038/nature25178.</w:t>
        </w:r>
      </w:hyperlink>
    </w:p>
    <w:p w14:paraId="0DD9DD4A" w14:textId="77777777" w:rsidR="00680BCC" w:rsidRPr="00680BCC" w:rsidRDefault="00680BCC" w:rsidP="00680BCC">
      <w:pPr>
        <w:pStyle w:val="NormalWeb"/>
        <w:spacing w:afterLines="100" w:after="240"/>
        <w:rPr>
          <w:rFonts w:ascii="Aptos" w:hAnsi="Aptos"/>
          <w:color w:val="000000"/>
        </w:rPr>
      </w:pPr>
      <w:hyperlink r:id="rId65" w:history="1">
        <w:r w:rsidRPr="00680BCC">
          <w:rPr>
            <w:rStyle w:val="csl-entry"/>
            <w:rFonts w:ascii="Aptos" w:hAnsi="Aptos"/>
            <w:color w:val="000000"/>
          </w:rPr>
          <w:t xml:space="preserve">Dong, Q. </w:t>
        </w:r>
        <w:r w:rsidRPr="00680BCC">
          <w:rPr>
            <w:rStyle w:val="csl-entry"/>
            <w:rFonts w:ascii="Aptos" w:hAnsi="Aptos"/>
            <w:i/>
            <w:iCs/>
            <w:color w:val="000000"/>
          </w:rPr>
          <w:t>et al.</w:t>
        </w:r>
        <w:r w:rsidRPr="00680BCC">
          <w:rPr>
            <w:rStyle w:val="csl-entry"/>
            <w:rFonts w:ascii="Aptos" w:hAnsi="Aptos"/>
            <w:color w:val="000000"/>
          </w:rPr>
          <w:t xml:space="preserve"> (2023a) “Virulence and genomic diversity among clinical isolates of ST1 (BI/NAP1/027) Clostridioides difficile.,” </w:t>
        </w:r>
        <w:r w:rsidRPr="00680BCC">
          <w:rPr>
            <w:rStyle w:val="csl-entry"/>
            <w:rFonts w:ascii="Aptos" w:hAnsi="Aptos"/>
            <w:i/>
            <w:iCs/>
            <w:color w:val="000000"/>
          </w:rPr>
          <w:t>Cell reports</w:t>
        </w:r>
        <w:r w:rsidRPr="00680BCC">
          <w:rPr>
            <w:rStyle w:val="csl-entry"/>
            <w:rFonts w:ascii="Aptos" w:hAnsi="Aptos"/>
            <w:color w:val="000000"/>
          </w:rPr>
          <w:t>, 42(8), p. 112861. doi:10.1016/j.celrep.2023.112861.</w:t>
        </w:r>
      </w:hyperlink>
    </w:p>
    <w:p w14:paraId="7A0B1C59" w14:textId="77777777" w:rsidR="00680BCC" w:rsidRPr="00680BCC" w:rsidRDefault="00680BCC" w:rsidP="00680BCC">
      <w:pPr>
        <w:pStyle w:val="NormalWeb"/>
        <w:spacing w:afterLines="100" w:after="240"/>
        <w:rPr>
          <w:rFonts w:ascii="Aptos" w:hAnsi="Aptos"/>
          <w:color w:val="000000"/>
        </w:rPr>
      </w:pPr>
      <w:hyperlink r:id="rId66" w:history="1">
        <w:r w:rsidRPr="00680BCC">
          <w:rPr>
            <w:rStyle w:val="csl-entry"/>
            <w:rFonts w:ascii="Aptos" w:hAnsi="Aptos"/>
            <w:color w:val="000000"/>
          </w:rPr>
          <w:t xml:space="preserve">Dong, Q. </w:t>
        </w:r>
        <w:r w:rsidRPr="00680BCC">
          <w:rPr>
            <w:rStyle w:val="csl-entry"/>
            <w:rFonts w:ascii="Aptos" w:hAnsi="Aptos"/>
            <w:i/>
            <w:iCs/>
            <w:color w:val="000000"/>
          </w:rPr>
          <w:t>et al.</w:t>
        </w:r>
        <w:r w:rsidRPr="00680BCC">
          <w:rPr>
            <w:rStyle w:val="csl-entry"/>
            <w:rFonts w:ascii="Aptos" w:hAnsi="Aptos"/>
            <w:color w:val="000000"/>
          </w:rPr>
          <w:t xml:space="preserve"> (2023b) “Virulence and genomic diversity among clinical isolates of ST1 (BI/NAP1/027) Clostridioides difficile.,” </w:t>
        </w:r>
        <w:r w:rsidRPr="00680BCC">
          <w:rPr>
            <w:rStyle w:val="csl-entry"/>
            <w:rFonts w:ascii="Aptos" w:hAnsi="Aptos"/>
            <w:i/>
            <w:iCs/>
            <w:color w:val="000000"/>
          </w:rPr>
          <w:t>BioRxiv</w:t>
        </w:r>
        <w:r w:rsidRPr="00680BCC">
          <w:rPr>
            <w:rStyle w:val="csl-entry"/>
            <w:rFonts w:ascii="Aptos" w:hAnsi="Aptos"/>
            <w:color w:val="000000"/>
          </w:rPr>
          <w:t xml:space="preserve"> [Preprint]. doi:10.1101/2023.01.12.523823.</w:t>
        </w:r>
      </w:hyperlink>
    </w:p>
    <w:p w14:paraId="174B7294" w14:textId="77777777" w:rsidR="00680BCC" w:rsidRPr="00680BCC" w:rsidRDefault="00680BCC" w:rsidP="00680BCC">
      <w:pPr>
        <w:pStyle w:val="NormalWeb"/>
        <w:spacing w:afterLines="100" w:after="240"/>
        <w:rPr>
          <w:rFonts w:ascii="Aptos" w:hAnsi="Aptos"/>
          <w:color w:val="000000"/>
        </w:rPr>
      </w:pPr>
      <w:hyperlink r:id="rId67" w:history="1">
        <w:r w:rsidRPr="00680BCC">
          <w:rPr>
            <w:rStyle w:val="csl-entry"/>
            <w:rFonts w:ascii="Aptos" w:hAnsi="Aptos"/>
            <w:color w:val="000000"/>
          </w:rPr>
          <w:t xml:space="preserve">Dong, Q. </w:t>
        </w:r>
        <w:r w:rsidRPr="00680BCC">
          <w:rPr>
            <w:rStyle w:val="csl-entry"/>
            <w:rFonts w:ascii="Aptos" w:hAnsi="Aptos"/>
            <w:i/>
            <w:iCs/>
            <w:color w:val="000000"/>
          </w:rPr>
          <w:t>et al.</w:t>
        </w:r>
        <w:r w:rsidRPr="00680BCC">
          <w:rPr>
            <w:rStyle w:val="csl-entry"/>
            <w:rFonts w:ascii="Aptos" w:hAnsi="Aptos"/>
            <w:color w:val="000000"/>
          </w:rPr>
          <w:t xml:space="preserve"> (2025) “Protection against Clostridioides difficile disease by a naturally avirulent strain.,” </w:t>
        </w:r>
        <w:r w:rsidRPr="00680BCC">
          <w:rPr>
            <w:rStyle w:val="csl-entry"/>
            <w:rFonts w:ascii="Aptos" w:hAnsi="Aptos"/>
            <w:i/>
            <w:iCs/>
            <w:color w:val="000000"/>
          </w:rPr>
          <w:t>Cell Host &amp; Microbe</w:t>
        </w:r>
        <w:r w:rsidRPr="00680BCC">
          <w:rPr>
            <w:rStyle w:val="csl-entry"/>
            <w:rFonts w:ascii="Aptos" w:hAnsi="Aptos"/>
            <w:color w:val="000000"/>
          </w:rPr>
          <w:t>, 33(1), pp. 59-70.e4. doi:10.1016/j.chom.2024.11.003.</w:t>
        </w:r>
      </w:hyperlink>
    </w:p>
    <w:p w14:paraId="44774EFD" w14:textId="77777777" w:rsidR="00680BCC" w:rsidRPr="00680BCC" w:rsidRDefault="00680BCC" w:rsidP="00680BCC">
      <w:pPr>
        <w:pStyle w:val="NormalWeb"/>
        <w:spacing w:afterLines="100" w:after="240"/>
        <w:rPr>
          <w:rFonts w:ascii="Aptos" w:hAnsi="Aptos"/>
          <w:color w:val="000000"/>
        </w:rPr>
      </w:pPr>
      <w:hyperlink r:id="rId68" w:history="1">
        <w:r w:rsidRPr="00680BCC">
          <w:rPr>
            <w:rStyle w:val="csl-entry"/>
            <w:rFonts w:ascii="Aptos" w:hAnsi="Aptos"/>
            <w:color w:val="000000"/>
          </w:rPr>
          <w:t xml:space="preserve">Dubberke, E.R. and Olsen, M.A. (2012) “Burden of Clostridium difficile on the healthcare system.,” </w:t>
        </w:r>
        <w:r w:rsidRPr="00680BCC">
          <w:rPr>
            <w:rStyle w:val="csl-entry"/>
            <w:rFonts w:ascii="Aptos" w:hAnsi="Aptos"/>
            <w:i/>
            <w:iCs/>
            <w:color w:val="000000"/>
          </w:rPr>
          <w:t>Clinical Infectious Diseases</w:t>
        </w:r>
        <w:r w:rsidRPr="00680BCC">
          <w:rPr>
            <w:rStyle w:val="csl-entry"/>
            <w:rFonts w:ascii="Aptos" w:hAnsi="Aptos"/>
            <w:color w:val="000000"/>
          </w:rPr>
          <w:t>, 55 Suppl 2(Suppl 2), pp. S88-92. doi:10.1093/</w:t>
        </w:r>
        <w:proofErr w:type="spellStart"/>
        <w:r w:rsidRPr="00680BCC">
          <w:rPr>
            <w:rStyle w:val="csl-entry"/>
            <w:rFonts w:ascii="Aptos" w:hAnsi="Aptos"/>
            <w:color w:val="000000"/>
          </w:rPr>
          <w:t>cid</w:t>
        </w:r>
        <w:proofErr w:type="spellEnd"/>
        <w:r w:rsidRPr="00680BCC">
          <w:rPr>
            <w:rStyle w:val="csl-entry"/>
            <w:rFonts w:ascii="Aptos" w:hAnsi="Aptos"/>
            <w:color w:val="000000"/>
          </w:rPr>
          <w:t>/cis335.</w:t>
        </w:r>
      </w:hyperlink>
    </w:p>
    <w:p w14:paraId="301E14BB" w14:textId="77777777" w:rsidR="00680BCC" w:rsidRPr="00680BCC" w:rsidRDefault="00680BCC" w:rsidP="00680BCC">
      <w:pPr>
        <w:pStyle w:val="NormalWeb"/>
        <w:spacing w:afterLines="100" w:after="240"/>
        <w:rPr>
          <w:rFonts w:ascii="Aptos" w:hAnsi="Aptos"/>
          <w:color w:val="000000"/>
        </w:rPr>
      </w:pPr>
      <w:hyperlink r:id="rId69" w:history="1">
        <w:r w:rsidRPr="00680BCC">
          <w:rPr>
            <w:rStyle w:val="csl-entry"/>
            <w:rFonts w:ascii="Aptos" w:hAnsi="Aptos"/>
            <w:color w:val="000000"/>
          </w:rPr>
          <w:t xml:space="preserve">Gerding, D.N. </w:t>
        </w:r>
        <w:r w:rsidRPr="00680BCC">
          <w:rPr>
            <w:rStyle w:val="csl-entry"/>
            <w:rFonts w:ascii="Aptos" w:hAnsi="Aptos"/>
            <w:i/>
            <w:iCs/>
            <w:color w:val="000000"/>
          </w:rPr>
          <w:t>et al.</w:t>
        </w:r>
        <w:r w:rsidRPr="00680BCC">
          <w:rPr>
            <w:rStyle w:val="csl-entry"/>
            <w:rFonts w:ascii="Aptos" w:hAnsi="Aptos"/>
            <w:color w:val="000000"/>
          </w:rPr>
          <w:t xml:space="preserve"> (2015) “Administration of spores of nontoxigenic Clostridium difficile strain M3 for prevention of recurrent C. difficile infection: a randomized clinical trial.,” </w:t>
        </w:r>
        <w:r w:rsidRPr="00680BCC">
          <w:rPr>
            <w:rStyle w:val="csl-entry"/>
            <w:rFonts w:ascii="Aptos" w:hAnsi="Aptos"/>
            <w:i/>
            <w:iCs/>
            <w:color w:val="000000"/>
          </w:rPr>
          <w:t>The Journal of the American Medical Association</w:t>
        </w:r>
        <w:r w:rsidRPr="00680BCC">
          <w:rPr>
            <w:rStyle w:val="csl-entry"/>
            <w:rFonts w:ascii="Aptos" w:hAnsi="Aptos"/>
            <w:color w:val="000000"/>
          </w:rPr>
          <w:t>, 313(17), pp. 1719–1727. doi:10.1001/jama.2015.3725.</w:t>
        </w:r>
      </w:hyperlink>
    </w:p>
    <w:p w14:paraId="0D0E1517" w14:textId="77777777" w:rsidR="00680BCC" w:rsidRPr="00680BCC" w:rsidRDefault="00680BCC" w:rsidP="00680BCC">
      <w:pPr>
        <w:pStyle w:val="NormalWeb"/>
        <w:spacing w:afterLines="100" w:after="240"/>
        <w:rPr>
          <w:rFonts w:ascii="Aptos" w:hAnsi="Aptos"/>
          <w:color w:val="000000"/>
        </w:rPr>
      </w:pPr>
      <w:hyperlink r:id="rId70" w:history="1">
        <w:r w:rsidRPr="00680BCC">
          <w:rPr>
            <w:rStyle w:val="csl-entry"/>
            <w:rFonts w:ascii="Aptos" w:hAnsi="Aptos"/>
            <w:color w:val="000000"/>
          </w:rPr>
          <w:t xml:space="preserve">Jain, C. </w:t>
        </w:r>
        <w:r w:rsidRPr="00680BCC">
          <w:rPr>
            <w:rStyle w:val="csl-entry"/>
            <w:rFonts w:ascii="Aptos" w:hAnsi="Aptos"/>
            <w:i/>
            <w:iCs/>
            <w:color w:val="000000"/>
          </w:rPr>
          <w:t>et al.</w:t>
        </w:r>
        <w:r w:rsidRPr="00680BCC">
          <w:rPr>
            <w:rStyle w:val="csl-entry"/>
            <w:rFonts w:ascii="Aptos" w:hAnsi="Aptos"/>
            <w:color w:val="000000"/>
          </w:rPr>
          <w:t xml:space="preserve"> (2018) “High throughput ANI analysis of 90K prokaryotic genomes reveals clear species boundaries.,” </w:t>
        </w:r>
        <w:r w:rsidRPr="00680BCC">
          <w:rPr>
            <w:rStyle w:val="csl-entry"/>
            <w:rFonts w:ascii="Aptos" w:hAnsi="Aptos"/>
            <w:i/>
            <w:iCs/>
            <w:color w:val="000000"/>
          </w:rPr>
          <w:t>Nature Communications</w:t>
        </w:r>
        <w:r w:rsidRPr="00680BCC">
          <w:rPr>
            <w:rStyle w:val="csl-entry"/>
            <w:rFonts w:ascii="Aptos" w:hAnsi="Aptos"/>
            <w:color w:val="000000"/>
          </w:rPr>
          <w:t>, 9(1), p. 5114. doi:10.1038/s41467-018-07641-9.</w:t>
        </w:r>
      </w:hyperlink>
    </w:p>
    <w:p w14:paraId="704BCDF2" w14:textId="77777777" w:rsidR="00680BCC" w:rsidRPr="00680BCC" w:rsidRDefault="00680BCC" w:rsidP="00680BCC">
      <w:pPr>
        <w:pStyle w:val="NormalWeb"/>
        <w:spacing w:afterLines="100" w:after="240"/>
        <w:rPr>
          <w:rFonts w:ascii="Aptos" w:hAnsi="Aptos"/>
          <w:color w:val="000000"/>
        </w:rPr>
      </w:pPr>
      <w:hyperlink r:id="rId71" w:history="1">
        <w:r w:rsidRPr="00680BCC">
          <w:rPr>
            <w:rStyle w:val="csl-entry"/>
            <w:rFonts w:ascii="Aptos" w:hAnsi="Aptos"/>
            <w:color w:val="000000"/>
          </w:rPr>
          <w:t xml:space="preserve">Jump, R.L. (2013) “Clostridium difficile infection in older adults.,” </w:t>
        </w:r>
        <w:r w:rsidRPr="00680BCC">
          <w:rPr>
            <w:rStyle w:val="csl-entry"/>
            <w:rFonts w:ascii="Aptos" w:hAnsi="Aptos"/>
            <w:i/>
            <w:iCs/>
            <w:color w:val="000000"/>
          </w:rPr>
          <w:t>Aging Health</w:t>
        </w:r>
        <w:r w:rsidRPr="00680BCC">
          <w:rPr>
            <w:rStyle w:val="csl-entry"/>
            <w:rFonts w:ascii="Aptos" w:hAnsi="Aptos"/>
            <w:color w:val="000000"/>
          </w:rPr>
          <w:t>, 9(4), pp. 403–414. doi:10.2217/ahe.13.37.</w:t>
        </w:r>
      </w:hyperlink>
    </w:p>
    <w:p w14:paraId="2728BEC4" w14:textId="77777777" w:rsidR="00680BCC" w:rsidRPr="00680BCC" w:rsidRDefault="00680BCC" w:rsidP="00680BCC">
      <w:pPr>
        <w:pStyle w:val="NormalWeb"/>
        <w:spacing w:afterLines="100" w:after="240"/>
        <w:rPr>
          <w:rFonts w:ascii="Aptos" w:hAnsi="Aptos"/>
          <w:color w:val="000000"/>
        </w:rPr>
      </w:pPr>
      <w:hyperlink r:id="rId72" w:history="1">
        <w:r w:rsidRPr="00680BCC">
          <w:rPr>
            <w:rStyle w:val="csl-entry"/>
            <w:rFonts w:ascii="Aptos" w:hAnsi="Aptos"/>
            <w:color w:val="000000"/>
          </w:rPr>
          <w:t xml:space="preserve">Kelly, C.P. and LaMont, J.T. (2008) “Clostridium difficile--more difficult than ever.,” </w:t>
        </w:r>
        <w:r w:rsidRPr="00680BCC">
          <w:rPr>
            <w:rStyle w:val="csl-entry"/>
            <w:rFonts w:ascii="Aptos" w:hAnsi="Aptos"/>
            <w:i/>
            <w:iCs/>
            <w:color w:val="000000"/>
          </w:rPr>
          <w:t>The New England Journal of Medicine</w:t>
        </w:r>
        <w:r w:rsidRPr="00680BCC">
          <w:rPr>
            <w:rStyle w:val="csl-entry"/>
            <w:rFonts w:ascii="Aptos" w:hAnsi="Aptos"/>
            <w:color w:val="000000"/>
          </w:rPr>
          <w:t>, 359(18), pp. 1932–1940. doi:10.1056/NEJMra0707500.</w:t>
        </w:r>
      </w:hyperlink>
    </w:p>
    <w:p w14:paraId="612B36CC" w14:textId="77777777" w:rsidR="00680BCC" w:rsidRPr="00680BCC" w:rsidRDefault="00680BCC" w:rsidP="00680BCC">
      <w:pPr>
        <w:pStyle w:val="NormalWeb"/>
        <w:spacing w:afterLines="100" w:after="240"/>
        <w:rPr>
          <w:rFonts w:ascii="Aptos" w:hAnsi="Aptos"/>
          <w:color w:val="000000"/>
        </w:rPr>
      </w:pPr>
      <w:hyperlink r:id="rId73" w:history="1">
        <w:r w:rsidRPr="00680BCC">
          <w:rPr>
            <w:rStyle w:val="csl-entry"/>
            <w:rFonts w:ascii="Aptos" w:hAnsi="Aptos"/>
            <w:color w:val="000000"/>
          </w:rPr>
          <w:t xml:space="preserve">Khan, I. </w:t>
        </w:r>
        <w:r w:rsidRPr="00680BCC">
          <w:rPr>
            <w:rStyle w:val="csl-entry"/>
            <w:rFonts w:ascii="Aptos" w:hAnsi="Aptos"/>
            <w:i/>
            <w:iCs/>
            <w:color w:val="000000"/>
          </w:rPr>
          <w:t>et al.</w:t>
        </w:r>
        <w:r w:rsidRPr="00680BCC">
          <w:rPr>
            <w:rStyle w:val="csl-entry"/>
            <w:rFonts w:ascii="Aptos" w:hAnsi="Aptos"/>
            <w:color w:val="000000"/>
          </w:rPr>
          <w:t xml:space="preserve"> (2021) “Mechanism of the gut microbiota colonization resistance and enteric pathogen infection.,” </w:t>
        </w:r>
        <w:r w:rsidRPr="00680BCC">
          <w:rPr>
            <w:rStyle w:val="csl-entry"/>
            <w:rFonts w:ascii="Aptos" w:hAnsi="Aptos"/>
            <w:i/>
            <w:iCs/>
            <w:color w:val="000000"/>
          </w:rPr>
          <w:t>Frontiers in cellular and infection microbiology</w:t>
        </w:r>
        <w:r w:rsidRPr="00680BCC">
          <w:rPr>
            <w:rStyle w:val="csl-entry"/>
            <w:rFonts w:ascii="Aptos" w:hAnsi="Aptos"/>
            <w:color w:val="000000"/>
          </w:rPr>
          <w:t>, 11, p. 716299. doi:10.3389/fcimb.2021.716299.</w:t>
        </w:r>
      </w:hyperlink>
    </w:p>
    <w:p w14:paraId="51E228E5" w14:textId="77777777" w:rsidR="00680BCC" w:rsidRPr="00680BCC" w:rsidRDefault="00680BCC" w:rsidP="00680BCC">
      <w:pPr>
        <w:pStyle w:val="NormalWeb"/>
        <w:spacing w:afterLines="100" w:after="240"/>
        <w:rPr>
          <w:rFonts w:ascii="Aptos" w:hAnsi="Aptos"/>
          <w:color w:val="000000"/>
        </w:rPr>
      </w:pPr>
      <w:hyperlink r:id="rId74" w:history="1">
        <w:r w:rsidRPr="00680BCC">
          <w:rPr>
            <w:rStyle w:val="csl-entry"/>
            <w:rFonts w:ascii="Aptos" w:hAnsi="Aptos"/>
            <w:color w:val="000000"/>
          </w:rPr>
          <w:t xml:space="preserve">Leslie, J.L. </w:t>
        </w:r>
        <w:r w:rsidRPr="00680BCC">
          <w:rPr>
            <w:rStyle w:val="csl-entry"/>
            <w:rFonts w:ascii="Aptos" w:hAnsi="Aptos"/>
            <w:i/>
            <w:iCs/>
            <w:color w:val="000000"/>
          </w:rPr>
          <w:t>et al.</w:t>
        </w:r>
        <w:r w:rsidRPr="00680BCC">
          <w:rPr>
            <w:rStyle w:val="csl-entry"/>
            <w:rFonts w:ascii="Aptos" w:hAnsi="Aptos"/>
            <w:color w:val="000000"/>
          </w:rPr>
          <w:t xml:space="preserve"> (2021) “Protection from Lethal Clostridioides difficile Infection via Intraspecies Competition for </w:t>
        </w:r>
        <w:proofErr w:type="spellStart"/>
        <w:r w:rsidRPr="00680BCC">
          <w:rPr>
            <w:rStyle w:val="csl-entry"/>
            <w:rFonts w:ascii="Aptos" w:hAnsi="Aptos"/>
            <w:color w:val="000000"/>
          </w:rPr>
          <w:t>Cogerminant</w:t>
        </w:r>
        <w:proofErr w:type="spellEnd"/>
        <w:r w:rsidRPr="00680BCC">
          <w:rPr>
            <w:rStyle w:val="csl-entry"/>
            <w:rFonts w:ascii="Aptos" w:hAnsi="Aptos"/>
            <w:color w:val="000000"/>
          </w:rPr>
          <w:t xml:space="preserve">.,” </w:t>
        </w:r>
        <w:r w:rsidRPr="00680BCC">
          <w:rPr>
            <w:rStyle w:val="csl-entry"/>
            <w:rFonts w:ascii="Aptos" w:hAnsi="Aptos"/>
            <w:i/>
            <w:iCs/>
            <w:color w:val="000000"/>
          </w:rPr>
          <w:t>mBio</w:t>
        </w:r>
        <w:r w:rsidRPr="00680BCC">
          <w:rPr>
            <w:rStyle w:val="csl-entry"/>
            <w:rFonts w:ascii="Aptos" w:hAnsi="Aptos"/>
            <w:color w:val="000000"/>
          </w:rPr>
          <w:t>, 12(2). doi:10.1128/mBio.00522-21.</w:t>
        </w:r>
      </w:hyperlink>
    </w:p>
    <w:p w14:paraId="6C47AB89" w14:textId="77777777" w:rsidR="00680BCC" w:rsidRPr="00680BCC" w:rsidRDefault="00680BCC" w:rsidP="00680BCC">
      <w:pPr>
        <w:pStyle w:val="NormalWeb"/>
        <w:spacing w:afterLines="100" w:after="240"/>
        <w:rPr>
          <w:rFonts w:ascii="Aptos" w:hAnsi="Aptos"/>
          <w:color w:val="000000"/>
        </w:rPr>
      </w:pPr>
      <w:hyperlink r:id="rId75" w:history="1">
        <w:r w:rsidRPr="00680BCC">
          <w:rPr>
            <w:rStyle w:val="csl-entry"/>
            <w:rFonts w:ascii="Aptos" w:hAnsi="Aptos"/>
            <w:color w:val="000000"/>
          </w:rPr>
          <w:t xml:space="preserve">Lewis, B.B. </w:t>
        </w:r>
        <w:r w:rsidRPr="00680BCC">
          <w:rPr>
            <w:rStyle w:val="csl-entry"/>
            <w:rFonts w:ascii="Aptos" w:hAnsi="Aptos"/>
            <w:i/>
            <w:iCs/>
            <w:color w:val="000000"/>
          </w:rPr>
          <w:t>et al.</w:t>
        </w:r>
        <w:r w:rsidRPr="00680BCC">
          <w:rPr>
            <w:rStyle w:val="csl-entry"/>
            <w:rFonts w:ascii="Aptos" w:hAnsi="Aptos"/>
            <w:color w:val="000000"/>
          </w:rPr>
          <w:t xml:space="preserve"> (2017) “Pathogenicity Locus, Core Genome, and Accessory Gene Contributions to Clostridium difficile Virulence.,” </w:t>
        </w:r>
        <w:r w:rsidRPr="00680BCC">
          <w:rPr>
            <w:rStyle w:val="csl-entry"/>
            <w:rFonts w:ascii="Aptos" w:hAnsi="Aptos"/>
            <w:i/>
            <w:iCs/>
            <w:color w:val="000000"/>
          </w:rPr>
          <w:t>mBio</w:t>
        </w:r>
        <w:r w:rsidRPr="00680BCC">
          <w:rPr>
            <w:rStyle w:val="csl-entry"/>
            <w:rFonts w:ascii="Aptos" w:hAnsi="Aptos"/>
            <w:color w:val="000000"/>
          </w:rPr>
          <w:t>, 8(4). doi:10.1128/mBio.00885-17.</w:t>
        </w:r>
      </w:hyperlink>
    </w:p>
    <w:p w14:paraId="148C9883" w14:textId="77777777" w:rsidR="00680BCC" w:rsidRPr="00680BCC" w:rsidRDefault="00680BCC" w:rsidP="00680BCC">
      <w:pPr>
        <w:pStyle w:val="NormalWeb"/>
        <w:spacing w:afterLines="100" w:after="240"/>
        <w:rPr>
          <w:rFonts w:ascii="Aptos" w:hAnsi="Aptos"/>
          <w:color w:val="000000"/>
        </w:rPr>
      </w:pPr>
      <w:hyperlink r:id="rId76" w:history="1">
        <w:r w:rsidRPr="00680BCC">
          <w:rPr>
            <w:rStyle w:val="csl-entry"/>
            <w:rFonts w:ascii="Aptos" w:hAnsi="Aptos"/>
            <w:color w:val="000000"/>
          </w:rPr>
          <w:t xml:space="preserve">Liao, C. </w:t>
        </w:r>
        <w:r w:rsidRPr="00680BCC">
          <w:rPr>
            <w:rStyle w:val="csl-entry"/>
            <w:rFonts w:ascii="Aptos" w:hAnsi="Aptos"/>
            <w:i/>
            <w:iCs/>
            <w:color w:val="000000"/>
          </w:rPr>
          <w:t>et al.</w:t>
        </w:r>
        <w:r w:rsidRPr="00680BCC">
          <w:rPr>
            <w:rStyle w:val="csl-entry"/>
            <w:rFonts w:ascii="Aptos" w:hAnsi="Aptos"/>
            <w:color w:val="000000"/>
          </w:rPr>
          <w:t xml:space="preserve"> (2024) “Oral bacteria relative abundance in </w:t>
        </w:r>
        <w:proofErr w:type="spellStart"/>
        <w:r w:rsidRPr="00680BCC">
          <w:rPr>
            <w:rStyle w:val="csl-entry"/>
            <w:rFonts w:ascii="Aptos" w:hAnsi="Aptos"/>
            <w:color w:val="000000"/>
          </w:rPr>
          <w:t>faeces</w:t>
        </w:r>
        <w:proofErr w:type="spellEnd"/>
        <w:r w:rsidRPr="00680BCC">
          <w:rPr>
            <w:rStyle w:val="csl-entry"/>
            <w:rFonts w:ascii="Aptos" w:hAnsi="Aptos"/>
            <w:color w:val="000000"/>
          </w:rPr>
          <w:t xml:space="preserve"> increases due to gut microbiota depletion and is linked with patient outcomes.,” </w:t>
        </w:r>
        <w:r w:rsidRPr="00680BCC">
          <w:rPr>
            <w:rStyle w:val="csl-entry"/>
            <w:rFonts w:ascii="Aptos" w:hAnsi="Aptos"/>
            <w:i/>
            <w:iCs/>
            <w:color w:val="000000"/>
          </w:rPr>
          <w:t>Nature Microbiology</w:t>
        </w:r>
        <w:r w:rsidRPr="00680BCC">
          <w:rPr>
            <w:rStyle w:val="csl-entry"/>
            <w:rFonts w:ascii="Aptos" w:hAnsi="Aptos"/>
            <w:color w:val="000000"/>
          </w:rPr>
          <w:t>, 9(6), pp. 1555–1565. doi:10.1038/s41564-024-01680-3.</w:t>
        </w:r>
      </w:hyperlink>
    </w:p>
    <w:p w14:paraId="70C3A916" w14:textId="77777777" w:rsidR="00680BCC" w:rsidRPr="00680BCC" w:rsidRDefault="00680BCC" w:rsidP="00680BCC">
      <w:pPr>
        <w:pStyle w:val="NormalWeb"/>
        <w:spacing w:afterLines="100" w:after="240"/>
        <w:rPr>
          <w:rFonts w:ascii="Aptos" w:hAnsi="Aptos"/>
          <w:color w:val="000000"/>
        </w:rPr>
      </w:pPr>
      <w:hyperlink r:id="rId77" w:history="1">
        <w:r w:rsidRPr="00680BCC">
          <w:rPr>
            <w:rStyle w:val="csl-entry"/>
            <w:rFonts w:ascii="Aptos" w:hAnsi="Aptos"/>
            <w:color w:val="000000"/>
          </w:rPr>
          <w:t xml:space="preserve">Liubakka, A. and Vaughn, B.P. (2016) “Clostridium difficile Infection and Fecal Microbiota Transplant.,” </w:t>
        </w:r>
        <w:r w:rsidRPr="00680BCC">
          <w:rPr>
            <w:rStyle w:val="csl-entry"/>
            <w:rFonts w:ascii="Aptos" w:hAnsi="Aptos"/>
            <w:i/>
            <w:iCs/>
            <w:color w:val="000000"/>
          </w:rPr>
          <w:t>AACN Advanced Critical Care</w:t>
        </w:r>
        <w:r w:rsidRPr="00680BCC">
          <w:rPr>
            <w:rStyle w:val="csl-entry"/>
            <w:rFonts w:ascii="Aptos" w:hAnsi="Aptos"/>
            <w:color w:val="000000"/>
          </w:rPr>
          <w:t>, 27(3), pp. 324–337. doi:10.4037/aacnacc2016703.</w:t>
        </w:r>
      </w:hyperlink>
    </w:p>
    <w:p w14:paraId="1D3AA67B" w14:textId="77777777" w:rsidR="00680BCC" w:rsidRPr="00680BCC" w:rsidRDefault="00680BCC" w:rsidP="00680BCC">
      <w:pPr>
        <w:pStyle w:val="NormalWeb"/>
        <w:spacing w:afterLines="100" w:after="240"/>
        <w:rPr>
          <w:rFonts w:ascii="Aptos" w:hAnsi="Aptos"/>
          <w:color w:val="000000"/>
        </w:rPr>
      </w:pPr>
      <w:hyperlink r:id="rId78" w:history="1">
        <w:r w:rsidRPr="00680BCC">
          <w:rPr>
            <w:rStyle w:val="csl-entry"/>
            <w:rFonts w:ascii="Aptos" w:hAnsi="Aptos"/>
            <w:color w:val="000000"/>
          </w:rPr>
          <w:t xml:space="preserve">McDonald, L.C. </w:t>
        </w:r>
        <w:r w:rsidRPr="00680BCC">
          <w:rPr>
            <w:rStyle w:val="csl-entry"/>
            <w:rFonts w:ascii="Aptos" w:hAnsi="Aptos"/>
            <w:i/>
            <w:iCs/>
            <w:color w:val="000000"/>
          </w:rPr>
          <w:t>et al.</w:t>
        </w:r>
        <w:r w:rsidRPr="00680BCC">
          <w:rPr>
            <w:rStyle w:val="csl-entry"/>
            <w:rFonts w:ascii="Aptos" w:hAnsi="Aptos"/>
            <w:color w:val="000000"/>
          </w:rPr>
          <w:t xml:space="preserve"> (2018) “Clinical Practice Guidelines for Clostridium difficile Infection in Adults and Children: 2017 Update by the Infectious Diseases Society of America (IDSA) and Society for Healthcare Epidemiology of America (SHEA).,” </w:t>
        </w:r>
        <w:r w:rsidRPr="00680BCC">
          <w:rPr>
            <w:rStyle w:val="csl-entry"/>
            <w:rFonts w:ascii="Aptos" w:hAnsi="Aptos"/>
            <w:i/>
            <w:iCs/>
            <w:color w:val="000000"/>
          </w:rPr>
          <w:t>Clinical Infectious Diseases</w:t>
        </w:r>
        <w:r w:rsidRPr="00680BCC">
          <w:rPr>
            <w:rStyle w:val="csl-entry"/>
            <w:rFonts w:ascii="Aptos" w:hAnsi="Aptos"/>
            <w:color w:val="000000"/>
          </w:rPr>
          <w:t>, 66(7), pp. e1–e48. doi:10.1093/</w:t>
        </w:r>
        <w:proofErr w:type="spellStart"/>
        <w:r w:rsidRPr="00680BCC">
          <w:rPr>
            <w:rStyle w:val="csl-entry"/>
            <w:rFonts w:ascii="Aptos" w:hAnsi="Aptos"/>
            <w:color w:val="000000"/>
          </w:rPr>
          <w:t>cid</w:t>
        </w:r>
        <w:proofErr w:type="spellEnd"/>
        <w:r w:rsidRPr="00680BCC">
          <w:rPr>
            <w:rStyle w:val="csl-entry"/>
            <w:rFonts w:ascii="Aptos" w:hAnsi="Aptos"/>
            <w:color w:val="000000"/>
          </w:rPr>
          <w:t>/cix1085.</w:t>
        </w:r>
      </w:hyperlink>
    </w:p>
    <w:p w14:paraId="6E118F54" w14:textId="77777777" w:rsidR="00680BCC" w:rsidRPr="00680BCC" w:rsidRDefault="00680BCC" w:rsidP="00680BCC">
      <w:pPr>
        <w:pStyle w:val="NormalWeb"/>
        <w:spacing w:afterLines="100" w:after="240"/>
        <w:rPr>
          <w:rFonts w:ascii="Aptos" w:hAnsi="Aptos"/>
          <w:color w:val="000000"/>
        </w:rPr>
      </w:pPr>
      <w:hyperlink r:id="rId79" w:history="1">
        <w:r w:rsidRPr="00680BCC">
          <w:rPr>
            <w:rStyle w:val="csl-entry"/>
            <w:rFonts w:ascii="Aptos" w:hAnsi="Aptos"/>
            <w:color w:val="000000"/>
          </w:rPr>
          <w:t xml:space="preserve">Merrigan, M.M. </w:t>
        </w:r>
        <w:r w:rsidRPr="00680BCC">
          <w:rPr>
            <w:rStyle w:val="csl-entry"/>
            <w:rFonts w:ascii="Aptos" w:hAnsi="Aptos"/>
            <w:i/>
            <w:iCs/>
            <w:color w:val="000000"/>
          </w:rPr>
          <w:t>et al.</w:t>
        </w:r>
        <w:r w:rsidRPr="00680BCC">
          <w:rPr>
            <w:rStyle w:val="csl-entry"/>
            <w:rFonts w:ascii="Aptos" w:hAnsi="Aptos"/>
            <w:color w:val="000000"/>
          </w:rPr>
          <w:t xml:space="preserve"> (2003) “Prevention of fatal Clostridium difficile-associated disease during continuous administration of clindamycin in hamsters.,” </w:t>
        </w:r>
        <w:r w:rsidRPr="00680BCC">
          <w:rPr>
            <w:rStyle w:val="csl-entry"/>
            <w:rFonts w:ascii="Aptos" w:hAnsi="Aptos"/>
            <w:i/>
            <w:iCs/>
            <w:color w:val="000000"/>
          </w:rPr>
          <w:t>The Journal of Infectious Diseases</w:t>
        </w:r>
        <w:r w:rsidRPr="00680BCC">
          <w:rPr>
            <w:rStyle w:val="csl-entry"/>
            <w:rFonts w:ascii="Aptos" w:hAnsi="Aptos"/>
            <w:color w:val="000000"/>
          </w:rPr>
          <w:t>, 188(12), pp. 1922–1927. doi:10.1086/379836.</w:t>
        </w:r>
      </w:hyperlink>
    </w:p>
    <w:p w14:paraId="32B470C5" w14:textId="77777777" w:rsidR="00680BCC" w:rsidRPr="00680BCC" w:rsidRDefault="00680BCC" w:rsidP="00680BCC">
      <w:pPr>
        <w:pStyle w:val="NormalWeb"/>
        <w:spacing w:afterLines="100" w:after="240"/>
        <w:rPr>
          <w:rFonts w:ascii="Aptos" w:hAnsi="Aptos"/>
          <w:color w:val="000000"/>
        </w:rPr>
      </w:pPr>
      <w:hyperlink r:id="rId80" w:history="1">
        <w:r w:rsidRPr="00680BCC">
          <w:rPr>
            <w:rStyle w:val="csl-entry"/>
            <w:rFonts w:ascii="Aptos" w:hAnsi="Aptos"/>
            <w:color w:val="000000"/>
          </w:rPr>
          <w:t xml:space="preserve">Miles-Jay, A. </w:t>
        </w:r>
        <w:r w:rsidRPr="00680BCC">
          <w:rPr>
            <w:rStyle w:val="csl-entry"/>
            <w:rFonts w:ascii="Aptos" w:hAnsi="Aptos"/>
            <w:i/>
            <w:iCs/>
            <w:color w:val="000000"/>
          </w:rPr>
          <w:t>et al.</w:t>
        </w:r>
        <w:r w:rsidRPr="00680BCC">
          <w:rPr>
            <w:rStyle w:val="csl-entry"/>
            <w:rFonts w:ascii="Aptos" w:hAnsi="Aptos"/>
            <w:color w:val="000000"/>
          </w:rPr>
          <w:t xml:space="preserve"> (2021) “A multisite genomic epidemiology study of Clostridioides difficile infections in the USA supports differential roles of healthcare versus community spread for two common strains.,” </w:t>
        </w:r>
        <w:r w:rsidRPr="00680BCC">
          <w:rPr>
            <w:rStyle w:val="csl-entry"/>
            <w:rFonts w:ascii="Aptos" w:hAnsi="Aptos"/>
            <w:i/>
            <w:iCs/>
            <w:color w:val="000000"/>
          </w:rPr>
          <w:t>Microbial genomics</w:t>
        </w:r>
        <w:r w:rsidRPr="00680BCC">
          <w:rPr>
            <w:rStyle w:val="csl-entry"/>
            <w:rFonts w:ascii="Aptos" w:hAnsi="Aptos"/>
            <w:color w:val="000000"/>
          </w:rPr>
          <w:t>, 7(6). doi:10.1099/mgen.0.000590.</w:t>
        </w:r>
      </w:hyperlink>
    </w:p>
    <w:p w14:paraId="4F56F495" w14:textId="77777777" w:rsidR="00680BCC" w:rsidRPr="00680BCC" w:rsidRDefault="00680BCC" w:rsidP="00680BCC">
      <w:pPr>
        <w:pStyle w:val="NormalWeb"/>
        <w:spacing w:afterLines="100" w:after="240"/>
        <w:rPr>
          <w:rFonts w:ascii="Aptos" w:hAnsi="Aptos"/>
          <w:color w:val="000000"/>
        </w:rPr>
      </w:pPr>
      <w:hyperlink r:id="rId81" w:history="1">
        <w:proofErr w:type="spellStart"/>
        <w:r w:rsidRPr="00680BCC">
          <w:rPr>
            <w:rStyle w:val="csl-entry"/>
            <w:rFonts w:ascii="Aptos" w:hAnsi="Aptos"/>
            <w:color w:val="000000"/>
          </w:rPr>
          <w:t>Mombaerts</w:t>
        </w:r>
        <w:proofErr w:type="spellEnd"/>
        <w:r w:rsidRPr="00680BCC">
          <w:rPr>
            <w:rStyle w:val="csl-entry"/>
            <w:rFonts w:ascii="Aptos" w:hAnsi="Aptos"/>
            <w:color w:val="000000"/>
          </w:rPr>
          <w:t xml:space="preserve">, P. </w:t>
        </w:r>
        <w:r w:rsidRPr="00680BCC">
          <w:rPr>
            <w:rStyle w:val="csl-entry"/>
            <w:rFonts w:ascii="Aptos" w:hAnsi="Aptos"/>
            <w:i/>
            <w:iCs/>
            <w:color w:val="000000"/>
          </w:rPr>
          <w:t>et al.</w:t>
        </w:r>
        <w:r w:rsidRPr="00680BCC">
          <w:rPr>
            <w:rStyle w:val="csl-entry"/>
            <w:rFonts w:ascii="Aptos" w:hAnsi="Aptos"/>
            <w:color w:val="000000"/>
          </w:rPr>
          <w:t xml:space="preserve"> (1992) “RAG-1-deficient mice have no mature B and T lymphocytes.,” </w:t>
        </w:r>
        <w:r w:rsidRPr="00680BCC">
          <w:rPr>
            <w:rStyle w:val="csl-entry"/>
            <w:rFonts w:ascii="Aptos" w:hAnsi="Aptos"/>
            <w:i/>
            <w:iCs/>
            <w:color w:val="000000"/>
          </w:rPr>
          <w:t>Cell</w:t>
        </w:r>
        <w:r w:rsidRPr="00680BCC">
          <w:rPr>
            <w:rStyle w:val="csl-entry"/>
            <w:rFonts w:ascii="Aptos" w:hAnsi="Aptos"/>
            <w:color w:val="000000"/>
          </w:rPr>
          <w:t>, 68(5), pp. 869–877. doi:10.1016/0092-8674(92)90030-g.</w:t>
        </w:r>
      </w:hyperlink>
    </w:p>
    <w:p w14:paraId="55F1C8C0" w14:textId="77777777" w:rsidR="00680BCC" w:rsidRPr="00680BCC" w:rsidRDefault="00680BCC" w:rsidP="00680BCC">
      <w:pPr>
        <w:pStyle w:val="NormalWeb"/>
        <w:spacing w:afterLines="100" w:after="240"/>
        <w:rPr>
          <w:rFonts w:ascii="Aptos" w:hAnsi="Aptos"/>
          <w:color w:val="000000"/>
        </w:rPr>
      </w:pPr>
      <w:hyperlink r:id="rId82" w:history="1">
        <w:r w:rsidRPr="00680BCC">
          <w:rPr>
            <w:rStyle w:val="csl-entry"/>
            <w:rFonts w:ascii="Aptos" w:hAnsi="Aptos"/>
            <w:color w:val="000000"/>
          </w:rPr>
          <w:t xml:space="preserve">Nhu, N.T.Q. </w:t>
        </w:r>
        <w:r w:rsidRPr="00680BCC">
          <w:rPr>
            <w:rStyle w:val="csl-entry"/>
            <w:rFonts w:ascii="Aptos" w:hAnsi="Aptos"/>
            <w:i/>
            <w:iCs/>
            <w:color w:val="000000"/>
          </w:rPr>
          <w:t>et al.</w:t>
        </w:r>
        <w:r w:rsidRPr="00680BCC">
          <w:rPr>
            <w:rStyle w:val="csl-entry"/>
            <w:rFonts w:ascii="Aptos" w:hAnsi="Aptos"/>
            <w:color w:val="000000"/>
          </w:rPr>
          <w:t xml:space="preserve"> (2025) “Flagellar switch inverted repeats impact heterogeneity in flagellar gene expression and thus C. difficile RT027/MLST1 virulence.,” </w:t>
        </w:r>
        <w:r w:rsidRPr="00680BCC">
          <w:rPr>
            <w:rStyle w:val="csl-entry"/>
            <w:rFonts w:ascii="Aptos" w:hAnsi="Aptos"/>
            <w:i/>
            <w:iCs/>
            <w:color w:val="000000"/>
          </w:rPr>
          <w:t>Cell reports</w:t>
        </w:r>
        <w:r w:rsidRPr="00680BCC">
          <w:rPr>
            <w:rStyle w:val="csl-entry"/>
            <w:rFonts w:ascii="Aptos" w:hAnsi="Aptos"/>
            <w:color w:val="000000"/>
          </w:rPr>
          <w:t>, 44(6), p. 115830. doi:10.1016/j.celrep.2025.115830.</w:t>
        </w:r>
      </w:hyperlink>
    </w:p>
    <w:p w14:paraId="37AF58AC" w14:textId="77777777" w:rsidR="00680BCC" w:rsidRPr="00680BCC" w:rsidRDefault="00680BCC" w:rsidP="00680BCC">
      <w:pPr>
        <w:pStyle w:val="NormalWeb"/>
        <w:spacing w:afterLines="100" w:after="240"/>
        <w:rPr>
          <w:rFonts w:ascii="Aptos" w:hAnsi="Aptos"/>
          <w:color w:val="000000"/>
        </w:rPr>
      </w:pPr>
      <w:hyperlink r:id="rId83" w:history="1">
        <w:r w:rsidRPr="00680BCC">
          <w:rPr>
            <w:rStyle w:val="csl-entry"/>
            <w:rFonts w:ascii="Aptos" w:hAnsi="Aptos"/>
            <w:color w:val="000000"/>
          </w:rPr>
          <w:t xml:space="preserve">van Nood, E. </w:t>
        </w:r>
        <w:r w:rsidRPr="00680BCC">
          <w:rPr>
            <w:rStyle w:val="csl-entry"/>
            <w:rFonts w:ascii="Aptos" w:hAnsi="Aptos"/>
            <w:i/>
            <w:iCs/>
            <w:color w:val="000000"/>
          </w:rPr>
          <w:t>et al.</w:t>
        </w:r>
        <w:r w:rsidRPr="00680BCC">
          <w:rPr>
            <w:rStyle w:val="csl-entry"/>
            <w:rFonts w:ascii="Aptos" w:hAnsi="Aptos"/>
            <w:color w:val="000000"/>
          </w:rPr>
          <w:t xml:space="preserve"> (2013) “Duodenal infusion of donor feces for recurrent Clostridium difficile.,” </w:t>
        </w:r>
        <w:r w:rsidRPr="00680BCC">
          <w:rPr>
            <w:rStyle w:val="csl-entry"/>
            <w:rFonts w:ascii="Aptos" w:hAnsi="Aptos"/>
            <w:i/>
            <w:iCs/>
            <w:color w:val="000000"/>
          </w:rPr>
          <w:t>The New England Journal of Medicine</w:t>
        </w:r>
        <w:r w:rsidRPr="00680BCC">
          <w:rPr>
            <w:rStyle w:val="csl-entry"/>
            <w:rFonts w:ascii="Aptos" w:hAnsi="Aptos"/>
            <w:color w:val="000000"/>
          </w:rPr>
          <w:t>, 368(5), pp. 407–415. doi:10.1056/NEJMoa1205037.</w:t>
        </w:r>
      </w:hyperlink>
    </w:p>
    <w:p w14:paraId="5CE9A00A" w14:textId="77777777" w:rsidR="00680BCC" w:rsidRPr="00680BCC" w:rsidRDefault="00680BCC" w:rsidP="00680BCC">
      <w:pPr>
        <w:pStyle w:val="NormalWeb"/>
        <w:spacing w:afterLines="100" w:after="240"/>
        <w:rPr>
          <w:rFonts w:ascii="Aptos" w:hAnsi="Aptos"/>
          <w:color w:val="000000"/>
        </w:rPr>
      </w:pPr>
      <w:hyperlink r:id="rId84" w:history="1">
        <w:r w:rsidRPr="00680BCC">
          <w:rPr>
            <w:rStyle w:val="csl-entry"/>
            <w:rFonts w:ascii="Aptos" w:hAnsi="Aptos"/>
            <w:color w:val="000000"/>
          </w:rPr>
          <w:t xml:space="preserve">Norsigian, C.J. </w:t>
        </w:r>
        <w:r w:rsidRPr="00680BCC">
          <w:rPr>
            <w:rStyle w:val="csl-entry"/>
            <w:rFonts w:ascii="Aptos" w:hAnsi="Aptos"/>
            <w:i/>
            <w:iCs/>
            <w:color w:val="000000"/>
          </w:rPr>
          <w:t>et al.</w:t>
        </w:r>
        <w:r w:rsidRPr="00680BCC">
          <w:rPr>
            <w:rStyle w:val="csl-entry"/>
            <w:rFonts w:ascii="Aptos" w:hAnsi="Aptos"/>
            <w:color w:val="000000"/>
          </w:rPr>
          <w:t xml:space="preserve"> (2022) “Systems biology approach to functionally assess the Clostridioides difficile pangenome reveals genetic diversity with discriminatory power.,” </w:t>
        </w:r>
        <w:r w:rsidRPr="00680BCC">
          <w:rPr>
            <w:rStyle w:val="csl-entry"/>
            <w:rFonts w:ascii="Aptos" w:hAnsi="Aptos"/>
            <w:i/>
            <w:iCs/>
            <w:color w:val="000000"/>
          </w:rPr>
          <w:t>Proceedings of the National Academy of Sciences of the United States of America</w:t>
        </w:r>
        <w:r w:rsidRPr="00680BCC">
          <w:rPr>
            <w:rStyle w:val="csl-entry"/>
            <w:rFonts w:ascii="Aptos" w:hAnsi="Aptos"/>
            <w:color w:val="000000"/>
          </w:rPr>
          <w:t>, 119(18), p. e2119396119. doi:10.1073/pnas.2119396119.</w:t>
        </w:r>
      </w:hyperlink>
    </w:p>
    <w:p w14:paraId="09AD8C82" w14:textId="77777777" w:rsidR="00680BCC" w:rsidRPr="00680BCC" w:rsidRDefault="00680BCC" w:rsidP="00680BCC">
      <w:pPr>
        <w:pStyle w:val="NormalWeb"/>
        <w:spacing w:afterLines="100" w:after="240"/>
        <w:rPr>
          <w:rFonts w:ascii="Aptos" w:hAnsi="Aptos"/>
          <w:color w:val="000000"/>
        </w:rPr>
      </w:pPr>
      <w:hyperlink r:id="rId85" w:history="1">
        <w:r w:rsidRPr="00680BCC">
          <w:rPr>
            <w:rStyle w:val="csl-entry"/>
            <w:rFonts w:ascii="Aptos" w:hAnsi="Aptos"/>
            <w:color w:val="000000"/>
          </w:rPr>
          <w:t xml:space="preserve">Page, A.J. </w:t>
        </w:r>
        <w:r w:rsidRPr="00680BCC">
          <w:rPr>
            <w:rStyle w:val="csl-entry"/>
            <w:rFonts w:ascii="Aptos" w:hAnsi="Aptos"/>
            <w:i/>
            <w:iCs/>
            <w:color w:val="000000"/>
          </w:rPr>
          <w:t>et al.</w:t>
        </w:r>
        <w:r w:rsidRPr="00680BCC">
          <w:rPr>
            <w:rStyle w:val="csl-entry"/>
            <w:rFonts w:ascii="Aptos" w:hAnsi="Aptos"/>
            <w:color w:val="000000"/>
          </w:rPr>
          <w:t xml:space="preserve"> (2015) “Roary: rapid large-scale prokaryote </w:t>
        </w:r>
        <w:proofErr w:type="gramStart"/>
        <w:r w:rsidRPr="00680BCC">
          <w:rPr>
            <w:rStyle w:val="csl-entry"/>
            <w:rFonts w:ascii="Aptos" w:hAnsi="Aptos"/>
            <w:color w:val="000000"/>
          </w:rPr>
          <w:t>pan</w:t>
        </w:r>
        <w:proofErr w:type="gramEnd"/>
        <w:r w:rsidRPr="00680BCC">
          <w:rPr>
            <w:rStyle w:val="csl-entry"/>
            <w:rFonts w:ascii="Aptos" w:hAnsi="Aptos"/>
            <w:color w:val="000000"/>
          </w:rPr>
          <w:t xml:space="preserve"> genome analysis.,” </w:t>
        </w:r>
        <w:r w:rsidRPr="00680BCC">
          <w:rPr>
            <w:rStyle w:val="csl-entry"/>
            <w:rFonts w:ascii="Aptos" w:hAnsi="Aptos"/>
            <w:i/>
            <w:iCs/>
            <w:color w:val="000000"/>
          </w:rPr>
          <w:t>Bioinformatics</w:t>
        </w:r>
        <w:r w:rsidRPr="00680BCC">
          <w:rPr>
            <w:rStyle w:val="csl-entry"/>
            <w:rFonts w:ascii="Aptos" w:hAnsi="Aptos"/>
            <w:color w:val="000000"/>
          </w:rPr>
          <w:t>, 31(22), pp. 3691–3693. doi:10.1093/bioinformatics/btv421.</w:t>
        </w:r>
      </w:hyperlink>
    </w:p>
    <w:p w14:paraId="61F407C7" w14:textId="77777777" w:rsidR="00680BCC" w:rsidRPr="00680BCC" w:rsidRDefault="00680BCC" w:rsidP="00680BCC">
      <w:pPr>
        <w:pStyle w:val="NormalWeb"/>
        <w:spacing w:afterLines="100" w:after="240"/>
        <w:rPr>
          <w:rFonts w:ascii="Aptos" w:hAnsi="Aptos"/>
          <w:color w:val="000000"/>
        </w:rPr>
      </w:pPr>
      <w:hyperlink r:id="rId86" w:history="1">
        <w:r w:rsidRPr="00680BCC">
          <w:rPr>
            <w:rStyle w:val="csl-entry"/>
            <w:rFonts w:ascii="Aptos" w:hAnsi="Aptos"/>
            <w:color w:val="000000"/>
          </w:rPr>
          <w:t xml:space="preserve">Rao, K. </w:t>
        </w:r>
        <w:r w:rsidRPr="00680BCC">
          <w:rPr>
            <w:rStyle w:val="csl-entry"/>
            <w:rFonts w:ascii="Aptos" w:hAnsi="Aptos"/>
            <w:i/>
            <w:iCs/>
            <w:color w:val="000000"/>
          </w:rPr>
          <w:t>et al.</w:t>
        </w:r>
        <w:r w:rsidRPr="00680BCC">
          <w:rPr>
            <w:rStyle w:val="csl-entry"/>
            <w:rFonts w:ascii="Aptos" w:hAnsi="Aptos"/>
            <w:color w:val="000000"/>
          </w:rPr>
          <w:t xml:space="preserve"> (2015) “Clostridium difficile </w:t>
        </w:r>
        <w:proofErr w:type="spellStart"/>
        <w:r w:rsidRPr="00680BCC">
          <w:rPr>
            <w:rStyle w:val="csl-entry"/>
            <w:rFonts w:ascii="Aptos" w:hAnsi="Aptos"/>
            <w:color w:val="000000"/>
          </w:rPr>
          <w:t>ribotype</w:t>
        </w:r>
        <w:proofErr w:type="spellEnd"/>
        <w:r w:rsidRPr="00680BCC">
          <w:rPr>
            <w:rStyle w:val="csl-entry"/>
            <w:rFonts w:ascii="Aptos" w:hAnsi="Aptos"/>
            <w:color w:val="000000"/>
          </w:rPr>
          <w:t xml:space="preserve"> 027: relationship to age, detectability of toxins A or B in stool with rapid testing, severe infection, and mortality.,” </w:t>
        </w:r>
        <w:r w:rsidRPr="00680BCC">
          <w:rPr>
            <w:rStyle w:val="csl-entry"/>
            <w:rFonts w:ascii="Aptos" w:hAnsi="Aptos"/>
            <w:i/>
            <w:iCs/>
            <w:color w:val="000000"/>
          </w:rPr>
          <w:t>Clinical Infectious Diseases</w:t>
        </w:r>
        <w:r w:rsidRPr="00680BCC">
          <w:rPr>
            <w:rStyle w:val="csl-entry"/>
            <w:rFonts w:ascii="Aptos" w:hAnsi="Aptos"/>
            <w:color w:val="000000"/>
          </w:rPr>
          <w:t>, 61(2), pp. 233–241. doi:10.1093/</w:t>
        </w:r>
        <w:proofErr w:type="spellStart"/>
        <w:r w:rsidRPr="00680BCC">
          <w:rPr>
            <w:rStyle w:val="csl-entry"/>
            <w:rFonts w:ascii="Aptos" w:hAnsi="Aptos"/>
            <w:color w:val="000000"/>
          </w:rPr>
          <w:t>cid</w:t>
        </w:r>
        <w:proofErr w:type="spellEnd"/>
        <w:r w:rsidRPr="00680BCC">
          <w:rPr>
            <w:rStyle w:val="csl-entry"/>
            <w:rFonts w:ascii="Aptos" w:hAnsi="Aptos"/>
            <w:color w:val="000000"/>
          </w:rPr>
          <w:t>/civ254.</w:t>
        </w:r>
      </w:hyperlink>
    </w:p>
    <w:p w14:paraId="69DB521B" w14:textId="77777777" w:rsidR="00680BCC" w:rsidRPr="00680BCC" w:rsidRDefault="00680BCC" w:rsidP="00680BCC">
      <w:pPr>
        <w:pStyle w:val="NormalWeb"/>
        <w:spacing w:afterLines="100" w:after="240"/>
        <w:rPr>
          <w:rFonts w:ascii="Aptos" w:hAnsi="Aptos"/>
          <w:color w:val="000000"/>
        </w:rPr>
      </w:pPr>
      <w:hyperlink r:id="rId87" w:history="1">
        <w:r w:rsidRPr="00680BCC">
          <w:rPr>
            <w:rStyle w:val="csl-entry"/>
            <w:rFonts w:ascii="Aptos" w:hAnsi="Aptos"/>
            <w:color w:val="000000"/>
          </w:rPr>
          <w:t xml:space="preserve">Revolinski, S.L. and Munoz-Price, L.S. (2019) “Clostridium difficile in Immunocompromised Hosts: A Review of Epidemiology, Risk Factors, Treatment, and Prevention.,” </w:t>
        </w:r>
        <w:r w:rsidRPr="00680BCC">
          <w:rPr>
            <w:rStyle w:val="csl-entry"/>
            <w:rFonts w:ascii="Aptos" w:hAnsi="Aptos"/>
            <w:i/>
            <w:iCs/>
            <w:color w:val="000000"/>
          </w:rPr>
          <w:t>Clinical Infectious Diseases</w:t>
        </w:r>
        <w:r w:rsidRPr="00680BCC">
          <w:rPr>
            <w:rStyle w:val="csl-entry"/>
            <w:rFonts w:ascii="Aptos" w:hAnsi="Aptos"/>
            <w:color w:val="000000"/>
          </w:rPr>
          <w:t>, 68(12), pp. 2144–2153. doi:10.1093/</w:t>
        </w:r>
        <w:proofErr w:type="spellStart"/>
        <w:r w:rsidRPr="00680BCC">
          <w:rPr>
            <w:rStyle w:val="csl-entry"/>
            <w:rFonts w:ascii="Aptos" w:hAnsi="Aptos"/>
            <w:color w:val="000000"/>
          </w:rPr>
          <w:t>cid</w:t>
        </w:r>
        <w:proofErr w:type="spellEnd"/>
        <w:r w:rsidRPr="00680BCC">
          <w:rPr>
            <w:rStyle w:val="csl-entry"/>
            <w:rFonts w:ascii="Aptos" w:hAnsi="Aptos"/>
            <w:color w:val="000000"/>
          </w:rPr>
          <w:t>/ciy845.</w:t>
        </w:r>
      </w:hyperlink>
    </w:p>
    <w:p w14:paraId="1DE9B678" w14:textId="77777777" w:rsidR="00680BCC" w:rsidRPr="00680BCC" w:rsidRDefault="00680BCC" w:rsidP="00680BCC">
      <w:pPr>
        <w:pStyle w:val="NormalWeb"/>
        <w:spacing w:afterLines="100" w:after="240"/>
        <w:rPr>
          <w:rFonts w:ascii="Aptos" w:hAnsi="Aptos"/>
          <w:color w:val="000000"/>
        </w:rPr>
      </w:pPr>
      <w:hyperlink r:id="rId88" w:history="1">
        <w:r w:rsidRPr="00680BCC">
          <w:rPr>
            <w:rStyle w:val="csl-entry"/>
            <w:rFonts w:ascii="Aptos" w:hAnsi="Aptos"/>
            <w:color w:val="000000"/>
          </w:rPr>
          <w:t xml:space="preserve">Round, J.L. and Mazmanian, S.K. (2009) “The gut microbiota shapes intestinal immune responses during health and disease.,” </w:t>
        </w:r>
        <w:r w:rsidRPr="00680BCC">
          <w:rPr>
            <w:rStyle w:val="csl-entry"/>
            <w:rFonts w:ascii="Aptos" w:hAnsi="Aptos"/>
            <w:i/>
            <w:iCs/>
            <w:color w:val="000000"/>
          </w:rPr>
          <w:t>Nature Reviews. Immunology</w:t>
        </w:r>
        <w:r w:rsidRPr="00680BCC">
          <w:rPr>
            <w:rStyle w:val="csl-entry"/>
            <w:rFonts w:ascii="Aptos" w:hAnsi="Aptos"/>
            <w:color w:val="000000"/>
          </w:rPr>
          <w:t>, 9(5), pp. 313–323. doi:10.1038/nri2515.</w:t>
        </w:r>
      </w:hyperlink>
    </w:p>
    <w:p w14:paraId="2A09D936" w14:textId="77777777" w:rsidR="00680BCC" w:rsidRPr="00680BCC" w:rsidRDefault="00680BCC" w:rsidP="00680BCC">
      <w:pPr>
        <w:pStyle w:val="NormalWeb"/>
        <w:spacing w:afterLines="100" w:after="240"/>
        <w:rPr>
          <w:rFonts w:ascii="Aptos" w:hAnsi="Aptos"/>
          <w:color w:val="000000"/>
        </w:rPr>
      </w:pPr>
      <w:hyperlink r:id="rId89" w:history="1">
        <w:r w:rsidRPr="00680BCC">
          <w:rPr>
            <w:rStyle w:val="csl-entry"/>
            <w:rFonts w:ascii="Aptos" w:hAnsi="Aptos"/>
            <w:color w:val="000000"/>
          </w:rPr>
          <w:t xml:space="preserve">Rupnik, M., Wilcox, M.H. and Gerding, D.N. (2009) “Clostridium difficile infection: new developments in epidemiology and pathogenesis.,” </w:t>
        </w:r>
        <w:r w:rsidRPr="00680BCC">
          <w:rPr>
            <w:rStyle w:val="csl-entry"/>
            <w:rFonts w:ascii="Aptos" w:hAnsi="Aptos"/>
            <w:i/>
            <w:iCs/>
            <w:color w:val="000000"/>
          </w:rPr>
          <w:t>Nature Reviews Microbiology</w:t>
        </w:r>
        <w:r w:rsidRPr="00680BCC">
          <w:rPr>
            <w:rStyle w:val="csl-entry"/>
            <w:rFonts w:ascii="Aptos" w:hAnsi="Aptos"/>
            <w:color w:val="000000"/>
          </w:rPr>
          <w:t>, 7(7), pp. 526–536. doi:10.1038/nrmicro2164.</w:t>
        </w:r>
      </w:hyperlink>
    </w:p>
    <w:p w14:paraId="56DEA842" w14:textId="77777777" w:rsidR="00680BCC" w:rsidRPr="00680BCC" w:rsidRDefault="00680BCC" w:rsidP="00680BCC">
      <w:pPr>
        <w:pStyle w:val="NormalWeb"/>
        <w:spacing w:afterLines="100" w:after="240"/>
        <w:rPr>
          <w:rFonts w:ascii="Aptos" w:hAnsi="Aptos"/>
          <w:color w:val="000000"/>
        </w:rPr>
      </w:pPr>
      <w:hyperlink r:id="rId90" w:history="1">
        <w:r w:rsidRPr="00680BCC">
          <w:rPr>
            <w:rStyle w:val="csl-entry"/>
            <w:rFonts w:ascii="Aptos" w:hAnsi="Aptos"/>
            <w:i/>
            <w:iCs/>
            <w:color w:val="000000"/>
          </w:rPr>
          <w:t>Safety Alert Regarding Use of Fecal Microbiota for Transplantation and Risk of Serious Adverse Events Likely Due to Transmission of Pathogenic Organisms | FDA</w:t>
        </w:r>
        <w:r w:rsidRPr="00680BCC">
          <w:rPr>
            <w:rStyle w:val="csl-entry"/>
            <w:rFonts w:ascii="Aptos" w:hAnsi="Aptos"/>
            <w:color w:val="000000"/>
          </w:rPr>
          <w:t xml:space="preserve"> (no date). Available at: https://www.fda.gov/vaccines-blood-biologics/safety-availability-biologics/safety-alert-regarding-use-fecal-microbiota-transplantation-and-risk-serious-adverse-events-likely (Accessed: June 26, 2025).</w:t>
        </w:r>
      </w:hyperlink>
    </w:p>
    <w:p w14:paraId="36E9DC4C" w14:textId="77777777" w:rsidR="00680BCC" w:rsidRPr="00680BCC" w:rsidRDefault="00680BCC" w:rsidP="00680BCC">
      <w:pPr>
        <w:pStyle w:val="NormalWeb"/>
        <w:spacing w:afterLines="100" w:after="240"/>
        <w:rPr>
          <w:rFonts w:ascii="Aptos" w:hAnsi="Aptos"/>
          <w:color w:val="000000"/>
        </w:rPr>
      </w:pPr>
      <w:hyperlink r:id="rId91" w:history="1">
        <w:r w:rsidRPr="00680BCC">
          <w:rPr>
            <w:rStyle w:val="csl-entry"/>
            <w:rFonts w:ascii="Aptos" w:hAnsi="Aptos"/>
            <w:color w:val="000000"/>
          </w:rPr>
          <w:t xml:space="preserve">Seekatz, A.M. and Young, V.B. (2014) “Clostridium difficile and the microbiota.,” </w:t>
        </w:r>
        <w:r w:rsidRPr="00680BCC">
          <w:rPr>
            <w:rStyle w:val="csl-entry"/>
            <w:rFonts w:ascii="Aptos" w:hAnsi="Aptos"/>
            <w:i/>
            <w:iCs/>
            <w:color w:val="000000"/>
          </w:rPr>
          <w:t>The Journal of Clinical Investigation</w:t>
        </w:r>
        <w:r w:rsidRPr="00680BCC">
          <w:rPr>
            <w:rStyle w:val="csl-entry"/>
            <w:rFonts w:ascii="Aptos" w:hAnsi="Aptos"/>
            <w:color w:val="000000"/>
          </w:rPr>
          <w:t>, 124(10), pp. 4182–4189. doi:10.1172/JCI72336.</w:t>
        </w:r>
      </w:hyperlink>
    </w:p>
    <w:p w14:paraId="44B50DCD" w14:textId="77777777" w:rsidR="00680BCC" w:rsidRPr="00680BCC" w:rsidRDefault="00680BCC" w:rsidP="00680BCC">
      <w:pPr>
        <w:pStyle w:val="NormalWeb"/>
        <w:spacing w:afterLines="100" w:after="240"/>
        <w:rPr>
          <w:rFonts w:ascii="Aptos" w:hAnsi="Aptos"/>
          <w:color w:val="000000"/>
        </w:rPr>
      </w:pPr>
      <w:hyperlink r:id="rId92" w:history="1">
        <w:r w:rsidRPr="00680BCC">
          <w:rPr>
            <w:rStyle w:val="csl-entry"/>
            <w:rFonts w:ascii="Aptos" w:hAnsi="Aptos"/>
            <w:color w:val="000000"/>
          </w:rPr>
          <w:t>Seemann, T. (2014) “</w:t>
        </w:r>
        <w:proofErr w:type="spellStart"/>
        <w:r w:rsidRPr="00680BCC">
          <w:rPr>
            <w:rStyle w:val="csl-entry"/>
            <w:rFonts w:ascii="Aptos" w:hAnsi="Aptos"/>
            <w:color w:val="000000"/>
          </w:rPr>
          <w:t>Prokka</w:t>
        </w:r>
        <w:proofErr w:type="spellEnd"/>
        <w:r w:rsidRPr="00680BCC">
          <w:rPr>
            <w:rStyle w:val="csl-entry"/>
            <w:rFonts w:ascii="Aptos" w:hAnsi="Aptos"/>
            <w:color w:val="000000"/>
          </w:rPr>
          <w:t xml:space="preserve">: rapid prokaryotic genome annotation.,” </w:t>
        </w:r>
        <w:r w:rsidRPr="00680BCC">
          <w:rPr>
            <w:rStyle w:val="csl-entry"/>
            <w:rFonts w:ascii="Aptos" w:hAnsi="Aptos"/>
            <w:i/>
            <w:iCs/>
            <w:color w:val="000000"/>
          </w:rPr>
          <w:t>Bioinformatics</w:t>
        </w:r>
        <w:r w:rsidRPr="00680BCC">
          <w:rPr>
            <w:rStyle w:val="csl-entry"/>
            <w:rFonts w:ascii="Aptos" w:hAnsi="Aptos"/>
            <w:color w:val="000000"/>
          </w:rPr>
          <w:t>, 30(14), pp. 2068–2069. doi:10.1093/bioinformatics/btu153.</w:t>
        </w:r>
      </w:hyperlink>
    </w:p>
    <w:p w14:paraId="70DF422B" w14:textId="77777777" w:rsidR="00680BCC" w:rsidRPr="00680BCC" w:rsidRDefault="00680BCC" w:rsidP="00680BCC">
      <w:pPr>
        <w:pStyle w:val="NormalWeb"/>
        <w:spacing w:afterLines="100" w:after="240"/>
        <w:rPr>
          <w:rFonts w:ascii="Aptos" w:hAnsi="Aptos"/>
          <w:color w:val="000000"/>
        </w:rPr>
      </w:pPr>
      <w:hyperlink r:id="rId93" w:history="1">
        <w:r w:rsidRPr="00680BCC">
          <w:rPr>
            <w:rStyle w:val="csl-entry"/>
            <w:rFonts w:ascii="Aptos" w:hAnsi="Aptos"/>
            <w:color w:val="000000"/>
          </w:rPr>
          <w:t xml:space="preserve">Shim, J.K. </w:t>
        </w:r>
        <w:r w:rsidRPr="00680BCC">
          <w:rPr>
            <w:rStyle w:val="csl-entry"/>
            <w:rFonts w:ascii="Aptos" w:hAnsi="Aptos"/>
            <w:i/>
            <w:iCs/>
            <w:color w:val="000000"/>
          </w:rPr>
          <w:t>et al.</w:t>
        </w:r>
        <w:r w:rsidRPr="00680BCC">
          <w:rPr>
            <w:rStyle w:val="csl-entry"/>
            <w:rFonts w:ascii="Aptos" w:hAnsi="Aptos"/>
            <w:color w:val="000000"/>
          </w:rPr>
          <w:t xml:space="preserve"> (1998) “Primary symptomless </w:t>
        </w:r>
        <w:proofErr w:type="spellStart"/>
        <w:r w:rsidRPr="00680BCC">
          <w:rPr>
            <w:rStyle w:val="csl-entry"/>
            <w:rFonts w:ascii="Aptos" w:hAnsi="Aptos"/>
            <w:color w:val="000000"/>
          </w:rPr>
          <w:t>colonisation</w:t>
        </w:r>
        <w:proofErr w:type="spellEnd"/>
        <w:r w:rsidRPr="00680BCC">
          <w:rPr>
            <w:rStyle w:val="csl-entry"/>
            <w:rFonts w:ascii="Aptos" w:hAnsi="Aptos"/>
            <w:color w:val="000000"/>
          </w:rPr>
          <w:t xml:space="preserve"> by Clostridium difficile and decreased risk of subsequent </w:t>
        </w:r>
        <w:proofErr w:type="spellStart"/>
        <w:r w:rsidRPr="00680BCC">
          <w:rPr>
            <w:rStyle w:val="csl-entry"/>
            <w:rFonts w:ascii="Aptos" w:hAnsi="Aptos"/>
            <w:color w:val="000000"/>
          </w:rPr>
          <w:t>diarrhoea</w:t>
        </w:r>
        <w:proofErr w:type="spellEnd"/>
        <w:r w:rsidRPr="00680BCC">
          <w:rPr>
            <w:rStyle w:val="csl-entry"/>
            <w:rFonts w:ascii="Aptos" w:hAnsi="Aptos"/>
            <w:color w:val="000000"/>
          </w:rPr>
          <w:t xml:space="preserve">.,” </w:t>
        </w:r>
        <w:r w:rsidRPr="00680BCC">
          <w:rPr>
            <w:rStyle w:val="csl-entry"/>
            <w:rFonts w:ascii="Aptos" w:hAnsi="Aptos"/>
            <w:i/>
            <w:iCs/>
            <w:color w:val="000000"/>
          </w:rPr>
          <w:t>The Lancet</w:t>
        </w:r>
        <w:r w:rsidRPr="00680BCC">
          <w:rPr>
            <w:rStyle w:val="csl-entry"/>
            <w:rFonts w:ascii="Aptos" w:hAnsi="Aptos"/>
            <w:color w:val="000000"/>
          </w:rPr>
          <w:t>, 351(9103), pp. 633–636. doi:10.1016/S0140-6736(97)08062-8.</w:t>
        </w:r>
      </w:hyperlink>
    </w:p>
    <w:p w14:paraId="3FFA5D83" w14:textId="77777777" w:rsidR="00680BCC" w:rsidRPr="00680BCC" w:rsidRDefault="00680BCC" w:rsidP="00680BCC">
      <w:pPr>
        <w:pStyle w:val="NormalWeb"/>
        <w:spacing w:afterLines="100" w:after="240"/>
        <w:rPr>
          <w:rFonts w:ascii="Aptos" w:hAnsi="Aptos"/>
          <w:color w:val="000000"/>
        </w:rPr>
      </w:pPr>
      <w:hyperlink r:id="rId94" w:history="1">
        <w:r w:rsidRPr="00680BCC">
          <w:rPr>
            <w:rStyle w:val="csl-entry"/>
            <w:rFonts w:ascii="Aptos" w:hAnsi="Aptos"/>
            <w:color w:val="000000"/>
          </w:rPr>
          <w:t xml:space="preserve">Stein, R.R. </w:t>
        </w:r>
        <w:r w:rsidRPr="00680BCC">
          <w:rPr>
            <w:rStyle w:val="csl-entry"/>
            <w:rFonts w:ascii="Aptos" w:hAnsi="Aptos"/>
            <w:i/>
            <w:iCs/>
            <w:color w:val="000000"/>
          </w:rPr>
          <w:t>et al.</w:t>
        </w:r>
        <w:r w:rsidRPr="00680BCC">
          <w:rPr>
            <w:rStyle w:val="csl-entry"/>
            <w:rFonts w:ascii="Aptos" w:hAnsi="Aptos"/>
            <w:color w:val="000000"/>
          </w:rPr>
          <w:t xml:space="preserve"> (2013) “Ecological modeling from time-series inference: insight into dynamics and stability of intestinal microbiota.,” </w:t>
        </w:r>
        <w:proofErr w:type="spellStart"/>
        <w:r w:rsidRPr="00680BCC">
          <w:rPr>
            <w:rStyle w:val="csl-entry"/>
            <w:rFonts w:ascii="Aptos" w:hAnsi="Aptos"/>
            <w:i/>
            <w:iCs/>
            <w:color w:val="000000"/>
          </w:rPr>
          <w:t>PLoS</w:t>
        </w:r>
        <w:proofErr w:type="spellEnd"/>
        <w:r w:rsidRPr="00680BCC">
          <w:rPr>
            <w:rStyle w:val="csl-entry"/>
            <w:rFonts w:ascii="Aptos" w:hAnsi="Aptos"/>
            <w:i/>
            <w:iCs/>
            <w:color w:val="000000"/>
          </w:rPr>
          <w:t xml:space="preserve"> Computational Biology</w:t>
        </w:r>
        <w:r w:rsidRPr="00680BCC">
          <w:rPr>
            <w:rStyle w:val="csl-entry"/>
            <w:rFonts w:ascii="Aptos" w:hAnsi="Aptos"/>
            <w:color w:val="000000"/>
          </w:rPr>
          <w:t>, 9(12), p. e1003388. doi:10.1371/journal.pcbi.1003388.</w:t>
        </w:r>
      </w:hyperlink>
    </w:p>
    <w:p w14:paraId="1EAFF2F7" w14:textId="02E24808" w:rsidR="00680BCC" w:rsidRPr="0069662D" w:rsidRDefault="00680BCC" w:rsidP="00680BCC">
      <w:pPr>
        <w:spacing w:afterLines="100" w:after="240" w:line="240" w:lineRule="auto"/>
        <w:ind w:left="240" w:hanging="240"/>
      </w:pPr>
      <w:hyperlink r:id="rId95" w:history="1">
        <w:r w:rsidRPr="00680BCC">
          <w:rPr>
            <w:rStyle w:val="csl-entry"/>
            <w:rFonts w:ascii="Aptos" w:hAnsi="Aptos"/>
            <w:color w:val="000000"/>
          </w:rPr>
          <w:t xml:space="preserve">Taur, Y. </w:t>
        </w:r>
        <w:r w:rsidRPr="00680BCC">
          <w:rPr>
            <w:rStyle w:val="csl-entry"/>
            <w:rFonts w:ascii="Aptos" w:hAnsi="Aptos"/>
            <w:i/>
            <w:iCs/>
            <w:color w:val="000000"/>
          </w:rPr>
          <w:t>et al.</w:t>
        </w:r>
        <w:r w:rsidRPr="00680BCC">
          <w:rPr>
            <w:rStyle w:val="csl-entry"/>
            <w:rFonts w:ascii="Aptos" w:hAnsi="Aptos"/>
            <w:color w:val="000000"/>
          </w:rPr>
          <w:t xml:space="preserve"> (2018) “Reconstitution of the gut microbiota of antibiotic-treated patients by autologous fecal microbiota transplant.,” </w:t>
        </w:r>
        <w:r w:rsidRPr="00680BCC">
          <w:rPr>
            <w:rStyle w:val="csl-entry"/>
            <w:rFonts w:ascii="Aptos" w:hAnsi="Aptos"/>
            <w:i/>
            <w:iCs/>
            <w:color w:val="000000"/>
          </w:rPr>
          <w:t>Science Translational Medicine</w:t>
        </w:r>
        <w:r w:rsidRPr="00680BCC">
          <w:rPr>
            <w:rStyle w:val="csl-entry"/>
            <w:rFonts w:ascii="Aptos" w:hAnsi="Aptos"/>
            <w:color w:val="000000"/>
          </w:rPr>
          <w:t>, 10(460). doi:10.1126/scitranslmed.aap9489.</w:t>
        </w:r>
      </w:hyperlink>
      <w:r w:rsidRPr="00680BCC">
        <w:rPr>
          <w:rFonts w:ascii="Aptos" w:hAnsi="Aptos"/>
          <w:color w:val="000000"/>
        </w:rPr>
        <w:t xml:space="preserve"> </w:t>
      </w:r>
    </w:p>
    <w:sectPr w:rsidR="00680BCC" w:rsidRPr="006966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3C06F" w14:textId="77777777" w:rsidR="002B7AD7" w:rsidRDefault="002B7AD7" w:rsidP="00534659">
      <w:pPr>
        <w:spacing w:after="0" w:line="240" w:lineRule="auto"/>
      </w:pPr>
      <w:r>
        <w:separator/>
      </w:r>
    </w:p>
  </w:endnote>
  <w:endnote w:type="continuationSeparator" w:id="0">
    <w:p w14:paraId="0CC76533" w14:textId="77777777" w:rsidR="002B7AD7" w:rsidRDefault="002B7AD7" w:rsidP="00534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EEEC" w14:textId="77777777" w:rsidR="002B7AD7" w:rsidRDefault="002B7AD7" w:rsidP="00534659">
      <w:pPr>
        <w:spacing w:after="0" w:line="240" w:lineRule="auto"/>
      </w:pPr>
      <w:r>
        <w:separator/>
      </w:r>
    </w:p>
  </w:footnote>
  <w:footnote w:type="continuationSeparator" w:id="0">
    <w:p w14:paraId="038C57F4" w14:textId="77777777" w:rsidR="002B7AD7" w:rsidRDefault="002B7AD7" w:rsidP="00534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B4474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483570F"/>
    <w:multiLevelType w:val="hybridMultilevel"/>
    <w:tmpl w:val="03D2FAF6"/>
    <w:lvl w:ilvl="0" w:tplc="3C307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D73F73"/>
    <w:multiLevelType w:val="multilevel"/>
    <w:tmpl w:val="B50A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64112"/>
    <w:multiLevelType w:val="multilevel"/>
    <w:tmpl w:val="2D28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EE6039"/>
    <w:multiLevelType w:val="hybridMultilevel"/>
    <w:tmpl w:val="80FA57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2D110B"/>
    <w:multiLevelType w:val="hybridMultilevel"/>
    <w:tmpl w:val="5D2CF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942D55"/>
    <w:multiLevelType w:val="hybridMultilevel"/>
    <w:tmpl w:val="90C66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F103CE"/>
    <w:multiLevelType w:val="multilevel"/>
    <w:tmpl w:val="4936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238A9"/>
    <w:multiLevelType w:val="hybridMultilevel"/>
    <w:tmpl w:val="F336E0BE"/>
    <w:lvl w:ilvl="0" w:tplc="8FF8BFFE">
      <w:start w:val="1"/>
      <w:numFmt w:val="decimal"/>
      <w:lvlText w:val="%1)"/>
      <w:lvlJc w:val="left"/>
      <w:pPr>
        <w:ind w:left="1080" w:hanging="360"/>
      </w:pPr>
      <w:rPr>
        <w:rFonts w:ascii="Aptos" w:eastAsia="Times New Roman" w:hAnsi="Aptos" w:cstheme="minorBidi" w:hint="default"/>
        <w:color w:val="auto"/>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1597223">
    <w:abstractNumId w:val="5"/>
  </w:num>
  <w:num w:numId="2" w16cid:durableId="1256134077">
    <w:abstractNumId w:val="6"/>
  </w:num>
  <w:num w:numId="3" w16cid:durableId="510722485">
    <w:abstractNumId w:val="3"/>
  </w:num>
  <w:num w:numId="4" w16cid:durableId="363604162">
    <w:abstractNumId w:val="8"/>
  </w:num>
  <w:num w:numId="5" w16cid:durableId="1357460757">
    <w:abstractNumId w:val="1"/>
  </w:num>
  <w:num w:numId="6" w16cid:durableId="465777541">
    <w:abstractNumId w:val="0"/>
  </w:num>
  <w:num w:numId="7" w16cid:durableId="1439131805">
    <w:abstractNumId w:val="4"/>
  </w:num>
  <w:num w:numId="8" w16cid:durableId="597131102">
    <w:abstractNumId w:val="7"/>
  </w:num>
  <w:num w:numId="9" w16cid:durableId="139158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BB8"/>
    <w:rsid w:val="00000550"/>
    <w:rsid w:val="0000112C"/>
    <w:rsid w:val="00002851"/>
    <w:rsid w:val="0000681B"/>
    <w:rsid w:val="00011BFA"/>
    <w:rsid w:val="000153B5"/>
    <w:rsid w:val="000174DE"/>
    <w:rsid w:val="00020910"/>
    <w:rsid w:val="0002255C"/>
    <w:rsid w:val="00026018"/>
    <w:rsid w:val="000307B8"/>
    <w:rsid w:val="00037193"/>
    <w:rsid w:val="00037B8D"/>
    <w:rsid w:val="00040541"/>
    <w:rsid w:val="0004184E"/>
    <w:rsid w:val="0004780F"/>
    <w:rsid w:val="000555F6"/>
    <w:rsid w:val="00056C62"/>
    <w:rsid w:val="00060282"/>
    <w:rsid w:val="000628DE"/>
    <w:rsid w:val="00063D96"/>
    <w:rsid w:val="00066BA5"/>
    <w:rsid w:val="000737E2"/>
    <w:rsid w:val="00073C9A"/>
    <w:rsid w:val="00077421"/>
    <w:rsid w:val="000806FE"/>
    <w:rsid w:val="000832A8"/>
    <w:rsid w:val="00093A24"/>
    <w:rsid w:val="000943AA"/>
    <w:rsid w:val="00097424"/>
    <w:rsid w:val="0009753C"/>
    <w:rsid w:val="000A14E0"/>
    <w:rsid w:val="000A33BE"/>
    <w:rsid w:val="000B12F7"/>
    <w:rsid w:val="000B181D"/>
    <w:rsid w:val="000B3FBD"/>
    <w:rsid w:val="000B4015"/>
    <w:rsid w:val="000B5FDD"/>
    <w:rsid w:val="000B7122"/>
    <w:rsid w:val="000C0BC1"/>
    <w:rsid w:val="000C3AA3"/>
    <w:rsid w:val="000C3DF6"/>
    <w:rsid w:val="000C4CFE"/>
    <w:rsid w:val="000C4E9F"/>
    <w:rsid w:val="000D4ACF"/>
    <w:rsid w:val="000D6A87"/>
    <w:rsid w:val="000D7722"/>
    <w:rsid w:val="000E1C42"/>
    <w:rsid w:val="000E39FA"/>
    <w:rsid w:val="000F17FF"/>
    <w:rsid w:val="000F28A2"/>
    <w:rsid w:val="000F4FA1"/>
    <w:rsid w:val="000F6D56"/>
    <w:rsid w:val="0011539B"/>
    <w:rsid w:val="0011667B"/>
    <w:rsid w:val="00124CAF"/>
    <w:rsid w:val="0012610D"/>
    <w:rsid w:val="00130CF3"/>
    <w:rsid w:val="00136CD9"/>
    <w:rsid w:val="001402A5"/>
    <w:rsid w:val="001403AC"/>
    <w:rsid w:val="00143C15"/>
    <w:rsid w:val="001444BC"/>
    <w:rsid w:val="00150A51"/>
    <w:rsid w:val="0015195E"/>
    <w:rsid w:val="00156B33"/>
    <w:rsid w:val="00162EA8"/>
    <w:rsid w:val="00163571"/>
    <w:rsid w:val="00165AC4"/>
    <w:rsid w:val="00166C0F"/>
    <w:rsid w:val="00175C04"/>
    <w:rsid w:val="001763EC"/>
    <w:rsid w:val="00177369"/>
    <w:rsid w:val="001818ED"/>
    <w:rsid w:val="00182853"/>
    <w:rsid w:val="0018331F"/>
    <w:rsid w:val="00186853"/>
    <w:rsid w:val="00186DBC"/>
    <w:rsid w:val="00193222"/>
    <w:rsid w:val="0019335C"/>
    <w:rsid w:val="00193DC4"/>
    <w:rsid w:val="00194575"/>
    <w:rsid w:val="0019707F"/>
    <w:rsid w:val="00197F2A"/>
    <w:rsid w:val="001A026B"/>
    <w:rsid w:val="001A2A60"/>
    <w:rsid w:val="001A5B45"/>
    <w:rsid w:val="001B309C"/>
    <w:rsid w:val="001B522F"/>
    <w:rsid w:val="001B5394"/>
    <w:rsid w:val="001B5903"/>
    <w:rsid w:val="001B60E2"/>
    <w:rsid w:val="001C348A"/>
    <w:rsid w:val="001C4D9E"/>
    <w:rsid w:val="001C63AE"/>
    <w:rsid w:val="001D10A6"/>
    <w:rsid w:val="001D5280"/>
    <w:rsid w:val="001D5315"/>
    <w:rsid w:val="001D5364"/>
    <w:rsid w:val="001D5A6A"/>
    <w:rsid w:val="001D68FC"/>
    <w:rsid w:val="001E2EEC"/>
    <w:rsid w:val="001E47A4"/>
    <w:rsid w:val="001E4D0A"/>
    <w:rsid w:val="001F37AC"/>
    <w:rsid w:val="001F527C"/>
    <w:rsid w:val="001F5E2D"/>
    <w:rsid w:val="002002EA"/>
    <w:rsid w:val="002007F4"/>
    <w:rsid w:val="002015CB"/>
    <w:rsid w:val="00203633"/>
    <w:rsid w:val="00213B3C"/>
    <w:rsid w:val="00214977"/>
    <w:rsid w:val="00215071"/>
    <w:rsid w:val="00220FD1"/>
    <w:rsid w:val="002239B7"/>
    <w:rsid w:val="00224BDA"/>
    <w:rsid w:val="00226450"/>
    <w:rsid w:val="00226D08"/>
    <w:rsid w:val="00234649"/>
    <w:rsid w:val="002352EB"/>
    <w:rsid w:val="002434F4"/>
    <w:rsid w:val="00244F9E"/>
    <w:rsid w:val="00246451"/>
    <w:rsid w:val="00253E5B"/>
    <w:rsid w:val="00255325"/>
    <w:rsid w:val="0026624C"/>
    <w:rsid w:val="00267489"/>
    <w:rsid w:val="00267A28"/>
    <w:rsid w:val="00267E53"/>
    <w:rsid w:val="00272739"/>
    <w:rsid w:val="00273BB8"/>
    <w:rsid w:val="00280D6E"/>
    <w:rsid w:val="00281B72"/>
    <w:rsid w:val="00287233"/>
    <w:rsid w:val="00291DB2"/>
    <w:rsid w:val="002955C3"/>
    <w:rsid w:val="0029694B"/>
    <w:rsid w:val="002A047D"/>
    <w:rsid w:val="002A0790"/>
    <w:rsid w:val="002A1A00"/>
    <w:rsid w:val="002A2A7B"/>
    <w:rsid w:val="002A2F09"/>
    <w:rsid w:val="002A58C3"/>
    <w:rsid w:val="002B1F80"/>
    <w:rsid w:val="002B2EF9"/>
    <w:rsid w:val="002B58F6"/>
    <w:rsid w:val="002B6EC3"/>
    <w:rsid w:val="002B7239"/>
    <w:rsid w:val="002B7AD7"/>
    <w:rsid w:val="002C107E"/>
    <w:rsid w:val="002C2754"/>
    <w:rsid w:val="002C329A"/>
    <w:rsid w:val="002C34E0"/>
    <w:rsid w:val="002C36C0"/>
    <w:rsid w:val="002C417D"/>
    <w:rsid w:val="002C4E86"/>
    <w:rsid w:val="002C6728"/>
    <w:rsid w:val="002D0BD2"/>
    <w:rsid w:val="002D30FE"/>
    <w:rsid w:val="002D7421"/>
    <w:rsid w:val="002E0AE9"/>
    <w:rsid w:val="002E18CB"/>
    <w:rsid w:val="002E3A4C"/>
    <w:rsid w:val="002E5568"/>
    <w:rsid w:val="002F3BA6"/>
    <w:rsid w:val="002F40F9"/>
    <w:rsid w:val="002F438F"/>
    <w:rsid w:val="00301570"/>
    <w:rsid w:val="003074E0"/>
    <w:rsid w:val="00307C71"/>
    <w:rsid w:val="00310C99"/>
    <w:rsid w:val="003128FF"/>
    <w:rsid w:val="00312E4D"/>
    <w:rsid w:val="003154F1"/>
    <w:rsid w:val="003159BA"/>
    <w:rsid w:val="00321597"/>
    <w:rsid w:val="0032229A"/>
    <w:rsid w:val="00323FE2"/>
    <w:rsid w:val="00331127"/>
    <w:rsid w:val="00334D81"/>
    <w:rsid w:val="0033543B"/>
    <w:rsid w:val="00337842"/>
    <w:rsid w:val="00343950"/>
    <w:rsid w:val="00343C9C"/>
    <w:rsid w:val="0034663A"/>
    <w:rsid w:val="003471DB"/>
    <w:rsid w:val="00354915"/>
    <w:rsid w:val="00355439"/>
    <w:rsid w:val="00361340"/>
    <w:rsid w:val="00366B86"/>
    <w:rsid w:val="00366DB3"/>
    <w:rsid w:val="00372694"/>
    <w:rsid w:val="00383878"/>
    <w:rsid w:val="0038739A"/>
    <w:rsid w:val="00391E00"/>
    <w:rsid w:val="003921B2"/>
    <w:rsid w:val="003934FE"/>
    <w:rsid w:val="003951C5"/>
    <w:rsid w:val="00395F6D"/>
    <w:rsid w:val="00396C04"/>
    <w:rsid w:val="003A0B9E"/>
    <w:rsid w:val="003A7F34"/>
    <w:rsid w:val="003B367D"/>
    <w:rsid w:val="003B612A"/>
    <w:rsid w:val="003C32A4"/>
    <w:rsid w:val="003C7D3D"/>
    <w:rsid w:val="003D13CA"/>
    <w:rsid w:val="003D207D"/>
    <w:rsid w:val="003D2B75"/>
    <w:rsid w:val="003D2D1D"/>
    <w:rsid w:val="003E142C"/>
    <w:rsid w:val="003E54DD"/>
    <w:rsid w:val="003E55FB"/>
    <w:rsid w:val="003E612E"/>
    <w:rsid w:val="003E7694"/>
    <w:rsid w:val="003F32D3"/>
    <w:rsid w:val="003F4245"/>
    <w:rsid w:val="003F53EB"/>
    <w:rsid w:val="003F5C41"/>
    <w:rsid w:val="003F7257"/>
    <w:rsid w:val="00400A16"/>
    <w:rsid w:val="00407EBC"/>
    <w:rsid w:val="00411A6F"/>
    <w:rsid w:val="00413B90"/>
    <w:rsid w:val="004156FB"/>
    <w:rsid w:val="00417F89"/>
    <w:rsid w:val="00421891"/>
    <w:rsid w:val="004219B5"/>
    <w:rsid w:val="00423D05"/>
    <w:rsid w:val="00424D97"/>
    <w:rsid w:val="00425FD6"/>
    <w:rsid w:val="004263FF"/>
    <w:rsid w:val="004306B9"/>
    <w:rsid w:val="00430AA1"/>
    <w:rsid w:val="004328B2"/>
    <w:rsid w:val="004417A0"/>
    <w:rsid w:val="00442429"/>
    <w:rsid w:val="0044397A"/>
    <w:rsid w:val="00444AF1"/>
    <w:rsid w:val="0044624E"/>
    <w:rsid w:val="0045350D"/>
    <w:rsid w:val="0045673E"/>
    <w:rsid w:val="00462C6C"/>
    <w:rsid w:val="00472097"/>
    <w:rsid w:val="00474AF5"/>
    <w:rsid w:val="004808BD"/>
    <w:rsid w:val="00481009"/>
    <w:rsid w:val="004845A8"/>
    <w:rsid w:val="00486610"/>
    <w:rsid w:val="00491B0C"/>
    <w:rsid w:val="00497C2A"/>
    <w:rsid w:val="004A0CBF"/>
    <w:rsid w:val="004A0CE1"/>
    <w:rsid w:val="004A1FD0"/>
    <w:rsid w:val="004A3163"/>
    <w:rsid w:val="004A693A"/>
    <w:rsid w:val="004A6CF9"/>
    <w:rsid w:val="004B100C"/>
    <w:rsid w:val="004B18B6"/>
    <w:rsid w:val="004B489C"/>
    <w:rsid w:val="004C0320"/>
    <w:rsid w:val="004C068F"/>
    <w:rsid w:val="004C13F9"/>
    <w:rsid w:val="004C5A0E"/>
    <w:rsid w:val="004D5180"/>
    <w:rsid w:val="004E0FFC"/>
    <w:rsid w:val="004F61BC"/>
    <w:rsid w:val="004F6E34"/>
    <w:rsid w:val="004F6FC7"/>
    <w:rsid w:val="004F785C"/>
    <w:rsid w:val="00503D75"/>
    <w:rsid w:val="0050769D"/>
    <w:rsid w:val="00511EE6"/>
    <w:rsid w:val="00512835"/>
    <w:rsid w:val="005235D2"/>
    <w:rsid w:val="00530EA1"/>
    <w:rsid w:val="00530ED7"/>
    <w:rsid w:val="00533332"/>
    <w:rsid w:val="00534659"/>
    <w:rsid w:val="00535A72"/>
    <w:rsid w:val="00536BF4"/>
    <w:rsid w:val="00536FAE"/>
    <w:rsid w:val="00537462"/>
    <w:rsid w:val="00540BAA"/>
    <w:rsid w:val="00554A18"/>
    <w:rsid w:val="00556E18"/>
    <w:rsid w:val="00561A9F"/>
    <w:rsid w:val="00561CCB"/>
    <w:rsid w:val="00563C8E"/>
    <w:rsid w:val="00564F2D"/>
    <w:rsid w:val="0057246E"/>
    <w:rsid w:val="00573E42"/>
    <w:rsid w:val="0057440C"/>
    <w:rsid w:val="00577715"/>
    <w:rsid w:val="00583051"/>
    <w:rsid w:val="0058711D"/>
    <w:rsid w:val="00591DB7"/>
    <w:rsid w:val="00591F04"/>
    <w:rsid w:val="00594A2B"/>
    <w:rsid w:val="00597E1C"/>
    <w:rsid w:val="005A55CF"/>
    <w:rsid w:val="005B0A22"/>
    <w:rsid w:val="005C0645"/>
    <w:rsid w:val="005C2BEB"/>
    <w:rsid w:val="005C6099"/>
    <w:rsid w:val="005C6685"/>
    <w:rsid w:val="005D0BC6"/>
    <w:rsid w:val="005D2B72"/>
    <w:rsid w:val="005D2D9F"/>
    <w:rsid w:val="005D4DB9"/>
    <w:rsid w:val="005D665A"/>
    <w:rsid w:val="005E025F"/>
    <w:rsid w:val="005E6DF3"/>
    <w:rsid w:val="005E7E92"/>
    <w:rsid w:val="005F557C"/>
    <w:rsid w:val="005F5C11"/>
    <w:rsid w:val="005F6D4C"/>
    <w:rsid w:val="005F7E92"/>
    <w:rsid w:val="00602426"/>
    <w:rsid w:val="006026FE"/>
    <w:rsid w:val="0061337C"/>
    <w:rsid w:val="00614726"/>
    <w:rsid w:val="00614A60"/>
    <w:rsid w:val="006210F9"/>
    <w:rsid w:val="006217D1"/>
    <w:rsid w:val="00636A1F"/>
    <w:rsid w:val="00637613"/>
    <w:rsid w:val="00644996"/>
    <w:rsid w:val="0064663B"/>
    <w:rsid w:val="00647F8C"/>
    <w:rsid w:val="0065114A"/>
    <w:rsid w:val="006524D6"/>
    <w:rsid w:val="00652DC5"/>
    <w:rsid w:val="00653A72"/>
    <w:rsid w:val="006608D3"/>
    <w:rsid w:val="00662853"/>
    <w:rsid w:val="00664B07"/>
    <w:rsid w:val="00665B7F"/>
    <w:rsid w:val="00666F9C"/>
    <w:rsid w:val="006679F0"/>
    <w:rsid w:val="0067698F"/>
    <w:rsid w:val="00680BCC"/>
    <w:rsid w:val="006823A6"/>
    <w:rsid w:val="00682D9D"/>
    <w:rsid w:val="006832F8"/>
    <w:rsid w:val="006852BE"/>
    <w:rsid w:val="00686548"/>
    <w:rsid w:val="00691376"/>
    <w:rsid w:val="0069150B"/>
    <w:rsid w:val="00692105"/>
    <w:rsid w:val="00693D36"/>
    <w:rsid w:val="006949D0"/>
    <w:rsid w:val="00696101"/>
    <w:rsid w:val="0069657F"/>
    <w:rsid w:val="0069662D"/>
    <w:rsid w:val="006A04C4"/>
    <w:rsid w:val="006B225A"/>
    <w:rsid w:val="006B4152"/>
    <w:rsid w:val="006B632F"/>
    <w:rsid w:val="006B7ABF"/>
    <w:rsid w:val="006B7F1F"/>
    <w:rsid w:val="006C30E5"/>
    <w:rsid w:val="006D03A3"/>
    <w:rsid w:val="006D0741"/>
    <w:rsid w:val="006D639C"/>
    <w:rsid w:val="006D754B"/>
    <w:rsid w:val="006E01E7"/>
    <w:rsid w:val="006E5366"/>
    <w:rsid w:val="006F0B60"/>
    <w:rsid w:val="006F3890"/>
    <w:rsid w:val="006F4554"/>
    <w:rsid w:val="006F4E56"/>
    <w:rsid w:val="006F51C3"/>
    <w:rsid w:val="006F54FB"/>
    <w:rsid w:val="006F7F25"/>
    <w:rsid w:val="007014BA"/>
    <w:rsid w:val="00703037"/>
    <w:rsid w:val="00703698"/>
    <w:rsid w:val="007163BA"/>
    <w:rsid w:val="00731591"/>
    <w:rsid w:val="00732BD5"/>
    <w:rsid w:val="00733968"/>
    <w:rsid w:val="007375ED"/>
    <w:rsid w:val="007414A2"/>
    <w:rsid w:val="00741AA3"/>
    <w:rsid w:val="00741C2B"/>
    <w:rsid w:val="00745EF6"/>
    <w:rsid w:val="00746FD7"/>
    <w:rsid w:val="00754B51"/>
    <w:rsid w:val="00756A0C"/>
    <w:rsid w:val="00760AF0"/>
    <w:rsid w:val="00762135"/>
    <w:rsid w:val="00763C1D"/>
    <w:rsid w:val="00763E24"/>
    <w:rsid w:val="00765024"/>
    <w:rsid w:val="00776C1D"/>
    <w:rsid w:val="00781A4A"/>
    <w:rsid w:val="00782A49"/>
    <w:rsid w:val="007836D8"/>
    <w:rsid w:val="007867AC"/>
    <w:rsid w:val="00797479"/>
    <w:rsid w:val="007A2C3B"/>
    <w:rsid w:val="007A2DF6"/>
    <w:rsid w:val="007A38D7"/>
    <w:rsid w:val="007A58FA"/>
    <w:rsid w:val="007B1BFB"/>
    <w:rsid w:val="007B3E3A"/>
    <w:rsid w:val="007B4C98"/>
    <w:rsid w:val="007B56D1"/>
    <w:rsid w:val="007C34E3"/>
    <w:rsid w:val="007D2BF2"/>
    <w:rsid w:val="007D6A19"/>
    <w:rsid w:val="007E2A06"/>
    <w:rsid w:val="007F18A8"/>
    <w:rsid w:val="007F3993"/>
    <w:rsid w:val="008046B3"/>
    <w:rsid w:val="00814505"/>
    <w:rsid w:val="00815F81"/>
    <w:rsid w:val="00817F51"/>
    <w:rsid w:val="00822801"/>
    <w:rsid w:val="00823C29"/>
    <w:rsid w:val="00823E34"/>
    <w:rsid w:val="0082499D"/>
    <w:rsid w:val="00824F93"/>
    <w:rsid w:val="00827815"/>
    <w:rsid w:val="00827DBE"/>
    <w:rsid w:val="00830850"/>
    <w:rsid w:val="008312D3"/>
    <w:rsid w:val="00833FC9"/>
    <w:rsid w:val="00835833"/>
    <w:rsid w:val="00840E38"/>
    <w:rsid w:val="00846795"/>
    <w:rsid w:val="008472B3"/>
    <w:rsid w:val="0085328F"/>
    <w:rsid w:val="00857C55"/>
    <w:rsid w:val="008605F0"/>
    <w:rsid w:val="008620C8"/>
    <w:rsid w:val="00862A0F"/>
    <w:rsid w:val="00866D4F"/>
    <w:rsid w:val="00872221"/>
    <w:rsid w:val="0087253C"/>
    <w:rsid w:val="00873CD7"/>
    <w:rsid w:val="008773C8"/>
    <w:rsid w:val="00877EB6"/>
    <w:rsid w:val="00885D82"/>
    <w:rsid w:val="00886CD1"/>
    <w:rsid w:val="008A27A5"/>
    <w:rsid w:val="008A2EF8"/>
    <w:rsid w:val="008A3BA7"/>
    <w:rsid w:val="008A48F3"/>
    <w:rsid w:val="008A7065"/>
    <w:rsid w:val="008B1C1A"/>
    <w:rsid w:val="008B60EB"/>
    <w:rsid w:val="008B7133"/>
    <w:rsid w:val="008C0A8A"/>
    <w:rsid w:val="008C4295"/>
    <w:rsid w:val="008C4C7D"/>
    <w:rsid w:val="008C7FB7"/>
    <w:rsid w:val="008D20D2"/>
    <w:rsid w:val="008E007A"/>
    <w:rsid w:val="008E4CF2"/>
    <w:rsid w:val="008E6964"/>
    <w:rsid w:val="008F0275"/>
    <w:rsid w:val="008F1671"/>
    <w:rsid w:val="008F3052"/>
    <w:rsid w:val="008F3E1A"/>
    <w:rsid w:val="008F4B98"/>
    <w:rsid w:val="008F5304"/>
    <w:rsid w:val="00900C1D"/>
    <w:rsid w:val="0090139A"/>
    <w:rsid w:val="00904421"/>
    <w:rsid w:val="0090612B"/>
    <w:rsid w:val="00907DD2"/>
    <w:rsid w:val="009117B5"/>
    <w:rsid w:val="0091292B"/>
    <w:rsid w:val="00913510"/>
    <w:rsid w:val="00915130"/>
    <w:rsid w:val="00916A9A"/>
    <w:rsid w:val="00916E90"/>
    <w:rsid w:val="0092447C"/>
    <w:rsid w:val="009320BA"/>
    <w:rsid w:val="009358F2"/>
    <w:rsid w:val="00943427"/>
    <w:rsid w:val="009440FC"/>
    <w:rsid w:val="00944D31"/>
    <w:rsid w:val="00947C50"/>
    <w:rsid w:val="0095085F"/>
    <w:rsid w:val="009509B6"/>
    <w:rsid w:val="00954247"/>
    <w:rsid w:val="00954BC0"/>
    <w:rsid w:val="00961BB0"/>
    <w:rsid w:val="00966BA0"/>
    <w:rsid w:val="00966EF0"/>
    <w:rsid w:val="00967F12"/>
    <w:rsid w:val="009702C8"/>
    <w:rsid w:val="00971194"/>
    <w:rsid w:val="00971BEA"/>
    <w:rsid w:val="00971C4A"/>
    <w:rsid w:val="009743DD"/>
    <w:rsid w:val="00976118"/>
    <w:rsid w:val="009764C1"/>
    <w:rsid w:val="00982D71"/>
    <w:rsid w:val="00987699"/>
    <w:rsid w:val="00993354"/>
    <w:rsid w:val="00993656"/>
    <w:rsid w:val="00994D34"/>
    <w:rsid w:val="009A1749"/>
    <w:rsid w:val="009B67AC"/>
    <w:rsid w:val="009C2318"/>
    <w:rsid w:val="009C3D4E"/>
    <w:rsid w:val="009C5BC1"/>
    <w:rsid w:val="009C6FED"/>
    <w:rsid w:val="009D108C"/>
    <w:rsid w:val="009D46D8"/>
    <w:rsid w:val="009D5E90"/>
    <w:rsid w:val="009D615C"/>
    <w:rsid w:val="009D6C86"/>
    <w:rsid w:val="009E1615"/>
    <w:rsid w:val="009E4DBD"/>
    <w:rsid w:val="009E5EF9"/>
    <w:rsid w:val="009E7B24"/>
    <w:rsid w:val="009F1122"/>
    <w:rsid w:val="00A115AF"/>
    <w:rsid w:val="00A13CB9"/>
    <w:rsid w:val="00A179FB"/>
    <w:rsid w:val="00A234AA"/>
    <w:rsid w:val="00A24F07"/>
    <w:rsid w:val="00A25DD1"/>
    <w:rsid w:val="00A3076C"/>
    <w:rsid w:val="00A312A2"/>
    <w:rsid w:val="00A3258C"/>
    <w:rsid w:val="00A325A7"/>
    <w:rsid w:val="00A33485"/>
    <w:rsid w:val="00A36D8A"/>
    <w:rsid w:val="00A41E61"/>
    <w:rsid w:val="00A56463"/>
    <w:rsid w:val="00A60F30"/>
    <w:rsid w:val="00A660E7"/>
    <w:rsid w:val="00A73D01"/>
    <w:rsid w:val="00A74333"/>
    <w:rsid w:val="00A75451"/>
    <w:rsid w:val="00A761F7"/>
    <w:rsid w:val="00A779B1"/>
    <w:rsid w:val="00A80602"/>
    <w:rsid w:val="00A86B16"/>
    <w:rsid w:val="00A9051D"/>
    <w:rsid w:val="00A95F20"/>
    <w:rsid w:val="00A96C4C"/>
    <w:rsid w:val="00AA18E5"/>
    <w:rsid w:val="00AA2FFC"/>
    <w:rsid w:val="00AA5123"/>
    <w:rsid w:val="00AA5E6D"/>
    <w:rsid w:val="00AA69D9"/>
    <w:rsid w:val="00AB01E2"/>
    <w:rsid w:val="00AB025E"/>
    <w:rsid w:val="00AB0D9E"/>
    <w:rsid w:val="00AB3EC4"/>
    <w:rsid w:val="00AB6178"/>
    <w:rsid w:val="00AB627A"/>
    <w:rsid w:val="00AC00B9"/>
    <w:rsid w:val="00AC44EF"/>
    <w:rsid w:val="00AC68A0"/>
    <w:rsid w:val="00AC7FE4"/>
    <w:rsid w:val="00AD001C"/>
    <w:rsid w:val="00AD0C19"/>
    <w:rsid w:val="00AD21A2"/>
    <w:rsid w:val="00AD2292"/>
    <w:rsid w:val="00AD2311"/>
    <w:rsid w:val="00AD4B5B"/>
    <w:rsid w:val="00AE1E19"/>
    <w:rsid w:val="00AE4F57"/>
    <w:rsid w:val="00AE5A5D"/>
    <w:rsid w:val="00AF25E0"/>
    <w:rsid w:val="00AF3D87"/>
    <w:rsid w:val="00AF56C2"/>
    <w:rsid w:val="00B02DDD"/>
    <w:rsid w:val="00B05301"/>
    <w:rsid w:val="00B05873"/>
    <w:rsid w:val="00B06D9B"/>
    <w:rsid w:val="00B06FF6"/>
    <w:rsid w:val="00B10D4B"/>
    <w:rsid w:val="00B120D3"/>
    <w:rsid w:val="00B209B0"/>
    <w:rsid w:val="00B26249"/>
    <w:rsid w:val="00B41EAA"/>
    <w:rsid w:val="00B42823"/>
    <w:rsid w:val="00B45D17"/>
    <w:rsid w:val="00B47241"/>
    <w:rsid w:val="00B47243"/>
    <w:rsid w:val="00B5444A"/>
    <w:rsid w:val="00B553B7"/>
    <w:rsid w:val="00B56FD9"/>
    <w:rsid w:val="00B602A2"/>
    <w:rsid w:val="00B6093A"/>
    <w:rsid w:val="00B60CA7"/>
    <w:rsid w:val="00B611D5"/>
    <w:rsid w:val="00B66A37"/>
    <w:rsid w:val="00B720E0"/>
    <w:rsid w:val="00B732E2"/>
    <w:rsid w:val="00B733A5"/>
    <w:rsid w:val="00B737A2"/>
    <w:rsid w:val="00B772C4"/>
    <w:rsid w:val="00B8000B"/>
    <w:rsid w:val="00B806D3"/>
    <w:rsid w:val="00B80739"/>
    <w:rsid w:val="00B83AAD"/>
    <w:rsid w:val="00B84324"/>
    <w:rsid w:val="00B85771"/>
    <w:rsid w:val="00B858AA"/>
    <w:rsid w:val="00B92A47"/>
    <w:rsid w:val="00B92E47"/>
    <w:rsid w:val="00B9457F"/>
    <w:rsid w:val="00B95CBF"/>
    <w:rsid w:val="00BA0A0F"/>
    <w:rsid w:val="00BA182C"/>
    <w:rsid w:val="00BB7990"/>
    <w:rsid w:val="00BC49D6"/>
    <w:rsid w:val="00BD4057"/>
    <w:rsid w:val="00BD5E83"/>
    <w:rsid w:val="00BD6C81"/>
    <w:rsid w:val="00BE24F9"/>
    <w:rsid w:val="00BE5F3F"/>
    <w:rsid w:val="00BE6321"/>
    <w:rsid w:val="00BE6421"/>
    <w:rsid w:val="00BF2313"/>
    <w:rsid w:val="00BF42BA"/>
    <w:rsid w:val="00BF7914"/>
    <w:rsid w:val="00C02991"/>
    <w:rsid w:val="00C225F1"/>
    <w:rsid w:val="00C23602"/>
    <w:rsid w:val="00C24C92"/>
    <w:rsid w:val="00C27680"/>
    <w:rsid w:val="00C3426A"/>
    <w:rsid w:val="00C4673E"/>
    <w:rsid w:val="00C46DCC"/>
    <w:rsid w:val="00C514AB"/>
    <w:rsid w:val="00C53156"/>
    <w:rsid w:val="00C536C5"/>
    <w:rsid w:val="00C55F2F"/>
    <w:rsid w:val="00C61401"/>
    <w:rsid w:val="00C61BBA"/>
    <w:rsid w:val="00C70EFD"/>
    <w:rsid w:val="00C72DE4"/>
    <w:rsid w:val="00C7307F"/>
    <w:rsid w:val="00C731D2"/>
    <w:rsid w:val="00C760FE"/>
    <w:rsid w:val="00C77F6C"/>
    <w:rsid w:val="00C81BF6"/>
    <w:rsid w:val="00C85794"/>
    <w:rsid w:val="00C8671F"/>
    <w:rsid w:val="00C9343F"/>
    <w:rsid w:val="00C94B69"/>
    <w:rsid w:val="00C97365"/>
    <w:rsid w:val="00C97953"/>
    <w:rsid w:val="00CA4331"/>
    <w:rsid w:val="00CA7DDE"/>
    <w:rsid w:val="00CB0394"/>
    <w:rsid w:val="00CB39B9"/>
    <w:rsid w:val="00CB5200"/>
    <w:rsid w:val="00CB621A"/>
    <w:rsid w:val="00CB6E80"/>
    <w:rsid w:val="00CB795C"/>
    <w:rsid w:val="00CC093F"/>
    <w:rsid w:val="00CC1A49"/>
    <w:rsid w:val="00CC20C9"/>
    <w:rsid w:val="00CC42FA"/>
    <w:rsid w:val="00CC45B5"/>
    <w:rsid w:val="00CC78BC"/>
    <w:rsid w:val="00CD0147"/>
    <w:rsid w:val="00CD3251"/>
    <w:rsid w:val="00CD4B38"/>
    <w:rsid w:val="00CD4F5E"/>
    <w:rsid w:val="00CD679F"/>
    <w:rsid w:val="00CD73C4"/>
    <w:rsid w:val="00CE0E1A"/>
    <w:rsid w:val="00CE7FC3"/>
    <w:rsid w:val="00CF1F0E"/>
    <w:rsid w:val="00CF5D2D"/>
    <w:rsid w:val="00D05540"/>
    <w:rsid w:val="00D074B7"/>
    <w:rsid w:val="00D1040C"/>
    <w:rsid w:val="00D147CD"/>
    <w:rsid w:val="00D14860"/>
    <w:rsid w:val="00D157AD"/>
    <w:rsid w:val="00D16C02"/>
    <w:rsid w:val="00D2294A"/>
    <w:rsid w:val="00D26A37"/>
    <w:rsid w:val="00D26CA2"/>
    <w:rsid w:val="00D31878"/>
    <w:rsid w:val="00D44497"/>
    <w:rsid w:val="00D44910"/>
    <w:rsid w:val="00D4747E"/>
    <w:rsid w:val="00D52542"/>
    <w:rsid w:val="00D527B6"/>
    <w:rsid w:val="00D5646D"/>
    <w:rsid w:val="00D6254C"/>
    <w:rsid w:val="00D655BE"/>
    <w:rsid w:val="00D658CC"/>
    <w:rsid w:val="00D65D14"/>
    <w:rsid w:val="00D6713B"/>
    <w:rsid w:val="00D7102A"/>
    <w:rsid w:val="00D8122B"/>
    <w:rsid w:val="00D814A8"/>
    <w:rsid w:val="00D81DDA"/>
    <w:rsid w:val="00D8536B"/>
    <w:rsid w:val="00D8540B"/>
    <w:rsid w:val="00D91D07"/>
    <w:rsid w:val="00D93756"/>
    <w:rsid w:val="00D96F88"/>
    <w:rsid w:val="00DA6C33"/>
    <w:rsid w:val="00DB126C"/>
    <w:rsid w:val="00DB19EE"/>
    <w:rsid w:val="00DB61CA"/>
    <w:rsid w:val="00DC084E"/>
    <w:rsid w:val="00DC4DEC"/>
    <w:rsid w:val="00DC6A60"/>
    <w:rsid w:val="00DC7AAA"/>
    <w:rsid w:val="00DD0F34"/>
    <w:rsid w:val="00DE0720"/>
    <w:rsid w:val="00DE0E91"/>
    <w:rsid w:val="00DE1516"/>
    <w:rsid w:val="00DE30A0"/>
    <w:rsid w:val="00DE765A"/>
    <w:rsid w:val="00DF5A0B"/>
    <w:rsid w:val="00E00A42"/>
    <w:rsid w:val="00E03F5B"/>
    <w:rsid w:val="00E06028"/>
    <w:rsid w:val="00E07E1F"/>
    <w:rsid w:val="00E14BFA"/>
    <w:rsid w:val="00E15AA5"/>
    <w:rsid w:val="00E21773"/>
    <w:rsid w:val="00E24C19"/>
    <w:rsid w:val="00E267DB"/>
    <w:rsid w:val="00E26DEF"/>
    <w:rsid w:val="00E32098"/>
    <w:rsid w:val="00E34666"/>
    <w:rsid w:val="00E36D69"/>
    <w:rsid w:val="00E376FB"/>
    <w:rsid w:val="00E37855"/>
    <w:rsid w:val="00E460DB"/>
    <w:rsid w:val="00E5109E"/>
    <w:rsid w:val="00E55157"/>
    <w:rsid w:val="00E60CC8"/>
    <w:rsid w:val="00E63F82"/>
    <w:rsid w:val="00E65CE7"/>
    <w:rsid w:val="00E67652"/>
    <w:rsid w:val="00E67EF4"/>
    <w:rsid w:val="00E7536B"/>
    <w:rsid w:val="00E779A4"/>
    <w:rsid w:val="00E82724"/>
    <w:rsid w:val="00E831C2"/>
    <w:rsid w:val="00E85623"/>
    <w:rsid w:val="00E85D6C"/>
    <w:rsid w:val="00E86705"/>
    <w:rsid w:val="00E904FA"/>
    <w:rsid w:val="00E92F11"/>
    <w:rsid w:val="00EA6528"/>
    <w:rsid w:val="00EB0482"/>
    <w:rsid w:val="00EB08DA"/>
    <w:rsid w:val="00EC07CE"/>
    <w:rsid w:val="00EC124D"/>
    <w:rsid w:val="00EC1C72"/>
    <w:rsid w:val="00ED1E39"/>
    <w:rsid w:val="00ED2035"/>
    <w:rsid w:val="00ED30D7"/>
    <w:rsid w:val="00ED6331"/>
    <w:rsid w:val="00ED73FF"/>
    <w:rsid w:val="00EE132D"/>
    <w:rsid w:val="00EE2B63"/>
    <w:rsid w:val="00EE2C3D"/>
    <w:rsid w:val="00EE3AD5"/>
    <w:rsid w:val="00EE642F"/>
    <w:rsid w:val="00EE6EE2"/>
    <w:rsid w:val="00EF03B5"/>
    <w:rsid w:val="00EF3014"/>
    <w:rsid w:val="00EF31F4"/>
    <w:rsid w:val="00EF4F6C"/>
    <w:rsid w:val="00EF7535"/>
    <w:rsid w:val="00F12423"/>
    <w:rsid w:val="00F15BDF"/>
    <w:rsid w:val="00F15D43"/>
    <w:rsid w:val="00F22A61"/>
    <w:rsid w:val="00F24BB6"/>
    <w:rsid w:val="00F30D74"/>
    <w:rsid w:val="00F33824"/>
    <w:rsid w:val="00F35BDF"/>
    <w:rsid w:val="00F478D6"/>
    <w:rsid w:val="00F50BC3"/>
    <w:rsid w:val="00F56D08"/>
    <w:rsid w:val="00F57DB7"/>
    <w:rsid w:val="00F619FB"/>
    <w:rsid w:val="00F63714"/>
    <w:rsid w:val="00F72EB6"/>
    <w:rsid w:val="00F74136"/>
    <w:rsid w:val="00F75571"/>
    <w:rsid w:val="00F76B7F"/>
    <w:rsid w:val="00F8519A"/>
    <w:rsid w:val="00F950E1"/>
    <w:rsid w:val="00FB46FE"/>
    <w:rsid w:val="00FB546E"/>
    <w:rsid w:val="00FC0551"/>
    <w:rsid w:val="00FD5502"/>
    <w:rsid w:val="00FD6F26"/>
    <w:rsid w:val="00FD706B"/>
    <w:rsid w:val="00FE25F6"/>
    <w:rsid w:val="00FE2D7B"/>
    <w:rsid w:val="00FE5BE5"/>
    <w:rsid w:val="00FF198D"/>
    <w:rsid w:val="00FF1C43"/>
    <w:rsid w:val="00FF5988"/>
    <w:rsid w:val="00FF6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64E4"/>
  <w15:chartTrackingRefBased/>
  <w15:docId w15:val="{C82894DC-03A4-8E46-ACAA-A52771DF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B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B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B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3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BB8"/>
    <w:rPr>
      <w:rFonts w:eastAsiaTheme="majorEastAsia" w:cstheme="majorBidi"/>
      <w:color w:val="272727" w:themeColor="text1" w:themeTint="D8"/>
    </w:rPr>
  </w:style>
  <w:style w:type="paragraph" w:styleId="Title">
    <w:name w:val="Title"/>
    <w:basedOn w:val="Normal"/>
    <w:next w:val="Normal"/>
    <w:link w:val="TitleChar"/>
    <w:uiPriority w:val="10"/>
    <w:qFormat/>
    <w:rsid w:val="00273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BB8"/>
    <w:pPr>
      <w:spacing w:before="160"/>
      <w:jc w:val="center"/>
    </w:pPr>
    <w:rPr>
      <w:i/>
      <w:iCs/>
      <w:color w:val="404040" w:themeColor="text1" w:themeTint="BF"/>
    </w:rPr>
  </w:style>
  <w:style w:type="character" w:customStyle="1" w:styleId="QuoteChar">
    <w:name w:val="Quote Char"/>
    <w:basedOn w:val="DefaultParagraphFont"/>
    <w:link w:val="Quote"/>
    <w:uiPriority w:val="29"/>
    <w:rsid w:val="00273BB8"/>
    <w:rPr>
      <w:i/>
      <w:iCs/>
      <w:color w:val="404040" w:themeColor="text1" w:themeTint="BF"/>
    </w:rPr>
  </w:style>
  <w:style w:type="paragraph" w:styleId="ListParagraph">
    <w:name w:val="List Paragraph"/>
    <w:basedOn w:val="Normal"/>
    <w:uiPriority w:val="34"/>
    <w:qFormat/>
    <w:rsid w:val="00273BB8"/>
    <w:pPr>
      <w:ind w:left="720"/>
      <w:contextualSpacing/>
    </w:pPr>
  </w:style>
  <w:style w:type="character" w:styleId="IntenseEmphasis">
    <w:name w:val="Intense Emphasis"/>
    <w:basedOn w:val="DefaultParagraphFont"/>
    <w:uiPriority w:val="21"/>
    <w:qFormat/>
    <w:rsid w:val="00273BB8"/>
    <w:rPr>
      <w:i/>
      <w:iCs/>
      <w:color w:val="0F4761" w:themeColor="accent1" w:themeShade="BF"/>
    </w:rPr>
  </w:style>
  <w:style w:type="paragraph" w:styleId="IntenseQuote">
    <w:name w:val="Intense Quote"/>
    <w:basedOn w:val="Normal"/>
    <w:next w:val="Normal"/>
    <w:link w:val="IntenseQuoteChar"/>
    <w:uiPriority w:val="30"/>
    <w:qFormat/>
    <w:rsid w:val="00273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BB8"/>
    <w:rPr>
      <w:i/>
      <w:iCs/>
      <w:color w:val="0F4761" w:themeColor="accent1" w:themeShade="BF"/>
    </w:rPr>
  </w:style>
  <w:style w:type="character" w:styleId="IntenseReference">
    <w:name w:val="Intense Reference"/>
    <w:basedOn w:val="DefaultParagraphFont"/>
    <w:uiPriority w:val="32"/>
    <w:qFormat/>
    <w:rsid w:val="00273BB8"/>
    <w:rPr>
      <w:b/>
      <w:bCs/>
      <w:smallCaps/>
      <w:color w:val="0F4761" w:themeColor="accent1" w:themeShade="BF"/>
      <w:spacing w:val="5"/>
    </w:rPr>
  </w:style>
  <w:style w:type="paragraph" w:styleId="Revision">
    <w:name w:val="Revision"/>
    <w:hidden/>
    <w:uiPriority w:val="99"/>
    <w:semiHidden/>
    <w:rsid w:val="0069662D"/>
    <w:pPr>
      <w:spacing w:after="0" w:line="240" w:lineRule="auto"/>
    </w:pPr>
  </w:style>
  <w:style w:type="paragraph" w:styleId="FootnoteText">
    <w:name w:val="footnote text"/>
    <w:basedOn w:val="Normal"/>
    <w:link w:val="FootnoteTextChar"/>
    <w:uiPriority w:val="99"/>
    <w:semiHidden/>
    <w:unhideWhenUsed/>
    <w:rsid w:val="005346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4659"/>
    <w:rPr>
      <w:sz w:val="20"/>
      <w:szCs w:val="20"/>
    </w:rPr>
  </w:style>
  <w:style w:type="character" w:styleId="FootnoteReference">
    <w:name w:val="footnote reference"/>
    <w:basedOn w:val="DefaultParagraphFont"/>
    <w:uiPriority w:val="99"/>
    <w:semiHidden/>
    <w:unhideWhenUsed/>
    <w:rsid w:val="00534659"/>
    <w:rPr>
      <w:vertAlign w:val="superscript"/>
    </w:rPr>
  </w:style>
  <w:style w:type="character" w:styleId="Hyperlink">
    <w:name w:val="Hyperlink"/>
    <w:basedOn w:val="DefaultParagraphFont"/>
    <w:uiPriority w:val="99"/>
    <w:unhideWhenUsed/>
    <w:rsid w:val="00943427"/>
    <w:rPr>
      <w:color w:val="0000FF"/>
      <w:u w:val="single"/>
    </w:rPr>
  </w:style>
  <w:style w:type="character" w:styleId="FollowedHyperlink">
    <w:name w:val="FollowedHyperlink"/>
    <w:basedOn w:val="DefaultParagraphFont"/>
    <w:uiPriority w:val="99"/>
    <w:semiHidden/>
    <w:unhideWhenUsed/>
    <w:rsid w:val="00F24BB6"/>
    <w:rPr>
      <w:color w:val="96607D" w:themeColor="followedHyperlink"/>
      <w:u w:val="single"/>
    </w:rPr>
  </w:style>
  <w:style w:type="character" w:styleId="CommentReference">
    <w:name w:val="annotation reference"/>
    <w:basedOn w:val="DefaultParagraphFont"/>
    <w:uiPriority w:val="99"/>
    <w:semiHidden/>
    <w:unhideWhenUsed/>
    <w:rsid w:val="00D074B7"/>
    <w:rPr>
      <w:sz w:val="16"/>
      <w:szCs w:val="16"/>
    </w:rPr>
  </w:style>
  <w:style w:type="paragraph" w:styleId="CommentText">
    <w:name w:val="annotation text"/>
    <w:basedOn w:val="Normal"/>
    <w:link w:val="CommentTextChar"/>
    <w:uiPriority w:val="99"/>
    <w:semiHidden/>
    <w:unhideWhenUsed/>
    <w:rsid w:val="00D074B7"/>
    <w:pPr>
      <w:spacing w:line="240" w:lineRule="auto"/>
    </w:pPr>
    <w:rPr>
      <w:sz w:val="20"/>
      <w:szCs w:val="20"/>
    </w:rPr>
  </w:style>
  <w:style w:type="character" w:customStyle="1" w:styleId="CommentTextChar">
    <w:name w:val="Comment Text Char"/>
    <w:basedOn w:val="DefaultParagraphFont"/>
    <w:link w:val="CommentText"/>
    <w:uiPriority w:val="99"/>
    <w:semiHidden/>
    <w:rsid w:val="00D074B7"/>
    <w:rPr>
      <w:sz w:val="20"/>
      <w:szCs w:val="20"/>
    </w:rPr>
  </w:style>
  <w:style w:type="paragraph" w:styleId="CommentSubject">
    <w:name w:val="annotation subject"/>
    <w:basedOn w:val="CommentText"/>
    <w:next w:val="CommentText"/>
    <w:link w:val="CommentSubjectChar"/>
    <w:uiPriority w:val="99"/>
    <w:semiHidden/>
    <w:unhideWhenUsed/>
    <w:rsid w:val="00D074B7"/>
    <w:rPr>
      <w:b/>
      <w:bCs/>
    </w:rPr>
  </w:style>
  <w:style w:type="character" w:customStyle="1" w:styleId="CommentSubjectChar">
    <w:name w:val="Comment Subject Char"/>
    <w:basedOn w:val="CommentTextChar"/>
    <w:link w:val="CommentSubject"/>
    <w:uiPriority w:val="99"/>
    <w:semiHidden/>
    <w:rsid w:val="00D074B7"/>
    <w:rPr>
      <w:b/>
      <w:bCs/>
      <w:sz w:val="20"/>
      <w:szCs w:val="20"/>
    </w:rPr>
  </w:style>
  <w:style w:type="character" w:styleId="PlaceholderText">
    <w:name w:val="Placeholder Text"/>
    <w:basedOn w:val="DefaultParagraphFont"/>
    <w:uiPriority w:val="99"/>
    <w:semiHidden/>
    <w:rsid w:val="00411A6F"/>
    <w:rPr>
      <w:color w:val="666666"/>
    </w:rPr>
  </w:style>
  <w:style w:type="character" w:styleId="UnresolvedMention">
    <w:name w:val="Unresolved Mention"/>
    <w:basedOn w:val="DefaultParagraphFont"/>
    <w:uiPriority w:val="99"/>
    <w:semiHidden/>
    <w:unhideWhenUsed/>
    <w:rsid w:val="0033543B"/>
    <w:rPr>
      <w:color w:val="605E5C"/>
      <w:shd w:val="clear" w:color="auto" w:fill="E1DFDD"/>
    </w:rPr>
  </w:style>
  <w:style w:type="paragraph" w:styleId="BodyText">
    <w:name w:val="Body Text"/>
    <w:basedOn w:val="Normal"/>
    <w:link w:val="BodyTextChar"/>
    <w:qFormat/>
    <w:rsid w:val="00B5444A"/>
    <w:pPr>
      <w:spacing w:before="180" w:after="180" w:line="240" w:lineRule="auto"/>
    </w:pPr>
    <w:rPr>
      <w:kern w:val="0"/>
      <w14:ligatures w14:val="none"/>
    </w:rPr>
  </w:style>
  <w:style w:type="character" w:customStyle="1" w:styleId="BodyTextChar">
    <w:name w:val="Body Text Char"/>
    <w:basedOn w:val="DefaultParagraphFont"/>
    <w:link w:val="BodyText"/>
    <w:rsid w:val="00B5444A"/>
    <w:rPr>
      <w:kern w:val="0"/>
      <w14:ligatures w14:val="none"/>
    </w:rPr>
  </w:style>
  <w:style w:type="paragraph" w:customStyle="1" w:styleId="my-0">
    <w:name w:val="my-0"/>
    <w:basedOn w:val="Normal"/>
    <w:rsid w:val="007836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093F"/>
    <w:rPr>
      <w:b/>
      <w:bCs/>
    </w:rPr>
  </w:style>
  <w:style w:type="character" w:styleId="Emphasis">
    <w:name w:val="Emphasis"/>
    <w:basedOn w:val="DefaultParagraphFont"/>
    <w:uiPriority w:val="20"/>
    <w:qFormat/>
    <w:rsid w:val="00DE30A0"/>
    <w:rPr>
      <w:i/>
      <w:iCs/>
    </w:rPr>
  </w:style>
  <w:style w:type="paragraph" w:customStyle="1" w:styleId="FirstParagraph">
    <w:name w:val="First Paragraph"/>
    <w:basedOn w:val="BodyText"/>
    <w:next w:val="BodyText"/>
    <w:qFormat/>
    <w:rsid w:val="00073C9A"/>
  </w:style>
  <w:style w:type="paragraph" w:customStyle="1" w:styleId="Compact">
    <w:name w:val="Compact"/>
    <w:basedOn w:val="BodyText"/>
    <w:qFormat/>
    <w:rsid w:val="00077421"/>
    <w:pPr>
      <w:spacing w:before="36" w:after="36"/>
    </w:pPr>
  </w:style>
  <w:style w:type="character" w:customStyle="1" w:styleId="CharTok">
    <w:name w:val="CharTok"/>
    <w:basedOn w:val="DefaultParagraphFont"/>
    <w:rsid w:val="00077421"/>
    <w:rPr>
      <w:rFonts w:ascii="Consolas" w:hAnsi="Consolas"/>
      <w:color w:val="4070A0"/>
      <w:sz w:val="22"/>
    </w:rPr>
  </w:style>
  <w:style w:type="paragraph" w:customStyle="1" w:styleId="font-claude-response-body">
    <w:name w:val="font-claude-response-body"/>
    <w:basedOn w:val="Normal"/>
    <w:rsid w:val="008C7FB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A69D9"/>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csl-left-margin">
    <w:name w:val="csl-left-margin"/>
    <w:basedOn w:val="DefaultParagraphFont"/>
    <w:rsid w:val="00AA69D9"/>
  </w:style>
  <w:style w:type="character" w:customStyle="1" w:styleId="csl-right-inline">
    <w:name w:val="csl-right-inline"/>
    <w:basedOn w:val="DefaultParagraphFont"/>
    <w:rsid w:val="00AA69D9"/>
  </w:style>
  <w:style w:type="character" w:customStyle="1" w:styleId="csl-entry">
    <w:name w:val="csl-entry"/>
    <w:basedOn w:val="DefaultParagraphFont"/>
    <w:rsid w:val="00093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23">
      <w:bodyDiv w:val="1"/>
      <w:marLeft w:val="0"/>
      <w:marRight w:val="0"/>
      <w:marTop w:val="0"/>
      <w:marBottom w:val="0"/>
      <w:divBdr>
        <w:top w:val="none" w:sz="0" w:space="0" w:color="auto"/>
        <w:left w:val="none" w:sz="0" w:space="0" w:color="auto"/>
        <w:bottom w:val="none" w:sz="0" w:space="0" w:color="auto"/>
        <w:right w:val="none" w:sz="0" w:space="0" w:color="auto"/>
      </w:divBdr>
    </w:div>
    <w:div w:id="18556288">
      <w:bodyDiv w:val="1"/>
      <w:marLeft w:val="0"/>
      <w:marRight w:val="0"/>
      <w:marTop w:val="0"/>
      <w:marBottom w:val="0"/>
      <w:divBdr>
        <w:top w:val="none" w:sz="0" w:space="0" w:color="auto"/>
        <w:left w:val="none" w:sz="0" w:space="0" w:color="auto"/>
        <w:bottom w:val="none" w:sz="0" w:space="0" w:color="auto"/>
        <w:right w:val="none" w:sz="0" w:space="0" w:color="auto"/>
      </w:divBdr>
    </w:div>
    <w:div w:id="24840511">
      <w:bodyDiv w:val="1"/>
      <w:marLeft w:val="0"/>
      <w:marRight w:val="0"/>
      <w:marTop w:val="0"/>
      <w:marBottom w:val="0"/>
      <w:divBdr>
        <w:top w:val="none" w:sz="0" w:space="0" w:color="auto"/>
        <w:left w:val="none" w:sz="0" w:space="0" w:color="auto"/>
        <w:bottom w:val="none" w:sz="0" w:space="0" w:color="auto"/>
        <w:right w:val="none" w:sz="0" w:space="0" w:color="auto"/>
      </w:divBdr>
    </w:div>
    <w:div w:id="28650552">
      <w:bodyDiv w:val="1"/>
      <w:marLeft w:val="0"/>
      <w:marRight w:val="0"/>
      <w:marTop w:val="0"/>
      <w:marBottom w:val="0"/>
      <w:divBdr>
        <w:top w:val="none" w:sz="0" w:space="0" w:color="auto"/>
        <w:left w:val="none" w:sz="0" w:space="0" w:color="auto"/>
        <w:bottom w:val="none" w:sz="0" w:space="0" w:color="auto"/>
        <w:right w:val="none" w:sz="0" w:space="0" w:color="auto"/>
      </w:divBdr>
    </w:div>
    <w:div w:id="44256988">
      <w:bodyDiv w:val="1"/>
      <w:marLeft w:val="0"/>
      <w:marRight w:val="0"/>
      <w:marTop w:val="0"/>
      <w:marBottom w:val="0"/>
      <w:divBdr>
        <w:top w:val="none" w:sz="0" w:space="0" w:color="auto"/>
        <w:left w:val="none" w:sz="0" w:space="0" w:color="auto"/>
        <w:bottom w:val="none" w:sz="0" w:space="0" w:color="auto"/>
        <w:right w:val="none" w:sz="0" w:space="0" w:color="auto"/>
      </w:divBdr>
    </w:div>
    <w:div w:id="45030141">
      <w:bodyDiv w:val="1"/>
      <w:marLeft w:val="0"/>
      <w:marRight w:val="0"/>
      <w:marTop w:val="0"/>
      <w:marBottom w:val="0"/>
      <w:divBdr>
        <w:top w:val="none" w:sz="0" w:space="0" w:color="auto"/>
        <w:left w:val="none" w:sz="0" w:space="0" w:color="auto"/>
        <w:bottom w:val="none" w:sz="0" w:space="0" w:color="auto"/>
        <w:right w:val="none" w:sz="0" w:space="0" w:color="auto"/>
      </w:divBdr>
    </w:div>
    <w:div w:id="57946487">
      <w:bodyDiv w:val="1"/>
      <w:marLeft w:val="0"/>
      <w:marRight w:val="0"/>
      <w:marTop w:val="0"/>
      <w:marBottom w:val="0"/>
      <w:divBdr>
        <w:top w:val="none" w:sz="0" w:space="0" w:color="auto"/>
        <w:left w:val="none" w:sz="0" w:space="0" w:color="auto"/>
        <w:bottom w:val="none" w:sz="0" w:space="0" w:color="auto"/>
        <w:right w:val="none" w:sz="0" w:space="0" w:color="auto"/>
      </w:divBdr>
    </w:div>
    <w:div w:id="63450267">
      <w:bodyDiv w:val="1"/>
      <w:marLeft w:val="0"/>
      <w:marRight w:val="0"/>
      <w:marTop w:val="0"/>
      <w:marBottom w:val="0"/>
      <w:divBdr>
        <w:top w:val="none" w:sz="0" w:space="0" w:color="auto"/>
        <w:left w:val="none" w:sz="0" w:space="0" w:color="auto"/>
        <w:bottom w:val="none" w:sz="0" w:space="0" w:color="auto"/>
        <w:right w:val="none" w:sz="0" w:space="0" w:color="auto"/>
      </w:divBdr>
    </w:div>
    <w:div w:id="134027486">
      <w:bodyDiv w:val="1"/>
      <w:marLeft w:val="0"/>
      <w:marRight w:val="0"/>
      <w:marTop w:val="0"/>
      <w:marBottom w:val="0"/>
      <w:divBdr>
        <w:top w:val="none" w:sz="0" w:space="0" w:color="auto"/>
        <w:left w:val="none" w:sz="0" w:space="0" w:color="auto"/>
        <w:bottom w:val="none" w:sz="0" w:space="0" w:color="auto"/>
        <w:right w:val="none" w:sz="0" w:space="0" w:color="auto"/>
      </w:divBdr>
    </w:div>
    <w:div w:id="158931710">
      <w:bodyDiv w:val="1"/>
      <w:marLeft w:val="0"/>
      <w:marRight w:val="0"/>
      <w:marTop w:val="0"/>
      <w:marBottom w:val="0"/>
      <w:divBdr>
        <w:top w:val="none" w:sz="0" w:space="0" w:color="auto"/>
        <w:left w:val="none" w:sz="0" w:space="0" w:color="auto"/>
        <w:bottom w:val="none" w:sz="0" w:space="0" w:color="auto"/>
        <w:right w:val="none" w:sz="0" w:space="0" w:color="auto"/>
      </w:divBdr>
    </w:div>
    <w:div w:id="160194439">
      <w:bodyDiv w:val="1"/>
      <w:marLeft w:val="0"/>
      <w:marRight w:val="0"/>
      <w:marTop w:val="0"/>
      <w:marBottom w:val="0"/>
      <w:divBdr>
        <w:top w:val="none" w:sz="0" w:space="0" w:color="auto"/>
        <w:left w:val="none" w:sz="0" w:space="0" w:color="auto"/>
        <w:bottom w:val="none" w:sz="0" w:space="0" w:color="auto"/>
        <w:right w:val="none" w:sz="0" w:space="0" w:color="auto"/>
      </w:divBdr>
    </w:div>
    <w:div w:id="180553979">
      <w:bodyDiv w:val="1"/>
      <w:marLeft w:val="0"/>
      <w:marRight w:val="0"/>
      <w:marTop w:val="0"/>
      <w:marBottom w:val="0"/>
      <w:divBdr>
        <w:top w:val="none" w:sz="0" w:space="0" w:color="auto"/>
        <w:left w:val="none" w:sz="0" w:space="0" w:color="auto"/>
        <w:bottom w:val="none" w:sz="0" w:space="0" w:color="auto"/>
        <w:right w:val="none" w:sz="0" w:space="0" w:color="auto"/>
      </w:divBdr>
    </w:div>
    <w:div w:id="188493096">
      <w:bodyDiv w:val="1"/>
      <w:marLeft w:val="0"/>
      <w:marRight w:val="0"/>
      <w:marTop w:val="0"/>
      <w:marBottom w:val="0"/>
      <w:divBdr>
        <w:top w:val="none" w:sz="0" w:space="0" w:color="auto"/>
        <w:left w:val="none" w:sz="0" w:space="0" w:color="auto"/>
        <w:bottom w:val="none" w:sz="0" w:space="0" w:color="auto"/>
        <w:right w:val="none" w:sz="0" w:space="0" w:color="auto"/>
      </w:divBdr>
    </w:div>
    <w:div w:id="190145996">
      <w:bodyDiv w:val="1"/>
      <w:marLeft w:val="0"/>
      <w:marRight w:val="0"/>
      <w:marTop w:val="0"/>
      <w:marBottom w:val="0"/>
      <w:divBdr>
        <w:top w:val="none" w:sz="0" w:space="0" w:color="auto"/>
        <w:left w:val="none" w:sz="0" w:space="0" w:color="auto"/>
        <w:bottom w:val="none" w:sz="0" w:space="0" w:color="auto"/>
        <w:right w:val="none" w:sz="0" w:space="0" w:color="auto"/>
      </w:divBdr>
    </w:div>
    <w:div w:id="198863891">
      <w:bodyDiv w:val="1"/>
      <w:marLeft w:val="0"/>
      <w:marRight w:val="0"/>
      <w:marTop w:val="0"/>
      <w:marBottom w:val="0"/>
      <w:divBdr>
        <w:top w:val="none" w:sz="0" w:space="0" w:color="auto"/>
        <w:left w:val="none" w:sz="0" w:space="0" w:color="auto"/>
        <w:bottom w:val="none" w:sz="0" w:space="0" w:color="auto"/>
        <w:right w:val="none" w:sz="0" w:space="0" w:color="auto"/>
      </w:divBdr>
    </w:div>
    <w:div w:id="227885625">
      <w:bodyDiv w:val="1"/>
      <w:marLeft w:val="0"/>
      <w:marRight w:val="0"/>
      <w:marTop w:val="0"/>
      <w:marBottom w:val="0"/>
      <w:divBdr>
        <w:top w:val="none" w:sz="0" w:space="0" w:color="auto"/>
        <w:left w:val="none" w:sz="0" w:space="0" w:color="auto"/>
        <w:bottom w:val="none" w:sz="0" w:space="0" w:color="auto"/>
        <w:right w:val="none" w:sz="0" w:space="0" w:color="auto"/>
      </w:divBdr>
    </w:div>
    <w:div w:id="307320687">
      <w:bodyDiv w:val="1"/>
      <w:marLeft w:val="0"/>
      <w:marRight w:val="0"/>
      <w:marTop w:val="0"/>
      <w:marBottom w:val="0"/>
      <w:divBdr>
        <w:top w:val="none" w:sz="0" w:space="0" w:color="auto"/>
        <w:left w:val="none" w:sz="0" w:space="0" w:color="auto"/>
        <w:bottom w:val="none" w:sz="0" w:space="0" w:color="auto"/>
        <w:right w:val="none" w:sz="0" w:space="0" w:color="auto"/>
      </w:divBdr>
    </w:div>
    <w:div w:id="309679140">
      <w:bodyDiv w:val="1"/>
      <w:marLeft w:val="0"/>
      <w:marRight w:val="0"/>
      <w:marTop w:val="0"/>
      <w:marBottom w:val="0"/>
      <w:divBdr>
        <w:top w:val="none" w:sz="0" w:space="0" w:color="auto"/>
        <w:left w:val="none" w:sz="0" w:space="0" w:color="auto"/>
        <w:bottom w:val="none" w:sz="0" w:space="0" w:color="auto"/>
        <w:right w:val="none" w:sz="0" w:space="0" w:color="auto"/>
      </w:divBdr>
    </w:div>
    <w:div w:id="336422452">
      <w:bodyDiv w:val="1"/>
      <w:marLeft w:val="0"/>
      <w:marRight w:val="0"/>
      <w:marTop w:val="0"/>
      <w:marBottom w:val="0"/>
      <w:divBdr>
        <w:top w:val="none" w:sz="0" w:space="0" w:color="auto"/>
        <w:left w:val="none" w:sz="0" w:space="0" w:color="auto"/>
        <w:bottom w:val="none" w:sz="0" w:space="0" w:color="auto"/>
        <w:right w:val="none" w:sz="0" w:space="0" w:color="auto"/>
      </w:divBdr>
    </w:div>
    <w:div w:id="338848819">
      <w:bodyDiv w:val="1"/>
      <w:marLeft w:val="0"/>
      <w:marRight w:val="0"/>
      <w:marTop w:val="0"/>
      <w:marBottom w:val="0"/>
      <w:divBdr>
        <w:top w:val="none" w:sz="0" w:space="0" w:color="auto"/>
        <w:left w:val="none" w:sz="0" w:space="0" w:color="auto"/>
        <w:bottom w:val="none" w:sz="0" w:space="0" w:color="auto"/>
        <w:right w:val="none" w:sz="0" w:space="0" w:color="auto"/>
      </w:divBdr>
    </w:div>
    <w:div w:id="361826703">
      <w:bodyDiv w:val="1"/>
      <w:marLeft w:val="0"/>
      <w:marRight w:val="0"/>
      <w:marTop w:val="0"/>
      <w:marBottom w:val="0"/>
      <w:divBdr>
        <w:top w:val="none" w:sz="0" w:space="0" w:color="auto"/>
        <w:left w:val="none" w:sz="0" w:space="0" w:color="auto"/>
        <w:bottom w:val="none" w:sz="0" w:space="0" w:color="auto"/>
        <w:right w:val="none" w:sz="0" w:space="0" w:color="auto"/>
      </w:divBdr>
    </w:div>
    <w:div w:id="413481364">
      <w:bodyDiv w:val="1"/>
      <w:marLeft w:val="0"/>
      <w:marRight w:val="0"/>
      <w:marTop w:val="0"/>
      <w:marBottom w:val="0"/>
      <w:divBdr>
        <w:top w:val="none" w:sz="0" w:space="0" w:color="auto"/>
        <w:left w:val="none" w:sz="0" w:space="0" w:color="auto"/>
        <w:bottom w:val="none" w:sz="0" w:space="0" w:color="auto"/>
        <w:right w:val="none" w:sz="0" w:space="0" w:color="auto"/>
      </w:divBdr>
    </w:div>
    <w:div w:id="431098055">
      <w:bodyDiv w:val="1"/>
      <w:marLeft w:val="0"/>
      <w:marRight w:val="0"/>
      <w:marTop w:val="0"/>
      <w:marBottom w:val="0"/>
      <w:divBdr>
        <w:top w:val="none" w:sz="0" w:space="0" w:color="auto"/>
        <w:left w:val="none" w:sz="0" w:space="0" w:color="auto"/>
        <w:bottom w:val="none" w:sz="0" w:space="0" w:color="auto"/>
        <w:right w:val="none" w:sz="0" w:space="0" w:color="auto"/>
      </w:divBdr>
    </w:div>
    <w:div w:id="460458656">
      <w:bodyDiv w:val="1"/>
      <w:marLeft w:val="0"/>
      <w:marRight w:val="0"/>
      <w:marTop w:val="0"/>
      <w:marBottom w:val="0"/>
      <w:divBdr>
        <w:top w:val="none" w:sz="0" w:space="0" w:color="auto"/>
        <w:left w:val="none" w:sz="0" w:space="0" w:color="auto"/>
        <w:bottom w:val="none" w:sz="0" w:space="0" w:color="auto"/>
        <w:right w:val="none" w:sz="0" w:space="0" w:color="auto"/>
      </w:divBdr>
    </w:div>
    <w:div w:id="484513363">
      <w:bodyDiv w:val="1"/>
      <w:marLeft w:val="0"/>
      <w:marRight w:val="0"/>
      <w:marTop w:val="0"/>
      <w:marBottom w:val="0"/>
      <w:divBdr>
        <w:top w:val="none" w:sz="0" w:space="0" w:color="auto"/>
        <w:left w:val="none" w:sz="0" w:space="0" w:color="auto"/>
        <w:bottom w:val="none" w:sz="0" w:space="0" w:color="auto"/>
        <w:right w:val="none" w:sz="0" w:space="0" w:color="auto"/>
      </w:divBdr>
    </w:div>
    <w:div w:id="518349592">
      <w:bodyDiv w:val="1"/>
      <w:marLeft w:val="0"/>
      <w:marRight w:val="0"/>
      <w:marTop w:val="0"/>
      <w:marBottom w:val="0"/>
      <w:divBdr>
        <w:top w:val="none" w:sz="0" w:space="0" w:color="auto"/>
        <w:left w:val="none" w:sz="0" w:space="0" w:color="auto"/>
        <w:bottom w:val="none" w:sz="0" w:space="0" w:color="auto"/>
        <w:right w:val="none" w:sz="0" w:space="0" w:color="auto"/>
      </w:divBdr>
    </w:div>
    <w:div w:id="532227937">
      <w:bodyDiv w:val="1"/>
      <w:marLeft w:val="0"/>
      <w:marRight w:val="0"/>
      <w:marTop w:val="0"/>
      <w:marBottom w:val="0"/>
      <w:divBdr>
        <w:top w:val="none" w:sz="0" w:space="0" w:color="auto"/>
        <w:left w:val="none" w:sz="0" w:space="0" w:color="auto"/>
        <w:bottom w:val="none" w:sz="0" w:space="0" w:color="auto"/>
        <w:right w:val="none" w:sz="0" w:space="0" w:color="auto"/>
      </w:divBdr>
    </w:div>
    <w:div w:id="540482692">
      <w:bodyDiv w:val="1"/>
      <w:marLeft w:val="0"/>
      <w:marRight w:val="0"/>
      <w:marTop w:val="0"/>
      <w:marBottom w:val="0"/>
      <w:divBdr>
        <w:top w:val="none" w:sz="0" w:space="0" w:color="auto"/>
        <w:left w:val="none" w:sz="0" w:space="0" w:color="auto"/>
        <w:bottom w:val="none" w:sz="0" w:space="0" w:color="auto"/>
        <w:right w:val="none" w:sz="0" w:space="0" w:color="auto"/>
      </w:divBdr>
    </w:div>
    <w:div w:id="559095376">
      <w:bodyDiv w:val="1"/>
      <w:marLeft w:val="0"/>
      <w:marRight w:val="0"/>
      <w:marTop w:val="0"/>
      <w:marBottom w:val="0"/>
      <w:divBdr>
        <w:top w:val="none" w:sz="0" w:space="0" w:color="auto"/>
        <w:left w:val="none" w:sz="0" w:space="0" w:color="auto"/>
        <w:bottom w:val="none" w:sz="0" w:space="0" w:color="auto"/>
        <w:right w:val="none" w:sz="0" w:space="0" w:color="auto"/>
      </w:divBdr>
    </w:div>
    <w:div w:id="565192191">
      <w:bodyDiv w:val="1"/>
      <w:marLeft w:val="0"/>
      <w:marRight w:val="0"/>
      <w:marTop w:val="0"/>
      <w:marBottom w:val="0"/>
      <w:divBdr>
        <w:top w:val="none" w:sz="0" w:space="0" w:color="auto"/>
        <w:left w:val="none" w:sz="0" w:space="0" w:color="auto"/>
        <w:bottom w:val="none" w:sz="0" w:space="0" w:color="auto"/>
        <w:right w:val="none" w:sz="0" w:space="0" w:color="auto"/>
      </w:divBdr>
    </w:div>
    <w:div w:id="670062000">
      <w:bodyDiv w:val="1"/>
      <w:marLeft w:val="0"/>
      <w:marRight w:val="0"/>
      <w:marTop w:val="0"/>
      <w:marBottom w:val="0"/>
      <w:divBdr>
        <w:top w:val="none" w:sz="0" w:space="0" w:color="auto"/>
        <w:left w:val="none" w:sz="0" w:space="0" w:color="auto"/>
        <w:bottom w:val="none" w:sz="0" w:space="0" w:color="auto"/>
        <w:right w:val="none" w:sz="0" w:space="0" w:color="auto"/>
      </w:divBdr>
    </w:div>
    <w:div w:id="696976918">
      <w:bodyDiv w:val="1"/>
      <w:marLeft w:val="0"/>
      <w:marRight w:val="0"/>
      <w:marTop w:val="0"/>
      <w:marBottom w:val="0"/>
      <w:divBdr>
        <w:top w:val="none" w:sz="0" w:space="0" w:color="auto"/>
        <w:left w:val="none" w:sz="0" w:space="0" w:color="auto"/>
        <w:bottom w:val="none" w:sz="0" w:space="0" w:color="auto"/>
        <w:right w:val="none" w:sz="0" w:space="0" w:color="auto"/>
      </w:divBdr>
    </w:div>
    <w:div w:id="700469908">
      <w:bodyDiv w:val="1"/>
      <w:marLeft w:val="0"/>
      <w:marRight w:val="0"/>
      <w:marTop w:val="0"/>
      <w:marBottom w:val="0"/>
      <w:divBdr>
        <w:top w:val="none" w:sz="0" w:space="0" w:color="auto"/>
        <w:left w:val="none" w:sz="0" w:space="0" w:color="auto"/>
        <w:bottom w:val="none" w:sz="0" w:space="0" w:color="auto"/>
        <w:right w:val="none" w:sz="0" w:space="0" w:color="auto"/>
      </w:divBdr>
    </w:div>
    <w:div w:id="711812068">
      <w:bodyDiv w:val="1"/>
      <w:marLeft w:val="0"/>
      <w:marRight w:val="0"/>
      <w:marTop w:val="0"/>
      <w:marBottom w:val="0"/>
      <w:divBdr>
        <w:top w:val="none" w:sz="0" w:space="0" w:color="auto"/>
        <w:left w:val="none" w:sz="0" w:space="0" w:color="auto"/>
        <w:bottom w:val="none" w:sz="0" w:space="0" w:color="auto"/>
        <w:right w:val="none" w:sz="0" w:space="0" w:color="auto"/>
      </w:divBdr>
    </w:div>
    <w:div w:id="724991995">
      <w:bodyDiv w:val="1"/>
      <w:marLeft w:val="0"/>
      <w:marRight w:val="0"/>
      <w:marTop w:val="0"/>
      <w:marBottom w:val="0"/>
      <w:divBdr>
        <w:top w:val="none" w:sz="0" w:space="0" w:color="auto"/>
        <w:left w:val="none" w:sz="0" w:space="0" w:color="auto"/>
        <w:bottom w:val="none" w:sz="0" w:space="0" w:color="auto"/>
        <w:right w:val="none" w:sz="0" w:space="0" w:color="auto"/>
      </w:divBdr>
    </w:div>
    <w:div w:id="728458475">
      <w:bodyDiv w:val="1"/>
      <w:marLeft w:val="0"/>
      <w:marRight w:val="0"/>
      <w:marTop w:val="0"/>
      <w:marBottom w:val="0"/>
      <w:divBdr>
        <w:top w:val="none" w:sz="0" w:space="0" w:color="auto"/>
        <w:left w:val="none" w:sz="0" w:space="0" w:color="auto"/>
        <w:bottom w:val="none" w:sz="0" w:space="0" w:color="auto"/>
        <w:right w:val="none" w:sz="0" w:space="0" w:color="auto"/>
      </w:divBdr>
    </w:div>
    <w:div w:id="741563349">
      <w:bodyDiv w:val="1"/>
      <w:marLeft w:val="0"/>
      <w:marRight w:val="0"/>
      <w:marTop w:val="0"/>
      <w:marBottom w:val="0"/>
      <w:divBdr>
        <w:top w:val="none" w:sz="0" w:space="0" w:color="auto"/>
        <w:left w:val="none" w:sz="0" w:space="0" w:color="auto"/>
        <w:bottom w:val="none" w:sz="0" w:space="0" w:color="auto"/>
        <w:right w:val="none" w:sz="0" w:space="0" w:color="auto"/>
      </w:divBdr>
    </w:div>
    <w:div w:id="755829399">
      <w:bodyDiv w:val="1"/>
      <w:marLeft w:val="0"/>
      <w:marRight w:val="0"/>
      <w:marTop w:val="0"/>
      <w:marBottom w:val="0"/>
      <w:divBdr>
        <w:top w:val="none" w:sz="0" w:space="0" w:color="auto"/>
        <w:left w:val="none" w:sz="0" w:space="0" w:color="auto"/>
        <w:bottom w:val="none" w:sz="0" w:space="0" w:color="auto"/>
        <w:right w:val="none" w:sz="0" w:space="0" w:color="auto"/>
      </w:divBdr>
    </w:div>
    <w:div w:id="771097280">
      <w:bodyDiv w:val="1"/>
      <w:marLeft w:val="0"/>
      <w:marRight w:val="0"/>
      <w:marTop w:val="0"/>
      <w:marBottom w:val="0"/>
      <w:divBdr>
        <w:top w:val="none" w:sz="0" w:space="0" w:color="auto"/>
        <w:left w:val="none" w:sz="0" w:space="0" w:color="auto"/>
        <w:bottom w:val="none" w:sz="0" w:space="0" w:color="auto"/>
        <w:right w:val="none" w:sz="0" w:space="0" w:color="auto"/>
      </w:divBdr>
    </w:div>
    <w:div w:id="790904136">
      <w:bodyDiv w:val="1"/>
      <w:marLeft w:val="0"/>
      <w:marRight w:val="0"/>
      <w:marTop w:val="0"/>
      <w:marBottom w:val="0"/>
      <w:divBdr>
        <w:top w:val="none" w:sz="0" w:space="0" w:color="auto"/>
        <w:left w:val="none" w:sz="0" w:space="0" w:color="auto"/>
        <w:bottom w:val="none" w:sz="0" w:space="0" w:color="auto"/>
        <w:right w:val="none" w:sz="0" w:space="0" w:color="auto"/>
      </w:divBdr>
    </w:div>
    <w:div w:id="813374206">
      <w:bodyDiv w:val="1"/>
      <w:marLeft w:val="0"/>
      <w:marRight w:val="0"/>
      <w:marTop w:val="0"/>
      <w:marBottom w:val="0"/>
      <w:divBdr>
        <w:top w:val="none" w:sz="0" w:space="0" w:color="auto"/>
        <w:left w:val="none" w:sz="0" w:space="0" w:color="auto"/>
        <w:bottom w:val="none" w:sz="0" w:space="0" w:color="auto"/>
        <w:right w:val="none" w:sz="0" w:space="0" w:color="auto"/>
      </w:divBdr>
    </w:div>
    <w:div w:id="825442131">
      <w:bodyDiv w:val="1"/>
      <w:marLeft w:val="0"/>
      <w:marRight w:val="0"/>
      <w:marTop w:val="0"/>
      <w:marBottom w:val="0"/>
      <w:divBdr>
        <w:top w:val="none" w:sz="0" w:space="0" w:color="auto"/>
        <w:left w:val="none" w:sz="0" w:space="0" w:color="auto"/>
        <w:bottom w:val="none" w:sz="0" w:space="0" w:color="auto"/>
        <w:right w:val="none" w:sz="0" w:space="0" w:color="auto"/>
      </w:divBdr>
    </w:div>
    <w:div w:id="826366277">
      <w:bodyDiv w:val="1"/>
      <w:marLeft w:val="0"/>
      <w:marRight w:val="0"/>
      <w:marTop w:val="0"/>
      <w:marBottom w:val="0"/>
      <w:divBdr>
        <w:top w:val="none" w:sz="0" w:space="0" w:color="auto"/>
        <w:left w:val="none" w:sz="0" w:space="0" w:color="auto"/>
        <w:bottom w:val="none" w:sz="0" w:space="0" w:color="auto"/>
        <w:right w:val="none" w:sz="0" w:space="0" w:color="auto"/>
      </w:divBdr>
    </w:div>
    <w:div w:id="842203430">
      <w:bodyDiv w:val="1"/>
      <w:marLeft w:val="0"/>
      <w:marRight w:val="0"/>
      <w:marTop w:val="0"/>
      <w:marBottom w:val="0"/>
      <w:divBdr>
        <w:top w:val="none" w:sz="0" w:space="0" w:color="auto"/>
        <w:left w:val="none" w:sz="0" w:space="0" w:color="auto"/>
        <w:bottom w:val="none" w:sz="0" w:space="0" w:color="auto"/>
        <w:right w:val="none" w:sz="0" w:space="0" w:color="auto"/>
      </w:divBdr>
    </w:div>
    <w:div w:id="866336375">
      <w:bodyDiv w:val="1"/>
      <w:marLeft w:val="0"/>
      <w:marRight w:val="0"/>
      <w:marTop w:val="0"/>
      <w:marBottom w:val="0"/>
      <w:divBdr>
        <w:top w:val="none" w:sz="0" w:space="0" w:color="auto"/>
        <w:left w:val="none" w:sz="0" w:space="0" w:color="auto"/>
        <w:bottom w:val="none" w:sz="0" w:space="0" w:color="auto"/>
        <w:right w:val="none" w:sz="0" w:space="0" w:color="auto"/>
      </w:divBdr>
    </w:div>
    <w:div w:id="873424956">
      <w:bodyDiv w:val="1"/>
      <w:marLeft w:val="0"/>
      <w:marRight w:val="0"/>
      <w:marTop w:val="0"/>
      <w:marBottom w:val="0"/>
      <w:divBdr>
        <w:top w:val="none" w:sz="0" w:space="0" w:color="auto"/>
        <w:left w:val="none" w:sz="0" w:space="0" w:color="auto"/>
        <w:bottom w:val="none" w:sz="0" w:space="0" w:color="auto"/>
        <w:right w:val="none" w:sz="0" w:space="0" w:color="auto"/>
      </w:divBdr>
    </w:div>
    <w:div w:id="887688560">
      <w:bodyDiv w:val="1"/>
      <w:marLeft w:val="0"/>
      <w:marRight w:val="0"/>
      <w:marTop w:val="0"/>
      <w:marBottom w:val="0"/>
      <w:divBdr>
        <w:top w:val="none" w:sz="0" w:space="0" w:color="auto"/>
        <w:left w:val="none" w:sz="0" w:space="0" w:color="auto"/>
        <w:bottom w:val="none" w:sz="0" w:space="0" w:color="auto"/>
        <w:right w:val="none" w:sz="0" w:space="0" w:color="auto"/>
      </w:divBdr>
    </w:div>
    <w:div w:id="894776366">
      <w:bodyDiv w:val="1"/>
      <w:marLeft w:val="0"/>
      <w:marRight w:val="0"/>
      <w:marTop w:val="0"/>
      <w:marBottom w:val="0"/>
      <w:divBdr>
        <w:top w:val="none" w:sz="0" w:space="0" w:color="auto"/>
        <w:left w:val="none" w:sz="0" w:space="0" w:color="auto"/>
        <w:bottom w:val="none" w:sz="0" w:space="0" w:color="auto"/>
        <w:right w:val="none" w:sz="0" w:space="0" w:color="auto"/>
      </w:divBdr>
    </w:div>
    <w:div w:id="975797584">
      <w:bodyDiv w:val="1"/>
      <w:marLeft w:val="0"/>
      <w:marRight w:val="0"/>
      <w:marTop w:val="0"/>
      <w:marBottom w:val="0"/>
      <w:divBdr>
        <w:top w:val="none" w:sz="0" w:space="0" w:color="auto"/>
        <w:left w:val="none" w:sz="0" w:space="0" w:color="auto"/>
        <w:bottom w:val="none" w:sz="0" w:space="0" w:color="auto"/>
        <w:right w:val="none" w:sz="0" w:space="0" w:color="auto"/>
      </w:divBdr>
    </w:div>
    <w:div w:id="1058360720">
      <w:bodyDiv w:val="1"/>
      <w:marLeft w:val="0"/>
      <w:marRight w:val="0"/>
      <w:marTop w:val="0"/>
      <w:marBottom w:val="0"/>
      <w:divBdr>
        <w:top w:val="none" w:sz="0" w:space="0" w:color="auto"/>
        <w:left w:val="none" w:sz="0" w:space="0" w:color="auto"/>
        <w:bottom w:val="none" w:sz="0" w:space="0" w:color="auto"/>
        <w:right w:val="none" w:sz="0" w:space="0" w:color="auto"/>
      </w:divBdr>
    </w:div>
    <w:div w:id="1072509183">
      <w:bodyDiv w:val="1"/>
      <w:marLeft w:val="0"/>
      <w:marRight w:val="0"/>
      <w:marTop w:val="0"/>
      <w:marBottom w:val="0"/>
      <w:divBdr>
        <w:top w:val="none" w:sz="0" w:space="0" w:color="auto"/>
        <w:left w:val="none" w:sz="0" w:space="0" w:color="auto"/>
        <w:bottom w:val="none" w:sz="0" w:space="0" w:color="auto"/>
        <w:right w:val="none" w:sz="0" w:space="0" w:color="auto"/>
      </w:divBdr>
    </w:div>
    <w:div w:id="1079014807">
      <w:bodyDiv w:val="1"/>
      <w:marLeft w:val="0"/>
      <w:marRight w:val="0"/>
      <w:marTop w:val="0"/>
      <w:marBottom w:val="0"/>
      <w:divBdr>
        <w:top w:val="none" w:sz="0" w:space="0" w:color="auto"/>
        <w:left w:val="none" w:sz="0" w:space="0" w:color="auto"/>
        <w:bottom w:val="none" w:sz="0" w:space="0" w:color="auto"/>
        <w:right w:val="none" w:sz="0" w:space="0" w:color="auto"/>
      </w:divBdr>
    </w:div>
    <w:div w:id="1096294320">
      <w:bodyDiv w:val="1"/>
      <w:marLeft w:val="0"/>
      <w:marRight w:val="0"/>
      <w:marTop w:val="0"/>
      <w:marBottom w:val="0"/>
      <w:divBdr>
        <w:top w:val="none" w:sz="0" w:space="0" w:color="auto"/>
        <w:left w:val="none" w:sz="0" w:space="0" w:color="auto"/>
        <w:bottom w:val="none" w:sz="0" w:space="0" w:color="auto"/>
        <w:right w:val="none" w:sz="0" w:space="0" w:color="auto"/>
      </w:divBdr>
    </w:div>
    <w:div w:id="1104150748">
      <w:bodyDiv w:val="1"/>
      <w:marLeft w:val="0"/>
      <w:marRight w:val="0"/>
      <w:marTop w:val="0"/>
      <w:marBottom w:val="0"/>
      <w:divBdr>
        <w:top w:val="none" w:sz="0" w:space="0" w:color="auto"/>
        <w:left w:val="none" w:sz="0" w:space="0" w:color="auto"/>
        <w:bottom w:val="none" w:sz="0" w:space="0" w:color="auto"/>
        <w:right w:val="none" w:sz="0" w:space="0" w:color="auto"/>
      </w:divBdr>
    </w:div>
    <w:div w:id="1120613897">
      <w:bodyDiv w:val="1"/>
      <w:marLeft w:val="0"/>
      <w:marRight w:val="0"/>
      <w:marTop w:val="0"/>
      <w:marBottom w:val="0"/>
      <w:divBdr>
        <w:top w:val="none" w:sz="0" w:space="0" w:color="auto"/>
        <w:left w:val="none" w:sz="0" w:space="0" w:color="auto"/>
        <w:bottom w:val="none" w:sz="0" w:space="0" w:color="auto"/>
        <w:right w:val="none" w:sz="0" w:space="0" w:color="auto"/>
      </w:divBdr>
    </w:div>
    <w:div w:id="1132868096">
      <w:bodyDiv w:val="1"/>
      <w:marLeft w:val="0"/>
      <w:marRight w:val="0"/>
      <w:marTop w:val="0"/>
      <w:marBottom w:val="0"/>
      <w:divBdr>
        <w:top w:val="none" w:sz="0" w:space="0" w:color="auto"/>
        <w:left w:val="none" w:sz="0" w:space="0" w:color="auto"/>
        <w:bottom w:val="none" w:sz="0" w:space="0" w:color="auto"/>
        <w:right w:val="none" w:sz="0" w:space="0" w:color="auto"/>
      </w:divBdr>
    </w:div>
    <w:div w:id="1133870007">
      <w:bodyDiv w:val="1"/>
      <w:marLeft w:val="0"/>
      <w:marRight w:val="0"/>
      <w:marTop w:val="0"/>
      <w:marBottom w:val="0"/>
      <w:divBdr>
        <w:top w:val="none" w:sz="0" w:space="0" w:color="auto"/>
        <w:left w:val="none" w:sz="0" w:space="0" w:color="auto"/>
        <w:bottom w:val="none" w:sz="0" w:space="0" w:color="auto"/>
        <w:right w:val="none" w:sz="0" w:space="0" w:color="auto"/>
      </w:divBdr>
    </w:div>
    <w:div w:id="1158573868">
      <w:bodyDiv w:val="1"/>
      <w:marLeft w:val="0"/>
      <w:marRight w:val="0"/>
      <w:marTop w:val="0"/>
      <w:marBottom w:val="0"/>
      <w:divBdr>
        <w:top w:val="none" w:sz="0" w:space="0" w:color="auto"/>
        <w:left w:val="none" w:sz="0" w:space="0" w:color="auto"/>
        <w:bottom w:val="none" w:sz="0" w:space="0" w:color="auto"/>
        <w:right w:val="none" w:sz="0" w:space="0" w:color="auto"/>
      </w:divBdr>
    </w:div>
    <w:div w:id="1168136862">
      <w:bodyDiv w:val="1"/>
      <w:marLeft w:val="0"/>
      <w:marRight w:val="0"/>
      <w:marTop w:val="0"/>
      <w:marBottom w:val="0"/>
      <w:divBdr>
        <w:top w:val="none" w:sz="0" w:space="0" w:color="auto"/>
        <w:left w:val="none" w:sz="0" w:space="0" w:color="auto"/>
        <w:bottom w:val="none" w:sz="0" w:space="0" w:color="auto"/>
        <w:right w:val="none" w:sz="0" w:space="0" w:color="auto"/>
      </w:divBdr>
    </w:div>
    <w:div w:id="1178498301">
      <w:bodyDiv w:val="1"/>
      <w:marLeft w:val="0"/>
      <w:marRight w:val="0"/>
      <w:marTop w:val="0"/>
      <w:marBottom w:val="0"/>
      <w:divBdr>
        <w:top w:val="none" w:sz="0" w:space="0" w:color="auto"/>
        <w:left w:val="none" w:sz="0" w:space="0" w:color="auto"/>
        <w:bottom w:val="none" w:sz="0" w:space="0" w:color="auto"/>
        <w:right w:val="none" w:sz="0" w:space="0" w:color="auto"/>
      </w:divBdr>
    </w:div>
    <w:div w:id="1179462428">
      <w:bodyDiv w:val="1"/>
      <w:marLeft w:val="0"/>
      <w:marRight w:val="0"/>
      <w:marTop w:val="0"/>
      <w:marBottom w:val="0"/>
      <w:divBdr>
        <w:top w:val="none" w:sz="0" w:space="0" w:color="auto"/>
        <w:left w:val="none" w:sz="0" w:space="0" w:color="auto"/>
        <w:bottom w:val="none" w:sz="0" w:space="0" w:color="auto"/>
        <w:right w:val="none" w:sz="0" w:space="0" w:color="auto"/>
      </w:divBdr>
    </w:div>
    <w:div w:id="1194197786">
      <w:bodyDiv w:val="1"/>
      <w:marLeft w:val="0"/>
      <w:marRight w:val="0"/>
      <w:marTop w:val="0"/>
      <w:marBottom w:val="0"/>
      <w:divBdr>
        <w:top w:val="none" w:sz="0" w:space="0" w:color="auto"/>
        <w:left w:val="none" w:sz="0" w:space="0" w:color="auto"/>
        <w:bottom w:val="none" w:sz="0" w:space="0" w:color="auto"/>
        <w:right w:val="none" w:sz="0" w:space="0" w:color="auto"/>
      </w:divBdr>
    </w:div>
    <w:div w:id="1212617599">
      <w:bodyDiv w:val="1"/>
      <w:marLeft w:val="0"/>
      <w:marRight w:val="0"/>
      <w:marTop w:val="0"/>
      <w:marBottom w:val="0"/>
      <w:divBdr>
        <w:top w:val="none" w:sz="0" w:space="0" w:color="auto"/>
        <w:left w:val="none" w:sz="0" w:space="0" w:color="auto"/>
        <w:bottom w:val="none" w:sz="0" w:space="0" w:color="auto"/>
        <w:right w:val="none" w:sz="0" w:space="0" w:color="auto"/>
      </w:divBdr>
    </w:div>
    <w:div w:id="1223371975">
      <w:bodyDiv w:val="1"/>
      <w:marLeft w:val="0"/>
      <w:marRight w:val="0"/>
      <w:marTop w:val="0"/>
      <w:marBottom w:val="0"/>
      <w:divBdr>
        <w:top w:val="none" w:sz="0" w:space="0" w:color="auto"/>
        <w:left w:val="none" w:sz="0" w:space="0" w:color="auto"/>
        <w:bottom w:val="none" w:sz="0" w:space="0" w:color="auto"/>
        <w:right w:val="none" w:sz="0" w:space="0" w:color="auto"/>
      </w:divBdr>
    </w:div>
    <w:div w:id="1230533386">
      <w:bodyDiv w:val="1"/>
      <w:marLeft w:val="0"/>
      <w:marRight w:val="0"/>
      <w:marTop w:val="0"/>
      <w:marBottom w:val="0"/>
      <w:divBdr>
        <w:top w:val="none" w:sz="0" w:space="0" w:color="auto"/>
        <w:left w:val="none" w:sz="0" w:space="0" w:color="auto"/>
        <w:bottom w:val="none" w:sz="0" w:space="0" w:color="auto"/>
        <w:right w:val="none" w:sz="0" w:space="0" w:color="auto"/>
      </w:divBdr>
    </w:div>
    <w:div w:id="1257060732">
      <w:bodyDiv w:val="1"/>
      <w:marLeft w:val="0"/>
      <w:marRight w:val="0"/>
      <w:marTop w:val="0"/>
      <w:marBottom w:val="0"/>
      <w:divBdr>
        <w:top w:val="none" w:sz="0" w:space="0" w:color="auto"/>
        <w:left w:val="none" w:sz="0" w:space="0" w:color="auto"/>
        <w:bottom w:val="none" w:sz="0" w:space="0" w:color="auto"/>
        <w:right w:val="none" w:sz="0" w:space="0" w:color="auto"/>
      </w:divBdr>
    </w:div>
    <w:div w:id="1308315978">
      <w:bodyDiv w:val="1"/>
      <w:marLeft w:val="0"/>
      <w:marRight w:val="0"/>
      <w:marTop w:val="0"/>
      <w:marBottom w:val="0"/>
      <w:divBdr>
        <w:top w:val="none" w:sz="0" w:space="0" w:color="auto"/>
        <w:left w:val="none" w:sz="0" w:space="0" w:color="auto"/>
        <w:bottom w:val="none" w:sz="0" w:space="0" w:color="auto"/>
        <w:right w:val="none" w:sz="0" w:space="0" w:color="auto"/>
      </w:divBdr>
    </w:div>
    <w:div w:id="1326203068">
      <w:bodyDiv w:val="1"/>
      <w:marLeft w:val="0"/>
      <w:marRight w:val="0"/>
      <w:marTop w:val="0"/>
      <w:marBottom w:val="0"/>
      <w:divBdr>
        <w:top w:val="none" w:sz="0" w:space="0" w:color="auto"/>
        <w:left w:val="none" w:sz="0" w:space="0" w:color="auto"/>
        <w:bottom w:val="none" w:sz="0" w:space="0" w:color="auto"/>
        <w:right w:val="none" w:sz="0" w:space="0" w:color="auto"/>
      </w:divBdr>
    </w:div>
    <w:div w:id="1327710395">
      <w:bodyDiv w:val="1"/>
      <w:marLeft w:val="0"/>
      <w:marRight w:val="0"/>
      <w:marTop w:val="0"/>
      <w:marBottom w:val="0"/>
      <w:divBdr>
        <w:top w:val="none" w:sz="0" w:space="0" w:color="auto"/>
        <w:left w:val="none" w:sz="0" w:space="0" w:color="auto"/>
        <w:bottom w:val="none" w:sz="0" w:space="0" w:color="auto"/>
        <w:right w:val="none" w:sz="0" w:space="0" w:color="auto"/>
      </w:divBdr>
    </w:div>
    <w:div w:id="1362710824">
      <w:bodyDiv w:val="1"/>
      <w:marLeft w:val="0"/>
      <w:marRight w:val="0"/>
      <w:marTop w:val="0"/>
      <w:marBottom w:val="0"/>
      <w:divBdr>
        <w:top w:val="none" w:sz="0" w:space="0" w:color="auto"/>
        <w:left w:val="none" w:sz="0" w:space="0" w:color="auto"/>
        <w:bottom w:val="none" w:sz="0" w:space="0" w:color="auto"/>
        <w:right w:val="none" w:sz="0" w:space="0" w:color="auto"/>
      </w:divBdr>
    </w:div>
    <w:div w:id="1365593793">
      <w:bodyDiv w:val="1"/>
      <w:marLeft w:val="0"/>
      <w:marRight w:val="0"/>
      <w:marTop w:val="0"/>
      <w:marBottom w:val="0"/>
      <w:divBdr>
        <w:top w:val="none" w:sz="0" w:space="0" w:color="auto"/>
        <w:left w:val="none" w:sz="0" w:space="0" w:color="auto"/>
        <w:bottom w:val="none" w:sz="0" w:space="0" w:color="auto"/>
        <w:right w:val="none" w:sz="0" w:space="0" w:color="auto"/>
      </w:divBdr>
    </w:div>
    <w:div w:id="1385714543">
      <w:bodyDiv w:val="1"/>
      <w:marLeft w:val="0"/>
      <w:marRight w:val="0"/>
      <w:marTop w:val="0"/>
      <w:marBottom w:val="0"/>
      <w:divBdr>
        <w:top w:val="none" w:sz="0" w:space="0" w:color="auto"/>
        <w:left w:val="none" w:sz="0" w:space="0" w:color="auto"/>
        <w:bottom w:val="none" w:sz="0" w:space="0" w:color="auto"/>
        <w:right w:val="none" w:sz="0" w:space="0" w:color="auto"/>
      </w:divBdr>
    </w:div>
    <w:div w:id="1411005212">
      <w:bodyDiv w:val="1"/>
      <w:marLeft w:val="0"/>
      <w:marRight w:val="0"/>
      <w:marTop w:val="0"/>
      <w:marBottom w:val="0"/>
      <w:divBdr>
        <w:top w:val="none" w:sz="0" w:space="0" w:color="auto"/>
        <w:left w:val="none" w:sz="0" w:space="0" w:color="auto"/>
        <w:bottom w:val="none" w:sz="0" w:space="0" w:color="auto"/>
        <w:right w:val="none" w:sz="0" w:space="0" w:color="auto"/>
      </w:divBdr>
    </w:div>
    <w:div w:id="1427922188">
      <w:bodyDiv w:val="1"/>
      <w:marLeft w:val="0"/>
      <w:marRight w:val="0"/>
      <w:marTop w:val="0"/>
      <w:marBottom w:val="0"/>
      <w:divBdr>
        <w:top w:val="none" w:sz="0" w:space="0" w:color="auto"/>
        <w:left w:val="none" w:sz="0" w:space="0" w:color="auto"/>
        <w:bottom w:val="none" w:sz="0" w:space="0" w:color="auto"/>
        <w:right w:val="none" w:sz="0" w:space="0" w:color="auto"/>
      </w:divBdr>
    </w:div>
    <w:div w:id="1439761032">
      <w:bodyDiv w:val="1"/>
      <w:marLeft w:val="0"/>
      <w:marRight w:val="0"/>
      <w:marTop w:val="0"/>
      <w:marBottom w:val="0"/>
      <w:divBdr>
        <w:top w:val="none" w:sz="0" w:space="0" w:color="auto"/>
        <w:left w:val="none" w:sz="0" w:space="0" w:color="auto"/>
        <w:bottom w:val="none" w:sz="0" w:space="0" w:color="auto"/>
        <w:right w:val="none" w:sz="0" w:space="0" w:color="auto"/>
      </w:divBdr>
    </w:div>
    <w:div w:id="1443069697">
      <w:bodyDiv w:val="1"/>
      <w:marLeft w:val="0"/>
      <w:marRight w:val="0"/>
      <w:marTop w:val="0"/>
      <w:marBottom w:val="0"/>
      <w:divBdr>
        <w:top w:val="none" w:sz="0" w:space="0" w:color="auto"/>
        <w:left w:val="none" w:sz="0" w:space="0" w:color="auto"/>
        <w:bottom w:val="none" w:sz="0" w:space="0" w:color="auto"/>
        <w:right w:val="none" w:sz="0" w:space="0" w:color="auto"/>
      </w:divBdr>
    </w:div>
    <w:div w:id="1485321521">
      <w:bodyDiv w:val="1"/>
      <w:marLeft w:val="0"/>
      <w:marRight w:val="0"/>
      <w:marTop w:val="0"/>
      <w:marBottom w:val="0"/>
      <w:divBdr>
        <w:top w:val="none" w:sz="0" w:space="0" w:color="auto"/>
        <w:left w:val="none" w:sz="0" w:space="0" w:color="auto"/>
        <w:bottom w:val="none" w:sz="0" w:space="0" w:color="auto"/>
        <w:right w:val="none" w:sz="0" w:space="0" w:color="auto"/>
      </w:divBdr>
    </w:div>
    <w:div w:id="1599366355">
      <w:bodyDiv w:val="1"/>
      <w:marLeft w:val="0"/>
      <w:marRight w:val="0"/>
      <w:marTop w:val="0"/>
      <w:marBottom w:val="0"/>
      <w:divBdr>
        <w:top w:val="none" w:sz="0" w:space="0" w:color="auto"/>
        <w:left w:val="none" w:sz="0" w:space="0" w:color="auto"/>
        <w:bottom w:val="none" w:sz="0" w:space="0" w:color="auto"/>
        <w:right w:val="none" w:sz="0" w:space="0" w:color="auto"/>
      </w:divBdr>
    </w:div>
    <w:div w:id="1651909521">
      <w:bodyDiv w:val="1"/>
      <w:marLeft w:val="0"/>
      <w:marRight w:val="0"/>
      <w:marTop w:val="0"/>
      <w:marBottom w:val="0"/>
      <w:divBdr>
        <w:top w:val="none" w:sz="0" w:space="0" w:color="auto"/>
        <w:left w:val="none" w:sz="0" w:space="0" w:color="auto"/>
        <w:bottom w:val="none" w:sz="0" w:space="0" w:color="auto"/>
        <w:right w:val="none" w:sz="0" w:space="0" w:color="auto"/>
      </w:divBdr>
    </w:div>
    <w:div w:id="1731297213">
      <w:bodyDiv w:val="1"/>
      <w:marLeft w:val="0"/>
      <w:marRight w:val="0"/>
      <w:marTop w:val="0"/>
      <w:marBottom w:val="0"/>
      <w:divBdr>
        <w:top w:val="none" w:sz="0" w:space="0" w:color="auto"/>
        <w:left w:val="none" w:sz="0" w:space="0" w:color="auto"/>
        <w:bottom w:val="none" w:sz="0" w:space="0" w:color="auto"/>
        <w:right w:val="none" w:sz="0" w:space="0" w:color="auto"/>
      </w:divBdr>
    </w:div>
    <w:div w:id="1742289344">
      <w:bodyDiv w:val="1"/>
      <w:marLeft w:val="0"/>
      <w:marRight w:val="0"/>
      <w:marTop w:val="0"/>
      <w:marBottom w:val="0"/>
      <w:divBdr>
        <w:top w:val="none" w:sz="0" w:space="0" w:color="auto"/>
        <w:left w:val="none" w:sz="0" w:space="0" w:color="auto"/>
        <w:bottom w:val="none" w:sz="0" w:space="0" w:color="auto"/>
        <w:right w:val="none" w:sz="0" w:space="0" w:color="auto"/>
      </w:divBdr>
    </w:div>
    <w:div w:id="1763526107">
      <w:bodyDiv w:val="1"/>
      <w:marLeft w:val="0"/>
      <w:marRight w:val="0"/>
      <w:marTop w:val="0"/>
      <w:marBottom w:val="0"/>
      <w:divBdr>
        <w:top w:val="none" w:sz="0" w:space="0" w:color="auto"/>
        <w:left w:val="none" w:sz="0" w:space="0" w:color="auto"/>
        <w:bottom w:val="none" w:sz="0" w:space="0" w:color="auto"/>
        <w:right w:val="none" w:sz="0" w:space="0" w:color="auto"/>
      </w:divBdr>
    </w:div>
    <w:div w:id="1782188534">
      <w:bodyDiv w:val="1"/>
      <w:marLeft w:val="0"/>
      <w:marRight w:val="0"/>
      <w:marTop w:val="0"/>
      <w:marBottom w:val="0"/>
      <w:divBdr>
        <w:top w:val="none" w:sz="0" w:space="0" w:color="auto"/>
        <w:left w:val="none" w:sz="0" w:space="0" w:color="auto"/>
        <w:bottom w:val="none" w:sz="0" w:space="0" w:color="auto"/>
        <w:right w:val="none" w:sz="0" w:space="0" w:color="auto"/>
      </w:divBdr>
    </w:div>
    <w:div w:id="1795756354">
      <w:bodyDiv w:val="1"/>
      <w:marLeft w:val="0"/>
      <w:marRight w:val="0"/>
      <w:marTop w:val="0"/>
      <w:marBottom w:val="0"/>
      <w:divBdr>
        <w:top w:val="none" w:sz="0" w:space="0" w:color="auto"/>
        <w:left w:val="none" w:sz="0" w:space="0" w:color="auto"/>
        <w:bottom w:val="none" w:sz="0" w:space="0" w:color="auto"/>
        <w:right w:val="none" w:sz="0" w:space="0" w:color="auto"/>
      </w:divBdr>
    </w:div>
    <w:div w:id="1864902114">
      <w:bodyDiv w:val="1"/>
      <w:marLeft w:val="0"/>
      <w:marRight w:val="0"/>
      <w:marTop w:val="0"/>
      <w:marBottom w:val="0"/>
      <w:divBdr>
        <w:top w:val="none" w:sz="0" w:space="0" w:color="auto"/>
        <w:left w:val="none" w:sz="0" w:space="0" w:color="auto"/>
        <w:bottom w:val="none" w:sz="0" w:space="0" w:color="auto"/>
        <w:right w:val="none" w:sz="0" w:space="0" w:color="auto"/>
      </w:divBdr>
    </w:div>
    <w:div w:id="1919631155">
      <w:bodyDiv w:val="1"/>
      <w:marLeft w:val="0"/>
      <w:marRight w:val="0"/>
      <w:marTop w:val="0"/>
      <w:marBottom w:val="0"/>
      <w:divBdr>
        <w:top w:val="none" w:sz="0" w:space="0" w:color="auto"/>
        <w:left w:val="none" w:sz="0" w:space="0" w:color="auto"/>
        <w:bottom w:val="none" w:sz="0" w:space="0" w:color="auto"/>
        <w:right w:val="none" w:sz="0" w:space="0" w:color="auto"/>
      </w:divBdr>
    </w:div>
    <w:div w:id="1941719212">
      <w:bodyDiv w:val="1"/>
      <w:marLeft w:val="0"/>
      <w:marRight w:val="0"/>
      <w:marTop w:val="0"/>
      <w:marBottom w:val="0"/>
      <w:divBdr>
        <w:top w:val="none" w:sz="0" w:space="0" w:color="auto"/>
        <w:left w:val="none" w:sz="0" w:space="0" w:color="auto"/>
        <w:bottom w:val="none" w:sz="0" w:space="0" w:color="auto"/>
        <w:right w:val="none" w:sz="0" w:space="0" w:color="auto"/>
      </w:divBdr>
    </w:div>
    <w:div w:id="1961574125">
      <w:bodyDiv w:val="1"/>
      <w:marLeft w:val="0"/>
      <w:marRight w:val="0"/>
      <w:marTop w:val="0"/>
      <w:marBottom w:val="0"/>
      <w:divBdr>
        <w:top w:val="none" w:sz="0" w:space="0" w:color="auto"/>
        <w:left w:val="none" w:sz="0" w:space="0" w:color="auto"/>
        <w:bottom w:val="none" w:sz="0" w:space="0" w:color="auto"/>
        <w:right w:val="none" w:sz="0" w:space="0" w:color="auto"/>
      </w:divBdr>
    </w:div>
    <w:div w:id="1966696210">
      <w:bodyDiv w:val="1"/>
      <w:marLeft w:val="0"/>
      <w:marRight w:val="0"/>
      <w:marTop w:val="0"/>
      <w:marBottom w:val="0"/>
      <w:divBdr>
        <w:top w:val="none" w:sz="0" w:space="0" w:color="auto"/>
        <w:left w:val="none" w:sz="0" w:space="0" w:color="auto"/>
        <w:bottom w:val="none" w:sz="0" w:space="0" w:color="auto"/>
        <w:right w:val="none" w:sz="0" w:space="0" w:color="auto"/>
      </w:divBdr>
    </w:div>
    <w:div w:id="2005471491">
      <w:bodyDiv w:val="1"/>
      <w:marLeft w:val="0"/>
      <w:marRight w:val="0"/>
      <w:marTop w:val="0"/>
      <w:marBottom w:val="0"/>
      <w:divBdr>
        <w:top w:val="none" w:sz="0" w:space="0" w:color="auto"/>
        <w:left w:val="none" w:sz="0" w:space="0" w:color="auto"/>
        <w:bottom w:val="none" w:sz="0" w:space="0" w:color="auto"/>
        <w:right w:val="none" w:sz="0" w:space="0" w:color="auto"/>
      </w:divBdr>
    </w:div>
    <w:div w:id="2021811675">
      <w:bodyDiv w:val="1"/>
      <w:marLeft w:val="0"/>
      <w:marRight w:val="0"/>
      <w:marTop w:val="0"/>
      <w:marBottom w:val="0"/>
      <w:divBdr>
        <w:top w:val="none" w:sz="0" w:space="0" w:color="auto"/>
        <w:left w:val="none" w:sz="0" w:space="0" w:color="auto"/>
        <w:bottom w:val="none" w:sz="0" w:space="0" w:color="auto"/>
        <w:right w:val="none" w:sz="0" w:space="0" w:color="auto"/>
      </w:divBdr>
    </w:div>
    <w:div w:id="2041856302">
      <w:bodyDiv w:val="1"/>
      <w:marLeft w:val="0"/>
      <w:marRight w:val="0"/>
      <w:marTop w:val="0"/>
      <w:marBottom w:val="0"/>
      <w:divBdr>
        <w:top w:val="none" w:sz="0" w:space="0" w:color="auto"/>
        <w:left w:val="none" w:sz="0" w:space="0" w:color="auto"/>
        <w:bottom w:val="none" w:sz="0" w:space="0" w:color="auto"/>
        <w:right w:val="none" w:sz="0" w:space="0" w:color="auto"/>
      </w:divBdr>
    </w:div>
    <w:div w:id="2047828751">
      <w:bodyDiv w:val="1"/>
      <w:marLeft w:val="0"/>
      <w:marRight w:val="0"/>
      <w:marTop w:val="0"/>
      <w:marBottom w:val="0"/>
      <w:divBdr>
        <w:top w:val="none" w:sz="0" w:space="0" w:color="auto"/>
        <w:left w:val="none" w:sz="0" w:space="0" w:color="auto"/>
        <w:bottom w:val="none" w:sz="0" w:space="0" w:color="auto"/>
        <w:right w:val="none" w:sz="0" w:space="0" w:color="auto"/>
      </w:divBdr>
    </w:div>
    <w:div w:id="2097088374">
      <w:bodyDiv w:val="1"/>
      <w:marLeft w:val="0"/>
      <w:marRight w:val="0"/>
      <w:marTop w:val="0"/>
      <w:marBottom w:val="0"/>
      <w:divBdr>
        <w:top w:val="none" w:sz="0" w:space="0" w:color="auto"/>
        <w:left w:val="none" w:sz="0" w:space="0" w:color="auto"/>
        <w:bottom w:val="none" w:sz="0" w:space="0" w:color="auto"/>
        <w:right w:val="none" w:sz="0" w:space="0" w:color="auto"/>
      </w:divBdr>
    </w:div>
    <w:div w:id="2107115880">
      <w:bodyDiv w:val="1"/>
      <w:marLeft w:val="0"/>
      <w:marRight w:val="0"/>
      <w:marTop w:val="0"/>
      <w:marBottom w:val="0"/>
      <w:divBdr>
        <w:top w:val="none" w:sz="0" w:space="0" w:color="auto"/>
        <w:left w:val="none" w:sz="0" w:space="0" w:color="auto"/>
        <w:bottom w:val="none" w:sz="0" w:space="0" w:color="auto"/>
        <w:right w:val="none" w:sz="0" w:space="0" w:color="auto"/>
      </w:divBdr>
    </w:div>
    <w:div w:id="2112164223">
      <w:bodyDiv w:val="1"/>
      <w:marLeft w:val="0"/>
      <w:marRight w:val="0"/>
      <w:marTop w:val="0"/>
      <w:marBottom w:val="0"/>
      <w:divBdr>
        <w:top w:val="none" w:sz="0" w:space="0" w:color="auto"/>
        <w:left w:val="none" w:sz="0" w:space="0" w:color="auto"/>
        <w:bottom w:val="none" w:sz="0" w:space="0" w:color="auto"/>
        <w:right w:val="none" w:sz="0" w:space="0" w:color="auto"/>
      </w:divBdr>
    </w:div>
    <w:div w:id="2113744839">
      <w:bodyDiv w:val="1"/>
      <w:marLeft w:val="0"/>
      <w:marRight w:val="0"/>
      <w:marTop w:val="0"/>
      <w:marBottom w:val="0"/>
      <w:divBdr>
        <w:top w:val="none" w:sz="0" w:space="0" w:color="auto"/>
        <w:left w:val="none" w:sz="0" w:space="0" w:color="auto"/>
        <w:bottom w:val="none" w:sz="0" w:space="0" w:color="auto"/>
        <w:right w:val="none" w:sz="0" w:space="0" w:color="auto"/>
      </w:divBdr>
    </w:div>
    <w:div w:id="2134204370">
      <w:bodyDiv w:val="1"/>
      <w:marLeft w:val="0"/>
      <w:marRight w:val="0"/>
      <w:marTop w:val="0"/>
      <w:marBottom w:val="0"/>
      <w:divBdr>
        <w:top w:val="none" w:sz="0" w:space="0" w:color="auto"/>
        <w:left w:val="none" w:sz="0" w:space="0" w:color="auto"/>
        <w:bottom w:val="none" w:sz="0" w:space="0" w:color="auto"/>
        <w:right w:val="none" w:sz="0" w:space="0" w:color="auto"/>
      </w:divBdr>
    </w:div>
    <w:div w:id="2135169475">
      <w:bodyDiv w:val="1"/>
      <w:marLeft w:val="0"/>
      <w:marRight w:val="0"/>
      <w:marTop w:val="0"/>
      <w:marBottom w:val="0"/>
      <w:divBdr>
        <w:top w:val="none" w:sz="0" w:space="0" w:color="auto"/>
        <w:left w:val="none" w:sz="0" w:space="0" w:color="auto"/>
        <w:bottom w:val="none" w:sz="0" w:space="0" w:color="auto"/>
        <w:right w:val="none" w:sz="0" w:space="0" w:color="auto"/>
      </w:divBdr>
    </w:div>
    <w:div w:id="214461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4057857,13329449&amp;pre=&amp;pre=&amp;suf=&amp;suf=&amp;sa=0,0&amp;dbf=0&amp;dbf=0" TargetMode="External"/><Relationship Id="rId21" Type="http://schemas.openxmlformats.org/officeDocument/2006/relationships/hyperlink" Target="https://sciwheel.com/work/citation?ids=3856045&amp;pre=&amp;suf=&amp;sa=0&amp;dbf=0" TargetMode="External"/><Relationship Id="rId42" Type="http://schemas.openxmlformats.org/officeDocument/2006/relationships/hyperlink" Target="https://sciwheel.com/work/citation?ids=32482&amp;pre=&amp;suf=&amp;sa=0&amp;dbf=0" TargetMode="External"/><Relationship Id="rId47" Type="http://schemas.openxmlformats.org/officeDocument/2006/relationships/hyperlink" Target="https://sciwheel.com/work/citation?ids=17229991&amp;pre=&amp;suf=&amp;sa=0&amp;dbf=0" TargetMode="External"/><Relationship Id="rId63" Type="http://schemas.openxmlformats.org/officeDocument/2006/relationships/hyperlink" Target="https://sciwheel.com/work/bibliography/2837948" TargetMode="External"/><Relationship Id="rId68" Type="http://schemas.openxmlformats.org/officeDocument/2006/relationships/hyperlink" Target="https://sciwheel.com/work/bibliography/1340507" TargetMode="External"/><Relationship Id="rId84" Type="http://schemas.openxmlformats.org/officeDocument/2006/relationships/hyperlink" Target="https://sciwheel.com/work/bibliography/13488659" TargetMode="External"/><Relationship Id="rId89" Type="http://schemas.openxmlformats.org/officeDocument/2006/relationships/hyperlink" Target="https://sciwheel.com/work/bibliography/978411" TargetMode="External"/><Relationship Id="rId16" Type="http://schemas.openxmlformats.org/officeDocument/2006/relationships/hyperlink" Target="https://sciwheel.com/work/citation?ids=74693&amp;pre=&amp;suf=&amp;sa=0&amp;dbf=0" TargetMode="External"/><Relationship Id="rId11" Type="http://schemas.openxmlformats.org/officeDocument/2006/relationships/hyperlink" Target="https://sciwheel.com/work/citation?ids=1340507&amp;pre=&amp;suf=&amp;sa=0&amp;dbf=0" TargetMode="External"/><Relationship Id="rId32" Type="http://schemas.openxmlformats.org/officeDocument/2006/relationships/hyperlink" Target="https://sciwheel.com/work/citation?ids=17229991&amp;pre=&amp;suf=&amp;sa=0&amp;dbf=0" TargetMode="External"/><Relationship Id="rId37" Type="http://schemas.openxmlformats.org/officeDocument/2006/relationships/hyperlink" Target="https://sciwheel.com/work/citation?ids=10933807,3856045&amp;pre=&amp;pre=&amp;suf=&amp;suf=&amp;sa=0,0&amp;dbf=0&amp;dbf=0" TargetMode="External"/><Relationship Id="rId53" Type="http://schemas.openxmlformats.org/officeDocument/2006/relationships/hyperlink" Target="https://sciwheel.com/work/citation?ids=17229991&amp;pre=&amp;suf=&amp;sa=0&amp;dbf=0" TargetMode="External"/><Relationship Id="rId58" Type="http://schemas.openxmlformats.org/officeDocument/2006/relationships/hyperlink" Target="https://sciwheel.com/work/bibliography/1459769" TargetMode="External"/><Relationship Id="rId74" Type="http://schemas.openxmlformats.org/officeDocument/2006/relationships/hyperlink" Target="https://sciwheel.com/work/bibliography/10933807" TargetMode="External"/><Relationship Id="rId79" Type="http://schemas.openxmlformats.org/officeDocument/2006/relationships/hyperlink" Target="https://sciwheel.com/work/bibliography/3267729" TargetMode="External"/><Relationship Id="rId5" Type="http://schemas.openxmlformats.org/officeDocument/2006/relationships/webSettings" Target="webSettings.xml"/><Relationship Id="rId90" Type="http://schemas.openxmlformats.org/officeDocument/2006/relationships/hyperlink" Target="https://sciwheel.com/work/bibliography/18004625" TargetMode="External"/><Relationship Id="rId95" Type="http://schemas.openxmlformats.org/officeDocument/2006/relationships/hyperlink" Target="https://sciwheel.com/work/bibliography/5798995" TargetMode="External"/><Relationship Id="rId22" Type="http://schemas.openxmlformats.org/officeDocument/2006/relationships/hyperlink" Target="https://sciwheel.com/work/citation?ids=6658857&amp;pre=&amp;suf=&amp;sa=0&amp;dbf=0" TargetMode="External"/><Relationship Id="rId27" Type="http://schemas.openxmlformats.org/officeDocument/2006/relationships/hyperlink" Target="https://sciwheel.com/work/citation?ids=13488659&amp;pre=&amp;suf=&amp;sa=0&amp;dbf=0" TargetMode="External"/><Relationship Id="rId43" Type="http://schemas.openxmlformats.org/officeDocument/2006/relationships/hyperlink" Target="https://sciwheel.com/work/citation?ids=15246130&amp;pre=&amp;suf=&amp;sa=0&amp;dbf=0" TargetMode="External"/><Relationship Id="rId48" Type="http://schemas.openxmlformats.org/officeDocument/2006/relationships/hyperlink" Target="https://sciwheel.com/work/citation?ids=17229991&amp;pre=&amp;suf=&amp;sa=0&amp;dbf=0" TargetMode="External"/><Relationship Id="rId64" Type="http://schemas.openxmlformats.org/officeDocument/2006/relationships/hyperlink" Target="https://sciwheel.com/work/bibliography/4691262" TargetMode="External"/><Relationship Id="rId69" Type="http://schemas.openxmlformats.org/officeDocument/2006/relationships/hyperlink" Target="https://sciwheel.com/work/bibliography/234491" TargetMode="External"/><Relationship Id="rId80" Type="http://schemas.openxmlformats.org/officeDocument/2006/relationships/hyperlink" Target="https://sciwheel.com/work/bibliography/13329449" TargetMode="External"/><Relationship Id="rId85" Type="http://schemas.openxmlformats.org/officeDocument/2006/relationships/hyperlink" Target="https://sciwheel.com/work/bibliography/2588714" TargetMode="External"/><Relationship Id="rId3" Type="http://schemas.openxmlformats.org/officeDocument/2006/relationships/styles" Target="styles.xml"/><Relationship Id="rId12" Type="http://schemas.openxmlformats.org/officeDocument/2006/relationships/hyperlink" Target="https://sciwheel.com/work/citation?ids=978411&amp;pre=&amp;suf=&amp;sa=0&amp;dbf=0" TargetMode="External"/><Relationship Id="rId17" Type="http://schemas.openxmlformats.org/officeDocument/2006/relationships/hyperlink" Target="https://sciwheel.com/work/citation?ids=4841853&amp;pre=&amp;suf=&amp;sa=0&amp;dbf=0" TargetMode="External"/><Relationship Id="rId25" Type="http://schemas.openxmlformats.org/officeDocument/2006/relationships/hyperlink" Target="https://sciwheel.com/work/citation?ids=10933807&amp;pre=&amp;suf=&amp;sa=0&amp;dbf=0" TargetMode="External"/><Relationship Id="rId33" Type="http://schemas.openxmlformats.org/officeDocument/2006/relationships/hyperlink" Target="https://sciwheel.com/work/citation?ids=13329449&amp;pre=&amp;suf=&amp;sa=0&amp;dbf=0" TargetMode="External"/><Relationship Id="rId38" Type="http://schemas.openxmlformats.org/officeDocument/2006/relationships/hyperlink" Target="https://sciwheel.com/work/citation?ids=355655&amp;pre=&amp;suf=&amp;sa=0&amp;dbf=0" TargetMode="External"/><Relationship Id="rId46" Type="http://schemas.openxmlformats.org/officeDocument/2006/relationships/hyperlink" Target="https://sciwheel.com/work/citation?ids=13488659&amp;pre=&amp;suf=&amp;sa=0&amp;dbf=0" TargetMode="External"/><Relationship Id="rId59" Type="http://schemas.openxmlformats.org/officeDocument/2006/relationships/hyperlink" Target="https://sciwheel.com/work/bibliography/13579073" TargetMode="External"/><Relationship Id="rId67" Type="http://schemas.openxmlformats.org/officeDocument/2006/relationships/hyperlink" Target="https://sciwheel.com/work/bibliography/17229991" TargetMode="External"/><Relationship Id="rId20" Type="http://schemas.openxmlformats.org/officeDocument/2006/relationships/hyperlink" Target="https://sciwheel.com/work/citation?ids=1459769&amp;pre=&amp;suf=&amp;sa=0&amp;dbf=0" TargetMode="External"/><Relationship Id="rId41" Type="http://schemas.openxmlformats.org/officeDocument/2006/relationships/hyperlink" Target="https://sciwheel.com/work/citation?ids=17229991&amp;pre=&amp;suf=&amp;sa=0&amp;dbf=0" TargetMode="External"/><Relationship Id="rId54" Type="http://schemas.openxmlformats.org/officeDocument/2006/relationships/hyperlink" Target="https://sciwheel.com/work/citation?ids=6087081&amp;pre=&amp;suf=&amp;sa=0&amp;dbf=0" TargetMode="External"/><Relationship Id="rId62" Type="http://schemas.openxmlformats.org/officeDocument/2006/relationships/hyperlink" Target="https://sciwheel.com/work/bibliography/241439" TargetMode="External"/><Relationship Id="rId70" Type="http://schemas.openxmlformats.org/officeDocument/2006/relationships/hyperlink" Target="https://sciwheel.com/work/bibliography/6087081" TargetMode="External"/><Relationship Id="rId75" Type="http://schemas.openxmlformats.org/officeDocument/2006/relationships/hyperlink" Target="https://sciwheel.com/work/bibliography/4057857" TargetMode="External"/><Relationship Id="rId83" Type="http://schemas.openxmlformats.org/officeDocument/2006/relationships/hyperlink" Target="https://sciwheel.com/work/bibliography/74693" TargetMode="External"/><Relationship Id="rId88" Type="http://schemas.openxmlformats.org/officeDocument/2006/relationships/hyperlink" Target="https://sciwheel.com/work/bibliography/355655" TargetMode="External"/><Relationship Id="rId91" Type="http://schemas.openxmlformats.org/officeDocument/2006/relationships/hyperlink" Target="https://sciwheel.com/work/bibliography/356588"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6518191&amp;pre=&amp;suf=&amp;sa=0&amp;dbf=0" TargetMode="External"/><Relationship Id="rId23" Type="http://schemas.openxmlformats.org/officeDocument/2006/relationships/hyperlink" Target="https://sciwheel.com/work/citation?ids=3267729&amp;pre=&amp;suf=&amp;sa=0&amp;dbf=0" TargetMode="External"/><Relationship Id="rId28" Type="http://schemas.openxmlformats.org/officeDocument/2006/relationships/hyperlink" Target="https://sciwheel.com/work/citation?ids=16601375&amp;pre=&amp;suf=&amp;sa=0&amp;dbf=0" TargetMode="External"/><Relationship Id="rId36" Type="http://schemas.openxmlformats.org/officeDocument/2006/relationships/hyperlink" Target="https://sciwheel.com/work/citation?ids=17229991&amp;pre=&amp;suf=&amp;sa=0&amp;dbf=0" TargetMode="External"/><Relationship Id="rId49" Type="http://schemas.openxmlformats.org/officeDocument/2006/relationships/hyperlink" Target="https://sciwheel.com/work/citation?ids=5944445&amp;pre=&amp;suf=&amp;sa=0&amp;dbf=0" TargetMode="External"/><Relationship Id="rId57" Type="http://schemas.openxmlformats.org/officeDocument/2006/relationships/hyperlink" Target="https://sciwheel.com/work/citation?ids=16417489&amp;pre=&amp;suf=&amp;sa=0&amp;dbf=0" TargetMode="External"/><Relationship Id="rId10" Type="http://schemas.openxmlformats.org/officeDocument/2006/relationships/hyperlink" Target="https://sciwheel.com/work/citation?ids=8652709&amp;pre=&amp;suf=&amp;sa=0&amp;dbf=0" TargetMode="External"/><Relationship Id="rId31" Type="http://schemas.openxmlformats.org/officeDocument/2006/relationships/hyperlink" Target="https://sciwheel.com/work/citation?ids=4691262&amp;pre=&amp;suf=&amp;sa=0&amp;dbf=0" TargetMode="External"/><Relationship Id="rId44" Type="http://schemas.openxmlformats.org/officeDocument/2006/relationships/hyperlink" Target="https://sciwheel.com/work/citation?ids=15246130&amp;pre=&amp;suf=&amp;sa=0&amp;dbf=0" TargetMode="External"/><Relationship Id="rId52" Type="http://schemas.openxmlformats.org/officeDocument/2006/relationships/hyperlink" Target="https://sciwheel.com/work/citation?ids=10933807&amp;pre=&amp;suf=&amp;sa=0&amp;dbf=0" TargetMode="External"/><Relationship Id="rId60" Type="http://schemas.openxmlformats.org/officeDocument/2006/relationships/hyperlink" Target="https://sciwheel.com/work/bibliography/5944445" TargetMode="External"/><Relationship Id="rId65" Type="http://schemas.openxmlformats.org/officeDocument/2006/relationships/hyperlink" Target="https://sciwheel.com/work/bibliography/16601375" TargetMode="External"/><Relationship Id="rId73" Type="http://schemas.openxmlformats.org/officeDocument/2006/relationships/hyperlink" Target="https://sciwheel.com/work/bibliography/12404623" TargetMode="External"/><Relationship Id="rId78" Type="http://schemas.openxmlformats.org/officeDocument/2006/relationships/hyperlink" Target="https://sciwheel.com/work/bibliography/4841853" TargetMode="External"/><Relationship Id="rId81" Type="http://schemas.openxmlformats.org/officeDocument/2006/relationships/hyperlink" Target="https://sciwheel.com/work/bibliography/183158" TargetMode="External"/><Relationship Id="rId86" Type="http://schemas.openxmlformats.org/officeDocument/2006/relationships/hyperlink" Target="https://sciwheel.com/work/bibliography/1594251" TargetMode="External"/><Relationship Id="rId94" Type="http://schemas.openxmlformats.org/officeDocument/2006/relationships/hyperlink" Target="https://sciwheel.com/work/bibliography/32482" TargetMode="External"/><Relationship Id="rId4" Type="http://schemas.openxmlformats.org/officeDocument/2006/relationships/settings" Target="settings.xml"/><Relationship Id="rId9" Type="http://schemas.openxmlformats.org/officeDocument/2006/relationships/hyperlink" Target="https://sciwheel.com/work/citation?ids=3175799&amp;pre=&amp;suf=&amp;sa=0&amp;dbf=0" TargetMode="External"/><Relationship Id="rId13" Type="http://schemas.openxmlformats.org/officeDocument/2006/relationships/hyperlink" Target="https://sciwheel.com/work/citation?ids=241439&amp;pre=&amp;suf=&amp;sa=0&amp;dbf=0" TargetMode="External"/><Relationship Id="rId18" Type="http://schemas.openxmlformats.org/officeDocument/2006/relationships/hyperlink" Target="https://sciwheel.com/work/citation?ids=18004625&amp;pre=&amp;suf=&amp;sa=0&amp;dbf=0" TargetMode="External"/><Relationship Id="rId39" Type="http://schemas.openxmlformats.org/officeDocument/2006/relationships/hyperlink" Target="https://sciwheel.com/work/citation?ids=183158&amp;pre=&amp;suf=&amp;sa=0&amp;dbf=0" TargetMode="External"/><Relationship Id="rId34" Type="http://schemas.openxmlformats.org/officeDocument/2006/relationships/hyperlink" Target="https://sciwheel.com/work/citation?ids=16601375&amp;pre=&amp;suf=&amp;sa=0&amp;dbf=0" TargetMode="External"/><Relationship Id="rId50" Type="http://schemas.openxmlformats.org/officeDocument/2006/relationships/hyperlink" Target="https://sciwheel.com/work/citation?ids=2837948&amp;pre=&amp;suf=&amp;sa=0&amp;dbf=0" TargetMode="External"/><Relationship Id="rId55" Type="http://schemas.openxmlformats.org/officeDocument/2006/relationships/hyperlink" Target="https://sciwheel.com/work/citation?ids=2588714&amp;pre=&amp;suf=&amp;sa=0&amp;dbf=0" TargetMode="External"/><Relationship Id="rId76" Type="http://schemas.openxmlformats.org/officeDocument/2006/relationships/hyperlink" Target="https://sciwheel.com/work/bibliography/16417489"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sciwheel.com/work/bibliography/3175799" TargetMode="External"/><Relationship Id="rId92" Type="http://schemas.openxmlformats.org/officeDocument/2006/relationships/hyperlink" Target="https://sciwheel.com/work/bibliography/429229" TargetMode="External"/><Relationship Id="rId2" Type="http://schemas.openxmlformats.org/officeDocument/2006/relationships/numbering" Target="numbering.xml"/><Relationship Id="rId29" Type="http://schemas.openxmlformats.org/officeDocument/2006/relationships/hyperlink" Target="https://sciwheel.com/work/citation?ids=18010908&amp;pre=&amp;suf=&amp;sa=0&amp;dbf=0" TargetMode="External"/><Relationship Id="rId24" Type="http://schemas.openxmlformats.org/officeDocument/2006/relationships/hyperlink" Target="https://sciwheel.com/work/citation?ids=234491&amp;pre=&amp;suf=&amp;sa=0&amp;dbf=0" TargetMode="External"/><Relationship Id="rId40" Type="http://schemas.openxmlformats.org/officeDocument/2006/relationships/hyperlink" Target="https://sciwheel.com/work/citation?ids=12404623&amp;pre=&amp;suf=&amp;sa=0&amp;dbf=0" TargetMode="External"/><Relationship Id="rId45" Type="http://schemas.openxmlformats.org/officeDocument/2006/relationships/hyperlink" Target="https://sciwheel.com/work/citation?ids=17229991&amp;pre=&amp;suf=&amp;sa=0&amp;dbf=0" TargetMode="External"/><Relationship Id="rId66" Type="http://schemas.openxmlformats.org/officeDocument/2006/relationships/hyperlink" Target="https://sciwheel.com/work/bibliography/15246130" TargetMode="External"/><Relationship Id="rId87" Type="http://schemas.openxmlformats.org/officeDocument/2006/relationships/hyperlink" Target="https://sciwheel.com/work/bibliography/8652709" TargetMode="External"/><Relationship Id="rId61" Type="http://schemas.openxmlformats.org/officeDocument/2006/relationships/hyperlink" Target="https://sciwheel.com/work/bibliography/6658857" TargetMode="External"/><Relationship Id="rId82" Type="http://schemas.openxmlformats.org/officeDocument/2006/relationships/hyperlink" Target="https://sciwheel.com/work/bibliography/18010908" TargetMode="External"/><Relationship Id="rId19" Type="http://schemas.openxmlformats.org/officeDocument/2006/relationships/hyperlink" Target="https://sciwheel.com/work/citation?ids=13579073&amp;pre=&amp;suf=&amp;sa=0&amp;dbf=0" TargetMode="External"/><Relationship Id="rId14" Type="http://schemas.openxmlformats.org/officeDocument/2006/relationships/hyperlink" Target="https://sciwheel.com/work/citation?ids=1193747&amp;pre=&amp;suf=&amp;sa=0&amp;dbf=0" TargetMode="External"/><Relationship Id="rId30" Type="http://schemas.openxmlformats.org/officeDocument/2006/relationships/hyperlink" Target="https://sciwheel.com/work/citation?ids=1594251&amp;pre=&amp;suf=&amp;sa=0&amp;dbf=0" TargetMode="External"/><Relationship Id="rId35" Type="http://schemas.openxmlformats.org/officeDocument/2006/relationships/hyperlink" Target="https://sciwheel.com/work/citation?ids=15246130&amp;pre=&amp;suf=&amp;sa=0&amp;dbf=0" TargetMode="External"/><Relationship Id="rId56" Type="http://schemas.openxmlformats.org/officeDocument/2006/relationships/hyperlink" Target="https://sciwheel.com/work/citation?ids=5798995&amp;pre=&amp;suf=&amp;sa=0&amp;dbf=0" TargetMode="External"/><Relationship Id="rId77" Type="http://schemas.openxmlformats.org/officeDocument/2006/relationships/hyperlink" Target="https://sciwheel.com/work/bibliography/6518191" TargetMode="External"/><Relationship Id="rId8" Type="http://schemas.openxmlformats.org/officeDocument/2006/relationships/hyperlink" Target="https://sciwheel.com/work/citation?ids=356588&amp;pre=&amp;suf=&amp;sa=0&amp;dbf=0" TargetMode="External"/><Relationship Id="rId51" Type="http://schemas.openxmlformats.org/officeDocument/2006/relationships/hyperlink" Target="https://sciwheel.com/work/citation?ids=2837948&amp;pre=&amp;suf=&amp;sa=0&amp;dbf=0" TargetMode="External"/><Relationship Id="rId72" Type="http://schemas.openxmlformats.org/officeDocument/2006/relationships/hyperlink" Target="https://sciwheel.com/work/bibliography/1193747" TargetMode="External"/><Relationship Id="rId93" Type="http://schemas.openxmlformats.org/officeDocument/2006/relationships/hyperlink" Target="https://sciwheel.com/work/bibliography/38560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B5E01E3-80AC-2A48-9D69-454388B153B0}">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F4F31B1-1415-FE49-9B38-CFF4CDE79A2D}">
  <we:reference id="a504f697-cd57-482d-af3c-653ec8236b9b" version="7.0.0.1" store="EXCatalog" storeType="EXCatalog"/>
  <we:alternateReferences>
    <we:reference id="WA200002534" version="7.0.0.1" store="en-US" storeType="OMEX"/>
  </we:alternateReferences>
  <we:properties>
    <we:property name="sciwheel-csl-items" value="[{&quot;title&quot;:&quot;C. diff (Clostridioides difficile) | CDC&quot;,&quot;accessed&quot;:{&quot;date-parts&quot;:[[&quot;2021&quot;,&quot;10&quot;,&quot;9&quot;]]},&quot;id&quot;:&quot;11836479&quot;,&quot;type&quot;:&quot;webpage&quot;,&quot;author&quot;:[{&quot;family&quot;:&quot;CDC&quot;}],&quot;issued&quot;:{&quot;date-parts&quot;:[[]]},&quot;URL&quot;:&quot;https://www.cdc.gov/cdiff/index.html&quot;,&quot;citation-label&quot;:&quot;11836479&quot;},{&quot;title&quot;:&quot;Burden of Clostridium difficile infection in the United States.&quot;,&quot;page&quot;:&quot;825-834&quot;,&quot;volume&quot;:&quot;372&quot;,&quot;issue&quot;:&quot;9&quot;,&quot;journalAbbreviation&quot;:&quot;N. Engl. J. Med.&quot;,&quot;id&quot;:&quot;1149578&quot;,&quot;type&quot;:&quot;article-journal&quot;,&quot;container-title&quot;:&quot;The New England Journal of Medicine&quot;,&quot;container-title-short&quot;:&quot;N. Engl. J. Med.&quot;,&quot;abstract&quot;:&quot;BACKGROUND: The magnitude and scope of Clostridium difficile infection in the United States continue to evolve.METHODS: In 2011, we performed active population- and laboratory-based surveillance across 10 geographic areas in the United States to identify cases of C. difficile infection (stool specimens positive for C. difficile on either toxin or molecular assay in residents ≥ 1 year of age). Cases were classified as community-associated or health care-associated. In a sample of cases of C. difficile infection, specimens were cultured and isolates underwent molecular typing. We used regression models to calculate estimates of national incidence and total number of infections, first recurrences, and deaths within 30 days after the diagnosis of C. difficile infection.RESULTS: A total of 15,461 cases of C. difficile infection were identified in the 10 geographic areas; 65.8% were health care-associated, but only 24.2% had onset during hospitalization. After adjustment for predictors of disease incidence, the estimated number of incident C. difficile infections in the United States was 453,000 (95% confidence interval [CI], 397,100 to 508,500). The incidence was estimated to be higher among females (rate ratio, 1.26; 95% CI, 1.25 to 1.27), whites (rate ratio, 1.72; 95% CI, 1.56 to 2.0), and persons 65 years of age or older (rate ratio, 8.65; 95% CI, 8.16 to 9.31). The estimated number of first recurrences of C. difficile infection was 83,000 (95% CI, 57,000 to 108,900), and the estimated number of deaths was 29,300 (95% CI, 16,500 to 42,100). The North American pulsed-field gel electrophoresis type 1 (NAP1) strain was more prevalent among health care-associated infections than among community-associated infections (30.7% vs. 18.8%, P&lt; 0.001).CONCLUSIONS: C. difficile was responsible for almost half a million infections and was associated with approximately 29,000 deaths in 2011. (Funded by the Centers for Disease Control and Prevention.).&quot;,&quot;author&quot;:[{&quot;family&quot;:&quot;Lessa&quot;,&quot;given&quot;:&quot;Fernanda C&quot;},{&quot;family&quot;:&quot;Mu&quot;,&quot;given&quot;:&quot;Yi&quot;},{&quot;family&quot;:&quot;Bamberg&quot;,&quot;given&quot;:&quot;Wendy M&quot;},{&quot;family&quot;:&quot;Beldavs&quot;,&quot;given&quot;:&quot;Zintars G&quot;},{&quot;family&quot;:&quot;Dumyati&quot;,&quot;given&quot;:&quot;Ghinwa K&quot;},{&quot;family&quot;:&quot;Dunn&quot;,&quot;given&quot;:&quot;John R&quot;},{&quot;family&quot;:&quot;Farley&quot;,&quot;given&quot;:&quot;Monica M&quot;},{&quot;family&quot;:&quot;Holzbauer&quot;,&quot;given&quot;:&quot;Stacy M&quot;},{&quot;family&quot;:&quot;Meek&quot;,&quot;given&quot;:&quot;James I&quot;},{&quot;family&quot;:&quot;Phipps&quot;,&quot;given&quot;:&quot;Erin C&quot;},{&quot;family&quot;:&quot;Wilson&quot;,&quot;given&quot;:&quot;Lucy E&quot;},{&quot;family&quot;:&quot;Winston&quot;,&quot;given&quot;:&quot;Lisa G&quot;},{&quot;family&quot;:&quot;Cohen&quot;,&quot;given&quot;:&quot;Jessica A&quot;},{&quot;family&quot;:&quot;Limbago&quot;,&quot;given&quot;:&quot;Brandi M&quot;},{&quot;family&quot;:&quot;Fridkin&quot;,&quot;given&quot;:&quot;Scott K&quot;},{&quot;family&quot;:&quot;Gerding&quot;,&quot;given&quot;:&quot;Dale N&quot;},{&quot;family&quot;:&quot;McDonald&quot;,&quot;given&quot;:&quot;L Clifford&quot;}],&quot;issued&quot;:{&quot;date-parts&quot;:[[&quot;2015&quot;,&quot;2&quot;,&quot;26&quot;]]},&quot;DOI&quot;:&quot;10.1056/NEJMoa1408913&quot;,&quot;PMID&quot;:&quot;25714160&quot;,&quot;PMCID&quot;:&quot;PMC10966662&quot;,&quot;citation-label&quot;:&quot;1149578&quot;},{&quot;title&quot;:&quot;Antibiotic Prescribing Choices and Their Comparative C. Difficile Infection Risks: A Longitudinal Case-Cohort Study.&quot;,&quot;page&quot;:&quot;836-844&quot;,&quot;volume&quot;:&quot;72&quot;,&quot;issue&quot;:&quot;5&quot;,&quot;journalAbbreviation&quot;:&quot;Clin. Infect. Dis.&quot;,&quot;id&quot;:&quot;13356607&quot;,&quot;type&quot;:&quot;article-journal&quot;,&quot;container-title&quot;:&quot;Clinical Infectious Diseases&quot;,&quot;container-title-short&quot;:&quot;Clin. Infect. Dis.&quot;,&quot;abstract&quot;:&quot;BACKGROUND: Antibiotic use is the strongest modifiable risk factor for the development of Clostridioides difficile infection, but prescribers lack quantitative information on comparative risks of specific antibiotic courses. Our objective was to estimate risks of C. difficile infection associated with receipt of specific antibiotic courses.METHODS: We conducted a longitudinal case-cohort analysis representing over 90% of Ontario nursing home residents, between 2012 and 2017. Our primary exposure was days of antibiotic receipt in the prior 90 days. Adjustment covariates included: age, sex, prior emergency department or acute care stay, Charlson comorbidity index, prior C. difficile infection, acid suppressant use, device use, and functional status. We examined incident C. difficile infection, including cases identified within the nursing home, and those identified during subsequent hospital admissions. Adjusted and unadjusted regression models were used to measure risk associated with 5- to 14-day courses of 18 different antibiotics.RESULTS: We identified 1708 cases of C. difficile infection (1.27 per 100 000 resident-days). Longer antibiotic duration was associated with increased risk: 10- and 14-day courses incurred 12% (adjusted relative risk [ARR] = 1.12, 95% confidence interval [CI]: 1.09, 1.14) and 27% (ARR = 1.27, 95% CI: 1.21,1.30) more risk compared to 7-day courses. Among 7-day courses with similar indications: moxifloxacin resulted in 121% more risk than amoxicillin (ARR = 2.21, 95% CI: 1.67, 3.08), ciprofloxacin engendered 89% more risk than nitrofurantoin (ARR = 1.89, 95% CI: 1.45, 2.68), and clindamycin resulted in 112% (ARR = 2.12, 95% CI: 1.32, 3.78) more risk than cloxacillin.CONCLUSIONS: C. difficile infection risk increases with antibiotic duration, and there are wide disparities in risks associated with antibiotic courses used for similar indications.Her Majesty the Queen in Right of Canada, as represented by the Public Health Ontario, 2020.&quot;,&quot;author&quot;:[{&quot;family&quot;:&quot;Brown&quot;,&quot;given&quot;:&quot;Kevin Antoine&quot;},{&quot;family&quot;:&quot;Langford&quot;,&quot;given&quot;:&quot;Bradley&quot;},{&quot;family&quot;:&quot;Schwartz&quot;,&quot;given&quot;:&quot;Kevin L&quot;},{&quot;family&quot;:&quot;Diong&quot;,&quot;given&quot;:&quot;Christina&quot;},{&quot;family&quot;:&quot;Garber&quot;,&quot;given&quot;:&quot;Gary&quot;},{&quot;family&quot;:&quot;Daneman&quot;,&quot;given&quot;:&quot;Nick&quot;}],&quot;issued&quot;:{&quot;date-parts&quot;:[[&quot;2021&quot;,&quot;3&quot;,&quot;1&quot;]]},&quot;DOI&quot;:&quot;10.1093/cid/ciaa124&quot;,&quot;PMID&quot;:&quot;32069358&quot;,&quot;PMCID&quot;:&quot;PMC7935390&quot;,&quot;citation-label&quot;:&quot;13356607&quot;},{&quot;title&quot;:&quot;Evaluation of Clostridium difficile-associated disease pressure as a risk factor for C difficile-associated disease.&quot;,&quot;page&quot;:&quot;1092-1097&quot;,&quot;volume&quot;:&quot;167&quot;,&quot;issue&quot;:&quot;10&quot;,&quot;journalAbbreviation&quot;:&quot;Arch. Intern. Med.&quot;,&quot;id&quot;:&quot;18003309&quot;,&quot;type&quot;:&quot;article-journal&quot;,&quot;container-title&quot;:&quot;Archives of Internal Medicine&quot;,&quot;container-title-short&quot;:&quot;Arch. Intern. Med.&quot;,&quot;abstract&quot;:&quot;BACKGROUND: Colonization pressure has been identified as an important risk factor in the transmission of methicillin-resistant Staphylococcus aureus and vancomycin-resistant Enterococcus species, but the role of colonization pressure in the transmission of Clostridium difficile-associated disease (CDAD) is unclear. The purpose of this study was to evaluate CDAD pressure, a modified form of colonization pressure based on symptomatic CDAD cases, as a risk factor for CDAD.METHODS: Retrospective cohort and nested case-control studies of patients admitted to Barnes-Jewish Hospital from January 1, 2003, through December 31, 2003. Univariate analysis and multivariate logistic regression models were used to evaluate the role of CDAD pressure as a risk factor for CDAD.RESULTS: A total of 36 275 patients were included in the cohort, of which 382 had CDAD. The median CDAD pressure was higher for case patients than noncase patients (1.4 vs 0.3; P&lt; .001), and only 1 patient with CDAD had a CDAD pressure of 0. In the nested case-control study, CDAD pressure remained an independent risk factor for CDAD after adjustment for demographics, severity of illness, medications received (chemotherapy, gastric acid suppressors, antidiarrheals or narcotics, and antibiotics), and abdominal procedures or surgery performed.CONCLUSIONS: The results of this study suggest that CDAD pressure may be an independent risk factor for CDAD. Future studies that evaluate risk of CDAD should control for CDAD pressure.&quot;,&quot;author&quot;:[{&quot;family&quot;:&quot;Dubberke&quot;,&quot;given&quot;:&quot;Erik R&quot;},{&quot;family&quot;:&quot;Reske&quot;,&quot;given&quot;:&quot;Kimberly A&quot;},{&quot;family&quot;:&quot;Olsen&quot;,&quot;given&quot;:&quot;Margaret A&quot;},{&quot;family&quot;:&quot;McMullen&quot;,&quot;given&quot;:&quot;Kathleen M&quot;},{&quot;family&quot;:&quot;Mayfield&quot;,&quot;given&quot;:&quot;Jennie L&quot;},{&quot;family&quot;:&quot;McDonald&quot;,&quot;given&quot;:&quot;L Clifford&quot;},{&quot;family&quot;:&quot;Fraser&quot;,&quot;given&quot;:&quot;Victoria J&quot;}],&quot;issued&quot;:{&quot;date-parts&quot;:[[&quot;2007&quot;,&quot;5&quot;,&quot;28&quot;]]},&quot;DOI&quot;:&quot;10.1001/archinte.167.10.1092&quot;,&quot;PMID&quot;:&quot;17533213&quot;,&quot;citation-label&quot;:&quot;18003309&quot;},{&quot;title&quot;:&quot;Antibiotic-induced shifts in the mouse gut microbiome and metabolome increase susceptibility to Clostridium difficile infection.&quot;,&quot;page&quot;:&quot;3114&quot;,&quot;volume&quot;:&quot;5&quot;,&quot;journalAbbreviation&quot;:&quot;Nat. Commun.&quot;,&quot;id&quot;:&quot;1310431&quot;,&quot;type&quot;:&quot;article-journal&quot;,&quot;container-title&quot;:&quot;Nature Communications&quot;,&quot;container-title-short&quot;:&quot;Nat. Commun.&quot;,&quot;abstract&quot;:&quot;Antibiotics can have significant and long-lasting effects on the gastrointestinal tract microbiota, reducing colonization resistance against pathogens including Clostridium difficile. Here we show that antibiotic treatment induces substantial changes in the gut microbial community and in the metabolome of mice susceptible to C. difficile infection. Levels of secondary bile acids, glucose, free fatty acids and dipeptides decrease, whereas those of primary bile acids and sugar alcohols increase, reflecting the modified metabolic activity of the altered gut microbiome. In vitro and ex vivo analyses demonstrate that C. difficile can exploit specific metabolites that become more abundant in the mouse gut after antibiotics, including the primary bile acid taurocholate for germination, and carbon sources such as mannitol, fructose, sorbitol, raffinose and stachyose for growth. Our results indicate that antibiotic-mediated alteration of the gut microbiome converts the global metabolic profile to one that favours C. difficile germination and growth.&quot;,&quot;author&quot;:[{&quot;family&quot;:&quot;Theriot&quot;,&quot;given&quot;:&quot;Casey M&quot;},{&quot;family&quot;:&quot;Koenigsknecht&quot;,&quot;given&quot;:&quot;Mark J&quot;},{&quot;family&quot;:&quot;Carlson&quot;,&quot;given&quot;:&quot;Paul E&quot;},{&quot;family&quot;:&quot;Hatton&quot;,&quot;given&quot;:&quot;Gabrielle E&quot;},{&quot;family&quot;:&quot;Nelson&quot;,&quot;given&quot;:&quot;Adam M&quot;},{&quot;family&quot;:&quot;Li&quot;,&quot;given&quot;:&quot;Bo&quot;},{&quot;family&quot;:&quot;Huffnagle&quot;,&quot;given&quot;:&quot;Gary B&quot;},{&quot;family&quot;:&quot;Z Li&quot;,&quot;given&quot;:&quot;Jun&quot;},{&quot;family&quot;:&quot;Young&quot;,&quot;given&quot;:&quot;Vincent B&quot;}],&quot;issued&quot;:{&quot;date-parts&quot;:[[&quot;2014&quot;]]},&quot;DOI&quot;:&quot;10.1038/ncomms4114&quot;,&quot;PMID&quot;:&quot;24445449&quot;,&quot;PMCID&quot;:&quot;PMC3950275&quot;,&quot;citation-label&quot;:&quot;1310431&quot;},{&quot;title&quot;:&quot;Clinical complications in patients with primary and recurrent Clostridioides difficile infection: A real-world data analysis.&quot;,&quot;page&quot;:&quot;2050312120986733&quot;,&quot;volume&quot;:&quot;9&quot;,&quot;journalAbbreviation&quot;:&quot;SAGE Open Med.&quot;,&quot;id&quot;:&quot;18003324&quot;,&quot;type&quot;:&quot;article-journal&quot;,&quot;container-title&quot;:&quot;SAGE open medicine&quot;,&quot;container-title-short&quot;:&quot;SAGE Open Med.&quot;,&quot;abstract&quot;:&quot;OBJECTIVE: Clostridioides difficile infection and recurrent C. difficile infection result in substantial economic burden and healthcare resource use. Sepsis and bowel surgery are known to be serious complications of C. difficile infection. This study evaluated clinical complications in patients with C. difficile infection and recurrent C. difficile infection during a 12-month period following the primary C. difficile infection.METHODS: A retrospective analysis of commercial claims data from the IQVIA PharMetrics Plus™ database was conducted for patients aged 18-64 years with an index C. difficile infection episode requiring inpatient stay or an outpatient visit for C. difficile infection followed by a C. difficile infection treatment. Each C. difficile infection episode ended after a 14-day C. difficile infection-claim-free period was observed. Recurrent C. difficile infection was defined as a further C. difficile infection episode within an 8-week window following the claim-free period. Clinical complications were documented over 12 months of follow-up and stratified by the number of recurrent C. difficile infection episodes (0 rCDI, 1 rCDI, 2 rCDI, and 3+ rCDI).RESULTS: In total, 46,571 patients with index C. difficile infection episode were included. During the 6-month pre-index, the mean (standard deviation) baseline Charlson comorbidity index score, by increasing the recurrent C. difficile infection group, was 1.2 (1.9), 1.5 (2.2), 1.8 (2.3), and 2.3 (2.5). During the 12-month follow-up, sepsis occurred in 16.5%, 27.3%, 33.1%, and 43.3% of patients, and subtotal colectomy or diverting loop ileostomy was performed in 4.6%, 7.3%, 8.9%, and 10.5% of patients, respectively, by increasing the recurrent C. difficile infection group.CONCLUSIONS: Reduction in recurrent C. difficile infection is an important step to reduce the burden of serious clinical complications, and new treatments are needed to reduce C. difficile infection recurrence.© The Author(s) 2021.&quot;,&quot;author&quot;:[{&quot;family&quot;:&quot;Feuerstadt&quot;,&quot;given&quot;:&quot;Paul&quot;},{&quot;family&quot;:&quot;Boules&quot;,&quot;given&quot;:&quot;Mena&quot;},{&quot;family&quot;:&quot;Stong&quot;,&quot;given&quot;:&quot;Laura&quot;},{&quot;family&quot;:&quot;Dahdal&quot;,&quot;given&quot;:&quot;David N&quot;},{&quot;family&quot;:&quot;Sacks&quot;,&quot;given&quot;:&quot;Naomi C&quot;},{&quot;family&quot;:&quot;Lang&quot;,&quot;given&quot;:&quot;Kathleen&quot;},{&quot;family&quot;:&quot;Nelson&quot;,&quot;given&quot;:&quot;Winnie W&quot;}],&quot;issued&quot;:{&quot;date-parts&quot;:[[&quot;2021&quot;,&quot;1&quot;,&quot;14&quot;]]},&quot;DOI&quot;:&quot;10.1177/2050312120986733&quot;,&quot;PMID&quot;:&quot;33505698&quot;,&quot;PMCID&quot;:&quot;PMC7812403&quot;,&quot;citation-label&quot;:&quot;18003324&quot;},{&quot;title&quot;:&quot;Interbacterial mechanisms of colonization resistance and the strategies pathogens use to overcome them.&quot;,&quot;page&quot;:&quot;1-9&quot;,&quot;volume&quot;:&quot;12&quot;,&quot;issue&quot;:&quot;1&quot;,&quot;journalAbbreviation&quot;:&quot;Mucosal Immunol.&quot;,&quot;id&quot;:&quot;5933461&quot;,&quot;type&quot;:&quot;article-journal&quot;,&quot;container-title&quot;:&quot;Mucosal Immunology&quot;,&quot;container-title-short&quot;:&quot;Mucosal Immunol.&quot;,&quot;abstract&quot;:&quot;The communities of bacteria that reside in the intestinal tract are in constant competition within this dynamic and densely colonized environment. At homeostasis, the equilibrium that exists between these species and strains is shaped by their metabolism and also by pathways of active antagonism, which drive competition with related and unrelated strains. Importantly, these normal activities contribute to colonization resistance by the healthy microbiota, which includes the ability to prevent the expansion of potential pathogens. Disruption of the microbiota, resulting from, for example, inflammation or antibiotic use, can reduce colonization resistance. Pathogens that engraft following disruption of the microbiota are often adapted to expand into newly created niches and compete in an altered gut environment. In this review, we examine both the interbacterial mechanisms of colonization resistance and the strategies of pathogenic strains to exploit gaps in colonization resistance.&quot;,&quot;author&quot;:[{&quot;family&quot;:&quot;Sorbara&quot;,&quot;given&quot;:&quot;Matthew T&quot;},{&quot;family&quot;:&quot;Pamer&quot;,&quot;given&quot;:&quot;Eric G&quot;}],&quot;issued&quot;:{&quot;date-parts&quot;:[[&quot;2019&quot;,&quot;1&quot;]]},&quot;DOI&quot;:&quot;10.1038/s41385-018-0053-0&quot;,&quot;PMID&quot;:&quot;29988120&quot;,&quot;PMCID&quot;:&quot;PMC6312114&quot;,&quot;citation-label&quot;:&quot;5933461&quot;},{&quot;title&quot;:&quot;EPA’s Registered Antimicrobial Products Effective Against Clostridioides difficile (C. diff) Spores [List K] | US EPA&quot;,&quot;accessed&quot;:{&quot;date-parts&quot;:[[&quot;2025&quot;,&quot;6&quot;,&quot;25&quot;]]},&quot;id&quot;:&quot;18003358&quot;,&quot;type&quot;:&quot;webpage&quot;,&quot;issued&quot;:{&quot;date-parts&quot;:[[]]},&quot;URL&quot;:&quot;https://www.epa.gov/pesticide-registration/epas-registered-antimicrobial-products-effective-against-clostridioides&quot;,&quot;citation-label&quot;:&quot;18003358&quot;},{&quot;title&quot;:&quot;Recovery of the gut microbiome following fecal microbiota transplantation.&quot;,&quot;page&quot;:&quot;e00893-14&quot;,&quot;volume&quot;:&quot;5&quot;,&quot;issue&quot;:&quot;3&quot;,&quot;journalAbbreviation&quot;:&quot;MBio&quot;,&quot;id&quot;:&quot;1986637&quot;,&quot;type&quot;:&quot;article-journal&quot;,&quot;container-title&quot;:&quot;mBio&quot;,&quot;container-title-short&quot;:&quot;MBio&quot;,&quot;abstract&quot;:&quot;UNLABELLED: Clostridium difficile infection is one of the most common health care-associated infections, and up to 40% of patients suffer from recurrence of disease following standard antibiotic therapy. Recently, fecal microbiota transplantation (FMT) has been successfully used to treat recurrent C. difficile infection. It is hypothesized that FMT aids in recovery of a microbiota capable of colonization resistance to C. difficile. However, it is not fully understood how this occurs. Here we investigated changes in the fecal microbiota structure following FMT in patients with recurrent C. difficile infection, and imputed a hypothetical functional profile based on the 16S rRNA profile using a predictive metagenomic tool. Increased relative abundance of Bacteroidetes and decreased abundance of Proteobacteria were observed following FMT. The fecal microbiota of recipients following transplantation was more diverse and more similar to the donor profile than the microbiota prior to transplantation. Additionally, we observed differences in the imputed metagenomic profile. In particular, amino acid transport systems were overrepresented in samples collected prior to transplantation. These results suggest that functional changes accompany microbial structural changes following this therapy. Further identification of the specific community members and functions that promote colonization resistance may aid in the development of improved treatment methods for C. difficile infection.IMPORTANCE: Within the last decade, Clostridium difficile infection has surpassed other bacterial infections to become the leading cause of nosocomial infections. Antibiotic use, which disrupts the gut microbiota and its capability in providing colonization resistance against C. difficile, is a known risk factor in C. difficile infection. In particular, recurrent C. difficile remains difficult to treat with standard antibiotic therapy. Fecal microbiota transplantation (FMT) has provided a successful treatment method for some patients with recurrent C. difficile infection, but its mechanism and long-term effects remain unknown. Our results provide insight into the structural and potential metabolic changes that occur following FMT, which may aid in the development of new treatment methods for C. difficile infection.Copyright © 2014 Seekatz et al.&quot;,&quot;author&quot;:[{&quot;family&quot;:&quot;Seekatz&quot;,&quot;given&quot;:&quot;Anna M&quot;},{&quot;family&quot;:&quot;Aas&quot;,&quot;given&quot;:&quot;Johannes&quot;},{&quot;family&quot;:&quot;Gessert&quot;,&quot;given&quot;:&quot;Charles E&quot;},{&quot;family&quot;:&quot;Rubin&quot;,&quot;given&quot;:&quot;Timothy A&quot;},{&quot;family&quot;:&quot;Saman&quot;,&quot;given&quot;:&quot;Daniel M&quot;},{&quot;family&quot;:&quot;Bakken&quot;,&quot;given&quot;:&quot;Johan S&quot;},{&quot;family&quot;:&quot;Young&quot;,&quot;given&quot;:&quot;Vincent B&quot;}],&quot;issued&quot;:{&quot;date-parts&quot;:[[&quot;2014&quot;,&quot;6&quot;,&quot;17&quot;]]},&quot;DOI&quot;:&quot;10.1128/mBio.00893-14&quot;,&quot;PMID&quot;:&quot;24939885&quot;,&quot;PMCID&quot;:&quot;PMC4068257&quot;,&quot;citation-label&quot;:&quot;1986637&quot;},{&quot;title&quot;:&quot;Clostridium difficile Infection and Fecal Microbiota Transplant.&quot;,&quot;page&quot;:&quot;324-337&quot;,&quot;volume&quot;:&quot;27&quot;,&quot;issue&quot;:&quot;3&quot;,&quot;journalAbbreviation&quot;:&quot;AACN Adv. Crit. Care&quot;,&quot;id&quot;:&quot;6518191&quot;,&quot;type&quot;:&quot;article-journal&quot;,&quot;container-title&quot;:&quot;AACN Advanced Critical Care&quot;,&quot;container-title-short&quot;:&quot;AACN Adv. Crit. Care&quot;,&quot;abstract&quot;:&quot;Clostridium difficile infection (CDI) is a major source of morbidity and mortality for hospitalized patients. Although most patients have a clinical response to existing antimicrobial therapies, recurrent infection develops in up to 30% of patients. Fecal microbiota transplant is a novel approach to this complex problem, with an efficacy rate of nearly 90% in the setting of multiple recurrent CDI. This review covers the current epidemiology of CDI (including toxigenic and nontoxigenic strains, risk factors for infection, and recurrent infection), methods of diagnosis, existing first-line therapies in CDI, the role of fecal microbiota transplant for multiple recurrent CDIs, and the potential use of fecal microbial transplant for patients with severe or refractory infection.©2016 American Association of Critical-Care Nurses.&quot;,&quot;author&quot;:[{&quot;family&quot;:&quot;Liubakka&quot;,&quot;given&quot;:&quot;Alyssa&quot;},{&quot;family&quot;:&quot;Vaughn&quot;,&quot;given&quot;:&quot;Byron P&quot;}],&quot;issued&quot;:{&quot;date-parts&quot;:[[&quot;2016&quot;,&quot;7&quot;]]},&quot;DOI&quot;:&quot;10.4037/aacnacc2016703&quot;,&quot;PMID&quot;:&quot;27959316&quot;,&quot;PMCID&quot;:&quot;PMC5666691&quot;,&quot;citation-label&quot;:&quot;6518191&quot;},{&quot;title&quot;:&quot;Duodenal infusion of donor feces for recurrent Clostridium difficile.&quot;,&quot;page&quot;:&quot;407-415&quot;,&quot;volume&quot;:&quot;368&quot;,&quot;issue&quot;:&quot;5&quot;,&quot;journalAbbreviation&quot;:&quot;N. Engl. J. Med.&quot;,&quot;id&quot;:&quot;74693&quot;,&quot;type&quot;:&quot;article-journal&quot;,&quot;container-title&quot;:&quot;The New England Journal of Medicine&quot;,&quot;container-title-short&quot;:&quot;N. Engl. J. Med.&quot;,&quot;abstract&quot;:&quot;BACKGROUND: Recurrent Clostridium difficile infection is difficult to treat, and failure rates for antibiotic therapy are high. We studied the effect of duodenal infusion of donor feces in patients with recurrent C. difficile infection.METHODS: We randomly assigned patients to receive one of three therapies: an initial vancomycin regimen (500 mg orally four times per day for 4 days), followed by bowel lavage and subsequent infusion of a solution of donor feces through a nasoduodenal tube; a standard vancomycin regimen (500 mg orally four times per day for 14 days); or a standard vancomycin regimen with bowel lavage. The primary end point was the resolution of diarrhea associated with C. difficile infection without relapse after 10 weeks.RESULTS: The study was stopped after an interim analysis. Of 16 patients in the infusion group, 13 (81%) had resolution of C. difficile-associated diarrhea after the first infusion. The 3 remaining patients received a second infusion with feces from a different donor, with resolution in 2 patients. Resolution of C. difficile infection occurred in 4 of 13 patients (31%) receiving vancomycin alone and in 3 of 13 patients (23%) receiving vancomycin with bowel lavage (P&lt; 0.001 for both comparisons with the infusion group). No significant differences in adverse events among the three study groups were observed except for mild diarrhea and abdominal cramping in the infusion group on the infusion day. After donor-feces infusion, patients showed increased fecal bacterial diversity, similar to that in healthy donors, with an increase in Bacteroidetes species and clostridium clusters IV and XIVa and a decrease in Proteobacteria species.CONCLUSIONS: The infusion of donor feces was significantly more effective for the treatment of recurrent C. difficile infection than the use of vancomycin. (Funded by the Netherlands Organization for Health Research and Development and the Netherlands Organization for Scientific Research; Netherlands Trial Register number, NTR1177.).&quot;,&quot;author&quot;:[{&quot;family&quot;:&quot;van Nood&quot;,&quot;given&quot;:&quot;Els&quot;},{&quot;family&quot;:&quot;Vrieze&quot;,&quot;given&quot;:&quot;Anne&quot;},{&quot;family&quot;:&quot;Nieuwdorp&quot;,&quot;given&quot;:&quot;Max&quot;},{&quot;family&quot;:&quot;Fuentes&quot;,&quot;given&quot;:&quot;Susana&quot;},{&quot;family&quot;:&quot;Zoetendal&quot;,&quot;given&quot;:&quot;Erwin G&quot;},{&quot;family&quot;:&quot;de Vos&quot;,&quot;given&quot;:&quot;Willem M&quot;},{&quot;family&quot;:&quot;Visser&quot;,&quot;given&quot;:&quot;Caroline E&quot;},{&quot;family&quot;:&quot;Kuijper&quot;,&quot;given&quot;:&quot;Ed J&quot;},{&quot;family&quot;:&quot;Bartelsman&quot;,&quot;given&quot;:&quot;Joep F W M&quot;},{&quot;family&quot;:&quot;Tijssen&quot;,&quot;given&quot;:&quot;Jan G P&quot;},{&quot;family&quot;:&quot;Speelman&quot;,&quot;given&quot;:&quot;Peter&quot;},{&quot;family&quot;:&quot;Dijkgraaf&quot;,&quot;given&quot;:&quot;Marcel G W&quot;},{&quot;family&quot;:&quot;Keller&quot;,&quot;given&quot;:&quot;Josbert J&quot;}],&quot;issued&quot;:{&quot;date-parts&quot;:[[&quot;2013&quot;,&quot;1&quot;,&quot;31&quot;]]},&quot;DOI&quot;:&quot;10.1056/NEJMoa1205037&quot;,&quot;PMID&quot;:&quot;23323867&quot;,&quot;citation-label&quot;:&quot;74693&quot;},{&quot;title&quot;:&quot;Inflammatory Bowel Disease Affects the Outcome of Fecal Microbiota Transplantation for Recurrent Clostridium difficile Infection.&quot;,&quot;page&quot;:&quot;1433-1438&quot;,&quot;volume&quot;:&quot;14&quot;,&quot;issue&quot;:&quot;10&quot;,&quot;journalAbbreviation&quot;:&quot;Clin. Gastroenterol. Hepatol.&quot;,&quot;id&quot;:&quot;1536079&quot;,&quot;type&quot;:&quot;article-journal&quot;,&quot;container-title&quot;:&quot;Clinical Gastroenterology and Hepatology&quot;,&quot;container-title-short&quot;:&quot;Clin. Gastroenterol. Hepatol.&quot;,&quot;abstract&quot;:&quot;BACKGROUND &amp; AIMS: A significant fraction of patients with recurrent Clostridium difficile infections (CDI) have inflammatory bowel disease (IBD). Fecal microbiota transplantation (FMT) can break the cycle of CDI recurrence and can be performed without evaluation of the colon. We evaluated the efficacy of colonoscopic FMT in patients with and without IBD, and whether we could identify IBD in patients during this procedure.METHODS: We collected clinical meta-data and colonoscopy results from 272 consecutive patients that underwent FMT for recurrent CDI at the University of Minnesota from 2008 through 2015. Patients had at least 2 spontaneous relapses of CDI following their initial episode and did not clear the infection after 1 extended antibiotic regimen. We collected random mucosal biopsies from patients' right colons to identify lymphocytic or collagenous colitis during the FMT procedure. Failure or success in clearing CDI was determined within or at 2 months after the FMT.RESULTS: Of patients undergoing FMT, 15% had established IBD and 2.6% were found to have IBD during the FMT procedure. A single colonoscopic FMT cleared CDI from 74.4% of patients with IBD and 92.1% of patients without IBD (P = .0018). Patients had similar responses to FMT regardless of immunosuppressive therapy. More than one-quarter of patients with IBD (25.6%) had a clinically significant flare of IBD after FMT. Lymphocytic colitis was documented in 7.4% of patients with endoscopically normal colon mucosa; only 3 of these patients (20%) required additional treatment for colitis after clearance of CDI.CONCLUSIONS: Based on an analysis of 272 patients, FMT is somewhat less effective in clearing recurrent CDI from patients with IBD, compared with patients without IBD, regardless of immunosuppressive therapy. More than 25% of patients with IBD have a disease flare following FMT. Lymphocytic colitis did not affect the outcome of FMT, but a small fraction of these patients required pharmacologic treatment after the procedure.Copyright © 2016 AGA Institute. Published by Elsevier Inc. All rights reserved.&quot;,&quot;author&quot;:[{&quot;family&quot;:&quot;Khoruts&quot;,&quot;given&quot;:&quot;Alexander&quot;},{&quot;family&quot;:&quot;Rank&quot;,&quot;given&quot;:&quot;Kevin M&quot;},{&quot;family&quot;:&quot;Newman&quot;,&quot;given&quot;:&quot;Krista M&quot;},{&quot;family&quot;:&quot;Viskocil&quot;,&quot;given&quot;:&quot;Kimberly&quot;},{&quot;family&quot;:&quot;Vaughn&quot;,&quot;given&quot;:&quot;Byron P&quot;},{&quot;family&quot;:&quot;Hamilton&quot;,&quot;given&quot;:&quot;Matthew J&quot;},{&quot;family&quot;:&quot;Sadowsky&quot;,&quot;given&quot;:&quot;Michael J&quot;}],&quot;issued&quot;:{&quot;date-parts&quot;:[[&quot;2016&quot;,&quot;10&quot;]]},&quot;DOI&quot;:&quot;10.1016/j.cgh.2016.02.018&quot;,&quot;PMID&quot;:&quot;26905904&quot;,&quot;PMCID&quot;:&quot;PMC5552196&quot;,&quot;citation-label&quot;:&quot;1536079&quot;},{&quot;title&quot;:&quot;FDA In Brief: FDA warns about potential risk of serious infections caused by multi-drug resistant organisms related to the investigational use of Fecal Microbiota for Transplantation | FDA&quot;,&quot;accessed&quot;:{&quot;date-parts&quot;:[[&quot;2022&quot;,&quot;3&quot;,&quot;13&quot;]]},&quot;id&quot;:&quot;12646886&quot;,&quot;type&quot;:&quot;webpage&quot;,&quot;issued&quot;:{&quot;date-parts&quot;:[[]]},&quot;URL&quot;:&quot;https://www.fda.gov/news-events/fda-brief/fda-brief-fda-warns-about-potential-risk-serious-infections-caused-multi-drug-resistant-organisms&quot;,&quot;citation-label&quot;:&quot;12646886&quot;},{&quot;title&quot;:&quot;Safety Alert Regarding Use of Fecal Microbiota for Transplantation and Risk of Serious Adverse Events Likely Due to Transmission of Pathogenic Organisms | FDA&quot;,&quot;accessed&quot;:{&quot;date-parts&quot;:[[&quot;2025&quot;,&quot;6&quot;,&quot;26&quot;]]},&quot;id&quot;:&quot;18004625&quot;,&quot;type&quot;:&quot;webpage&quot;,&quot;issued&quot;:{&quot;date-parts&quot;:[[]]},&quot;URL&quot;:&quot;https://www.fda.gov/vaccines-blood-biologics/safety-availability-biologics/safety-alert-regarding-use-fecal-microbiota-transplantation-and-risk-serious-adverse-events-likely&quot;,&quot;citation-label&quot;:&quot;18004625&quot;},{&quot;title&quot;:&quot;Do Probiotics Prevent Clostridium difficile-Associated Diarrhea?&quot;,&quot;page&quot;:&quot;e27624&quot;,&quot;volume&quot;:&quot;14&quot;,&quot;issue&quot;:&quot;8&quot;,&quot;journalAbbreviation&quot;:&quot;Cureus&quot;,&quot;id&quot;:&quot;13579073&quot;,&quot;type&quot;:&quot;article-journal&quot;,&quot;container-title&quot;:&quot;Cureus&quot;,&quot;container-title-short&quot;:&quot;Cureus&quot;,&quot;abstract&quot;:&quot;Clostridium difficile is a bacterium that affects the gastrointestinal tract and is the leading cause of antibiotic-associated diarrhea. A wide range of probiotics has been studied and used to prevent or treat Clostridium difficile-associated diarrhea (CDAD). Probiotics are microorganisms with unique characteristics that suppress dangerous gut bacteria through several mechanisms. The main objective of this study is to evaluate the efficacy and safety of probiotics in the prevention of CDAD. In this literature review, we searched PubMed and Google Scholar databases to gather related articles depending on predetermined eligibility criteria and found 13 papers of different study designs. We found that probiotics have promising effects in preventing CDAD. Additionally, they were safe and well-tolerated. Further randomized clinical trials with larger sample sizes and various patient groups are needed to better understand the advantages of probiotics and recommend the best dose and duration of probiotic treatment.Copyright © 2022, Al Sharaby et al.&quot;,&quot;author&quot;:[{&quot;family&quot;:&quot;Al Sharaby&quot;,&quot;given&quot;:&quot;Afrah&quot;},{&quot;family&quot;:&quot;Abugoukh&quot;,&quot;given&quot;:&quot;Tahani M&quot;},{&quot;family&quot;:&quot;Ahmed&quot;,&quot;given&quot;:&quot;Wefag&quot;},{&quot;family&quot;:&quot;Ahmed&quot;,&quot;given&quot;:&quot;Samah&quot;},{&quot;family&quot;:&quot;Elshaikh&quot;,&quot;given&quot;:&quot;Abeer O&quot;}],&quot;issued&quot;:{&quot;date-parts&quot;:[[&quot;2022&quot;,&quot;8&quot;,&quot;2&quot;]]},&quot;DOI&quot;:&quot;10.7759/cureus.27624&quot;,&quot;PMID&quot;:&quot;36072190&quot;,&quot;PMCID&quot;:&quot;PMC9437377&quot;,&quot;citation-label&quot;:&quot;13579073&quot;},{&quot;title&quot;:&quot;Lactobacilli and bifidobacteria in the prevention of antibiotic-associated diarrhoea and Clostridium difficile diarrhoea in older inpatients (PLACIDE): a randomised, double-blind, placebo-controlled, multicentre trial.&quot;,&quot;page&quot;:&quot;1249-1257&quot;,&quot;volume&quot;:&quot;382&quot;,&quot;issue&quot;:&quot;9900&quot;,&quot;journalAbbreviation&quot;:&quot;Lancet&quot;,&quot;id&quot;:&quot;1459769&quot;,&quot;type&quot;:&quot;article-journal&quot;,&quot;container-title&quot;:&quot;The Lancet&quot;,&quot;container-title-short&quot;:&quot;Lancet&quot;,&quot;author&quot;:[{&quot;family&quot;:&quot;Allen&quot;,&quot;given&quot;:&quot;Stephen J&quot;},{&quot;family&quot;:&quot;Wareham&quot;,&quot;given&quot;:&quot;Kathie&quot;},{&quot;family&quot;:&quot;Wang&quot;,&quot;given&quot;:&quot;Duolao&quot;},{&quot;family&quot;:&quot;Bradley&quot;,&quot;given&quot;:&quot;Caroline&quot;},{&quot;family&quot;:&quot;Hutchings&quot;,&quot;given&quot;:&quot;Hayley&quot;},{&quot;family&quot;:&quot;Harris&quot;,&quot;given&quot;:&quot;Wyn&quot;},{&quot;family&quot;:&quot;Dhar&quot;,&quot;given&quot;:&quot;Anjan&quot;},{&quot;family&quot;:&quot;Brown&quot;,&quot;given&quot;:&quot;Helga&quot;},{&quot;family&quot;:&quot;Foden&quot;,&quot;given&quot;:&quot;Alwyn&quot;},{&quot;family&quot;:&quot;Gravenor&quot;,&quot;given&quot;:&quot;Michael B&quot;},{&quot;family&quot;:&quot;Mack&quot;,&quot;given&quot;:&quot;Dietrich&quot;}],&quot;issued&quot;:{&quot;date-parts&quot;:[[&quot;2013&quot;,&quot;10&quot;,&quot;12&quot;]]},&quot;DOI&quot;:&quot;10.1016/S0140-6736(13)61218-0&quot;,&quot;PMID&quot;:&quot;23932219&quot;,&quot;citation-label&quot;:&quot;1459769&quot;},{&quot;title&quot;:&quot;Administration of spores of nontoxigenic Clostridium difficile strain M3 for prevention of recurrent C. difficile infection: a randomized clinical trial.&quot;,&quot;page&quot;:&quot;1719-1727&quot;,&quot;volume&quot;:&quot;313&quot;,&quot;issue&quot;:&quot;17&quot;,&quot;journalAbbreviation&quot;:&quot;JAMA&quot;,&quot;id&quot;:&quot;234491&quot;,&quot;type&quot;:&quot;article-journal&quot;,&quot;container-title&quot;:&quot;The Journal of the American Medical Association&quot;,&quot;container-title-short&quot;:&quot;JAMA&quot;,&quot;author&quot;:[{&quot;family&quot;:&quot;Gerding&quot;,&quot;given&quot;:&quot;Dale N&quot;},{&quot;family&quot;:&quot;Meyer&quot;,&quot;given&quot;:&quot;Thomas&quot;},{&quot;family&quot;:&quot;Lee&quot;,&quot;given&quot;:&quot;Christine&quot;},{&quot;family&quot;:&quot;Cohen&quot;,&quot;given&quot;:&quot;Stuart H&quot;},{&quot;family&quot;:&quot;Murthy&quot;,&quot;given&quot;:&quot;Uma K&quot;},{&quot;family&quot;:&quot;Poirier&quot;,&quot;given&quot;:&quot;Andre&quot;},{&quot;family&quot;:&quot;Van Schooneveld&quot;,&quot;given&quot;:&quot;Trevor C&quot;},{&quot;family&quot;:&quot;Pardi&quot;,&quot;given&quot;:&quot;Darrell S&quot;},{&quot;family&quot;:&quot;Ramos&quot;,&quot;given&quot;:&quot;Antonio&quot;},{&quot;family&quot;:&quot;Barron&quot;,&quot;given&quot;:&quot;Michelle A&quot;},{&quot;family&quot;:&quot;Chen&quot;,&quot;given&quot;:&quot;Hongzi&quot;},{&quot;family&quot;:&quot;Villano&quot;,&quot;given&quot;:&quot;Stephen&quot;}],&quot;issued&quot;:{&quot;date-parts&quot;:[[&quot;2015&quot;,&quot;5&quot;,&quot;5&quot;]]},&quot;DOI&quot;:&quot;10.1001/jama.2015.3725&quot;,&quot;PMID&quot;:&quot;25942722&quot;,&quot;citation-label&quot;:&quot;234491&quot;},{&quot;title&quot;:&quot;Primary symptomless colonisation by Clostridium difficile and decreased risk of subsequent diarrhoea.&quot;,&quot;page&quot;:&quot;633-636&quot;,&quot;volume&quot;:&quot;351&quot;,&quot;issue&quot;:&quot;9103&quot;,&quot;journalAbbreviation&quot;:&quot;Lancet&quot;,&quot;id&quot;:&quot;3856045&quot;,&quot;type&quot;:&quot;article-journal&quot;,&quot;container-title&quot;:&quot;The Lancet&quot;,&quot;container-title-short&quot;:&quot;Lancet&quot;,&quot;abstract&quot;:&quot;BACKGROUND: Little is known about whether patients who develop Clostridium-difficile-associated diarrhoea (CDAD) are culture-positive or culture-negative before illness. The most important risk factor is antibiotic exposure. We aimed to find out whether patients identified as primary symptom-free C difficile carriers are at higher risk of developing CDAD than patients who are culture-negative.METHOD: We reviewed four longitudinal studies in which 810 patients admitted to hospital were followed up by prospective rectal-swab culture. At least two consecutive weekly cultures were obtained. We calculated the difference in risk of CDAD between colonised and non-colonised patients in each study and combined the results of the four studies in a random-effects model.FINDINGS: Of 618 non-colonised patients (mean follow-up 1.7 weeks [SD 1.3]), 22 (3.6%) developed CDAD, whereas only two (1.0%) of 192 primary symptom-free carriers (1.5 [1.5]) developed CDAD (pooled risk difference -2.3% [95% CI 0.3-4.3], p=0.021). Of patients who received antibiotics, the risk difference was increased: 22 (4.5%) of 491 non-colonised patients compared with two (1.1%) of 176 colonised patients developed CDAD (-3.2% [0.4-6.0], p=0.024). Of the primary symptom-free C difficile carriers, 95 were colonised with toxigenic strains, 76 with non-toxigenic strains, 12 with both toxigenic and non-toxigenic strains (non-concurrently), and nine with strains of undetermined toxigenicity. Nine of the 12 toxogenic strains of C difficile isolates that cause CDAD were also recovered from stools of symptom-free patients.INTERPRETATION: Primary symptomless C difficile colonisation is associated with a decreased risk of CDAD. Although the mechanism is unknown, risk reduction is found in colonisation with non-toxigenic and toxigenic strains.&quot;,&quot;author&quot;:[{&quot;family&quot;:&quot;Shim&quot;,&quot;given&quot;:&quot;J K&quot;},{&quot;family&quot;:&quot;Johnson&quot;,&quot;given&quot;:&quot;S&quot;},{&quot;family&quot;:&quot;Samore&quot;,&quot;given&quot;:&quot;M H&quot;},{&quot;family&quot;:&quot;Bliss&quot;,&quot;given&quot;:&quot;D Z&quot;},{&quot;family&quot;:&quot;Gerding&quot;,&quot;given&quot;:&quot;D N&quot;}],&quot;issued&quot;:{&quot;date-parts&quot;:[[&quot;1998&quot;,&quot;2&quot;,&quot;28&quot;]]},&quot;DOI&quot;:&quot;10.1016/S0140-6736(97)08062-8&quot;,&quot;PMID&quot;:&quot;9500319&quot;,&quot;citation-label&quot;:&quot;3856045&quot;},{&quot;title&quot;:&quot;Protection from Lethal Clostridioides difficile Infection via Intraspecies Competition for Cogerminant.&quot;,&quot;volume&quot;:&quot;12&quot;,&quot;issue&quot;:&quot;2&quot;,&quot;journalAbbreviation&quot;:&quot;MBio&quot;,&quot;id&quot;:&quot;10933807&quot;,&quot;type&quot;:&quot;article-journal&quot;,&quot;container-title&quot;:&quot;mBio&quot;,&quot;container-title-short&quot;:&quot;MBio&quot;,&quot;abstract&quot;:&quot;Clostridioides difficile, a Gram-positive, spore-forming bacterium, is the primary cause of infectious nosocomial diarrhea. Antibiotics are a major risk factor for C. difficile infection (CDI), as they disrupt the gut microbial community, enabling increased germination of spores and growth of vegetative C. difficile To date, the only single-species bacterial preparation that has demonstrated efficacy in reducing recurrent CDI in humans is nontoxigenic C. difficile Using multiple infection models, we determined that precolonization with a less virulent strain is sufficient to protect from challenge with a lethal strain of C. difficile, surprisingly even in the absence of adaptive immunity. Additionally, we showed that protection is dependent on high levels of colonization by the less virulent strain and that it is mediated by exclusion of the invading strain. Our results suggest that reduction of amino acids, specifically glycine following colonization by the first strain of C. difficile, is sufficient to decrease germination of the second strain, thereby limiting colonization by the lethal strain.IMPORTANCE Antibiotic-associated colitis is often caused by infection with the bacterium Clostridioides difficile In this study, we found that reduction of the amino acid glycine by precolonization with a less virulent strain of C. difficile is sufficient to decrease germination of a second strain. This finding demonstrates that the axis of competition for nutrients can include multiple life stages. This work is important, as it is the first to identify a possible mechanism through which precolonization with C. difficile, a current clinical therapy, provides protection from reinfection. Furthermore, our work suggests that targeting nutrients utilized by all life stages could be an improved strategy for bacterial therapeutics that aim to restore colonization resistance in the gut.Copyright © 2021 Leslie et al.&quot;,&quot;author&quot;:[{&quot;family&quot;:&quot;Leslie&quot;,&quot;given&quot;:&quot;Jhansi L&quot;},{&quot;family&quot;:&quot;Jenior&quot;,&quot;given&quot;:&quot;Matthew L&quot;},{&quot;family&quot;:&quot;Vendrov&quot;,&quot;given&quot;:&quot;Kimberly C&quot;},{&quot;family&quot;:&quot;Standke&quot;,&quot;given&quot;:&quot;Alexandra K&quot;},{&quot;family&quot;:&quot;Barron&quot;,&quot;given&quot;:&quot;Madeline R&quot;},{&quot;family&quot;:&quot;O'Brien&quot;,&quot;given&quot;:&quot;Tricia J&quot;},{&quot;family&quot;:&quot;Unverdorben&quot;,&quot;given&quot;:&quot;Lavinia&quot;},{&quot;family&quot;:&quot;Thaprawat&quot;,&quot;given&quot;:&quot;Pariyamon&quot;},{&quot;family&quot;:&quot;Bergin&quot;,&quot;given&quot;:&quot;Ingrid L&quot;},{&quot;family&quot;:&quot;Schloss&quot;,&quot;given&quot;:&quot;Patrick D&quot;},{&quot;family&quot;:&quot;Young&quot;,&quot;given&quot;:&quot;Vincent B&quot;}],&quot;issued&quot;:{&quot;date-parts&quot;:[[&quot;2021&quot;,&quot;3&quot;,&quot;30&quot;]]},&quot;DOI&quot;:&quot;10.1128/mBio.00522-21&quot;,&quot;PMID&quot;:&quot;33785619&quot;,&quot;PMCID&quot;:&quot;PMC8092246&quot;,&quot;citation-label&quot;:&quot;10933807&quot;},{&quot;title&quot;:&quot;Toxin-positive Clostridium difficile latently infect mouse colonies and protect against highly pathogenic C. difficile.&quot;,&quot;page&quot;:&quot;860-871&quot;,&quot;volume&quot;:&quot;67&quot;,&quot;issue&quot;:&quot;5&quot;,&quot;journalAbbreviation&quot;:&quot;Gut&quot;,&quot;id&quot;:&quot;3225662&quot;,&quot;type&quot;:&quot;article-journal&quot;,&quot;container-title&quot;:&quot;Gut&quot;,&quot;container-title-short&quot;:&quot;Gut&quot;,&quot;abstract&quot;:&quot;OBJECTIVE: Clostridium difficile is a toxin-producing bacterium and a leading cause of antibiotic-associated disease. The ability of C. difficile to form spores and infect antibiotic-treated persons at low multiplicity of infection (MOI) underlies its large disease burden. However, C. difficile-induced disease might also result from long-harboured C. difficile that blooms in individuals administered antibiotics.DESIGN: Mice purchased from multiple vendors and repeatedly testing negative for this pathogen by quantitative PCR bloomed C. difficile following antibiotic treatment. This endogenous C. difficile strain, herein termed LEM1, which formed spores and produced toxin, was compared with highly pathogenic C. difficile strain VPI10463.RESULTS: Whole-genome sequencing revealed that LEM1 and VPI10463 shared 95% of their genes, including all known virulence genes. In contrast to VPI10463, LEM1 did not induce overt disease when administered to antibiotic-treated or germ-free mice, even at high doses. Rather, blooms of LEM1 correlated with survival following VPI10463 inoculation, and exogenous administration of LEM1 before or shortly following VPI10463 inoculation prevented C. difficile-induced death. Accordingly, despite similar growth properties in vitro, LEM1 strongly outcompeted VPI10463 in mice even at 100-fold lower inocula.CONCLUSIONS: These results highlight the difficulty of determining whether individual cases of C. difficile infection resulted from a bloom of endogenous C. difficile or a new exposure to this pathogen. In addition to impacting the design of studies using mouse models of C. difficile-induced disease, this study identified, isolated and characterised an endogenous murine spore-forming C. difficile strain able to decrease colonisation, associated disease and death induced by a pathogenic C. difficile strain.Published by the BMJ Publishing Group Limited. For permission to use (where not already granted under a licence) please go to http://www.bmj.com/company/products-services/rights-and-licensing/.&quot;,&quot;author&quot;:[{&quot;family&quot;:&quot;Etienne-Mesmin&quot;,&quot;given&quot;:&quot;Lucie&quot;},{&quot;family&quot;:&quot;Chassaing&quot;,&quot;given&quot;:&quot;Benoit&quot;},{&quot;family&quot;:&quot;Adekunle&quot;,&quot;given&quot;:&quot;Oluwaseyi&quot;},{&quot;family&quot;:&quot;Mattei&quot;,&quot;given&quot;:&quot;Lisa M&quot;},{&quot;family&quot;:&quot;Bushman&quot;,&quot;given&quot;:&quot;Frederic D&quot;},{&quot;family&quot;:&quot;Gewirtz&quot;,&quot;given&quot;:&quot;Andrew T&quot;}],&quot;issued&quot;:{&quot;date-parts&quot;:[[&quot;2018&quot;,&quot;5&quot;]]},&quot;DOI&quot;:&quot;10.1136/gutjnl-2016-313510&quot;,&quot;PMID&quot;:&quot;28219893&quot;,&quot;PMCID&quot;:&quot;PMC5941301&quot;,&quot;citation-label&quot;:&quot;3225662&quot;},{&quot;title&quot;:&quot;Protection against Clostridioides difficile disease by a naturally avirulent strain.&quot;,&quot;page&quot;:&quot;59-70.e4&quot;,&quot;volume&quot;:&quot;33&quot;,&quot;issue&quot;:&quot;1&quot;,&quot;journalAbbreviation&quot;:&quot;Cell Host Microbe&quot;,&quot;id&quot;:&quot;17229991&quot;,&quot;type&quot;:&quot;article-journal&quot;,&quot;container-title&quot;:&quot;Cell Host &amp; Microbe&quot;,&quot;container-title-short&quot;:&quot;Cell Host Microbe&quot;,&quot;abstract&quot;:&quot;Clostridioides difficile is a leading cause of healthcare infections. Gut dysbiosis promotes C. difficile infection (CDI) and CDIs promote gut dysbiosis, leading to frequent CDI recurrence. Although therapies preventing recurrent CDI have been developed, including live biotherapeutic products, existing therapies are costly and do not prevent primary infections. Here, we show that an avirulent C. difficile isolate, ST1-75, protects mice from developing colitis induced by a virulent R20291 strain when coinfected at a 1:1 ratio. In metabolic analyses, avirulent ST1-75 depletes amino acids more rapidly than virulent R20291 and supplementation with amino acids ablates this competitive advantage, indicating that ST1-75 limits the growth of virulent R20291 through amino acid depletion. Overall, our study identifies inter-strain nutrient depletion as a potentially exploitable mechanism to reduce the incidence of CDI and reveals that the ST1-75 strain may be a biotherapeutic agent that can prevent CDI in high-risk patients.Copyright © 2024 Elsevier Inc. All rights reserved.&quot;,&quot;author&quot;:[{&quot;family&quot;:&quot;Dong&quot;,&quot;given&quot;:&quot;Qiwen&quot;},{&quot;family&quot;:&quot;Harper&quot;,&quot;given&quot;:&quot;Stephen&quot;},{&quot;family&quot;:&quot;McSpadden&quot;,&quot;given&quot;:&quot;Emma&quot;},{&quot;family&quot;:&quot;Son&quot;,&quot;given&quot;:&quot;Sophie S&quot;},{&quot;family&quot;:&quot;Allen&quot;,&quot;given&quot;:&quot;Marie-Maude&quot;},{&quot;family&quot;:&quot;Lin&quot;,&quot;given&quot;:&quot;Huaiying&quot;},{&quot;family&quot;:&quot;Smith&quot;,&quot;given&quot;:&quot;Rita C&quot;},{&quot;family&quot;:&quot;Metcalfe&quot;,&quot;given&quot;:&quot;Carolyn&quot;},{&quot;family&quot;:&quot;Burgo&quot;,&quot;given&quot;:&quot;Victoria&quot;},{&quot;family&quot;:&quot;Woodson&quot;,&quot;given&quot;:&quot;Che&quot;},{&quot;family&quot;:&quot;Sundararajan&quot;,&quot;given&quot;:&quot;Anitha&quot;},{&quot;family&quot;:&quot;Rose&quot;,&quot;given&quot;:&quot;Amber&quot;},{&quot;family&quot;:&quot;McMillin&quot;,&quot;given&quot;:&quot;Mary&quot;},{&quot;family&quot;:&quot;Moran&quot;,&quot;given&quot;:&quot;David&quot;},{&quot;family&quot;:&quot;Little&quot;,&quot;given&quot;:&quot;Jessica&quot;},{&quot;family&quot;:&quot;Mullowney&quot;,&quot;given&quot;:&quot;Michael W&quot;},{&quot;family&quot;:&quot;Sidebottom&quot;,&quot;given&quot;:&quot;Ashley M&quot;},{&quot;family&quot;:&quot;Fortier&quot;,&quot;given&quot;:&quot;Louis-Charles&quot;},{&quot;family&quot;:&quot;Shen&quot;,&quot;given&quot;:&quot;Aimee&quot;},{&quot;family&quot;:&quot;Pamer&quot;,&quot;given&quot;:&quot;Eric G&quot;}],&quot;issued&quot;:{&quot;date-parts&quot;:[[&quot;2025&quot;,&quot;1&quot;,&quot;8&quot;]]},&quot;DOI&quot;:&quot;10.1016/j.chom.2024.11.003&quot;,&quot;PMID&quot;:&quot;39610252&quot;,&quot;PMCID&quot;:&quot;PMC11731898&quot;,&quot;citation-label&quot;:&quot;17229991&quot;},{&quot;title&quot;:&quot;The Availability of Several FMT Products Offer Flexibility to Prevent Recurrent CDI - DDW News&quot;,&quot;accessed&quot;:{&quot;date-parts&quot;:[[&quot;2025&quot;,&quot;6&quot;,&quot;27&quot;]]},&quot;id&quot;:&quot;18006443&quot;,&quot;type&quot;:&quot;webpage&quot;,&quot;issued&quot;:{&quot;date-parts&quot;:[[]]},&quot;URL&quot;:&quot;https://news.ddw.org/news/the-availability-of-several-fmt-products-offer-flexibility-to-prevent-recurrent-cdi/&quot;,&quot;citation-label&quot;:&quot;18006443&quot;},{&quot;title&quot;:&quot;FDA Approves First Orally Administered Fecal Microbiota Product for the Prevention of Recurrence of Clostridioides difficile Infection | FDA&quot;,&quot;accessed&quot;:{&quot;date-parts&quot;:[[&quot;2025&quot;,&quot;6&quot;,&quot;27&quot;]]},&quot;id&quot;:&quot;18006447&quot;,&quot;type&quot;:&quot;webpage&quot;,&quot;issued&quot;:{&quot;date-parts&quot;:[[]]},&quot;URL&quot;:&quot;https://www.fda.gov/news-events/press-announcements/fda-approves-first-orally-administered-fecal-microbiota-product-prevention-recurrence-clostridioides&quot;,&quot;citation-label&quot;:&quot;18006447&quot;},{&quot;title&quot;:&quot;Precision microbiome reconstitution restores bile acid mediated resistance to Clostridium difficile.&quot;,&quot;page&quot;:&quot;205-208&quot;,&quot;volume&quot;:&quot;517&quot;,&quot;issue&quot;:&quot;7533&quot;,&quot;journalAbbreviation&quot;:&quot;Nature&quot;,&quot;id&quot;:&quot;433791&quot;,&quot;type&quot;:&quot;article-journal&quot;,&quot;container-title&quot;:&quot;Nature&quot;,&quot;container-title-short&quot;:&quot;Nature&quot;,&quot;abstract&quot;:&quot;The gastrointestinal tracts of mammals are colonized by hundreds of microbial species that contribute to health, including colonization resistance against intestinal pathogens. Many antibiotics destroy intestinal microbial communities and increase susceptibility to intestinal pathogens. Among these, Clostridium difficile, a major cause of antibiotic-induced diarrhoea, greatly increases morbidity and mortality in hospitalized patients. Which intestinal bacteria provide resistance to C. difficile infection and their in vivo inhibitory mechanisms remain unclear. Here we correlate loss of specific bacterial taxa with development of infection, by treating mice with different antibiotics that result in distinct microbiota changes and lead to varied susceptibility to C. difficile. Mathematical modelling augmented by analyses of the microbiota of hospitalized patients identifies resistance-associated bacteria common to mice and humans. Using these platforms, we determine that Clostridium scindens, a bile acid 7α-dehydroxylating intestinal bacterium, is associated with resistance to C. difficile infection and, upon administration, enhances resistance to infection in a secondary bile acid dependent fashion. Using a workflow involving mouse models, clinical studies, metagenomic analyses, and mathematical modelling, we identify a probiotic candidate that corrects a clinically relevant microbiome deficiency. These findings have implications for the rational design of targeted antimicrobials as well as microbiome-based diagnostics and therapeutics for individuals at risk of C. difficile infection.&quot;,&quot;author&quot;:[{&quot;family&quot;:&quot;Buffie&quot;,&quot;given&quot;:&quot;Charlie G&quot;},{&quot;family&quot;:&quot;Bucci&quot;,&quot;given&quot;:&quot;Vanni&quot;},{&quot;family&quot;:&quot;Stein&quot;,&quot;given&quot;:&quot;Richard R&quot;},{&quot;family&quot;:&quot;McKenney&quot;,&quot;given&quot;:&quot;Peter T&quot;},{&quot;family&quot;:&quot;Ling&quot;,&quot;given&quot;:&quot;Lilan&quot;},{&quot;family&quot;:&quot;Gobourne&quot;,&quot;given&quot;:&quot;Asia&quot;},{&quot;family&quot;:&quot;No&quot;,&quot;given&quot;:&quot;Daniel&quot;},{&quot;family&quot;:&quot;Liu&quot;,&quot;given&quot;:&quot;Hui&quot;},{&quot;family&quot;:&quot;Kinnebrew&quot;,&quot;given&quot;:&quot;Melissa&quot;},{&quot;family&quot;:&quot;Viale&quot;,&quot;given&quot;:&quot;Agnes&quot;},{&quot;family&quot;:&quot;Littmann&quot;,&quot;given&quot;:&quot;Eric&quot;},{&quot;family&quot;:&quot;van den Brink&quot;,&quot;given&quot;:&quot;Marcel R M&quot;},{&quot;family&quot;:&quot;Jenq&quot;,&quot;given&quot;:&quot;Robert R&quot;},{&quot;family&quot;:&quot;Taur&quot;,&quot;given&quot;:&quot;Ying&quot;},{&quot;family&quot;:&quot;Sander&quot;,&quot;given&quot;:&quot;Chris&quot;},{&quot;family&quot;:&quot;Cross&quot;,&quot;given&quot;:&quot;Justin R&quot;},{&quot;family&quot;:&quot;Toussaint&quot;,&quot;given&quot;:&quot;Nora C&quot;},{&quot;family&quot;:&quot;Xavier&quot;,&quot;given&quot;:&quot;Joao B&quot;},{&quot;family&quot;:&quot;Pamer&quot;,&quot;given&quot;:&quot;Eric G&quot;}],&quot;issued&quot;:{&quot;date-parts&quot;:[[&quot;2015&quot;,&quot;1&quot;,&quot;8&quot;]]},&quot;DOI&quot;:&quot;10.1038/nature13828&quot;,&quot;PMID&quot;:&quot;25337874&quot;,&quot;PMCID&quot;:&quot;PMC4354891&quot;,&quot;citation-label&quot;:&quot;433791&quot;},{&quot;title&quot;:&quot;In vivo commensal control of Clostridioides difficile virulence.&quot;,&quot;page&quot;:&quot;1693-1708.e7&quot;,&quot;volume&quot;:&quot;29&quot;,&quot;issue&quot;:&quot;11&quot;,&quot;journalAbbreviation&quot;:&quot;Cell Host Microbe&quot;,&quot;id&quot;:&quot;11850706&quot;,&quot;type&quot;:&quot;article-journal&quot;,&quot;container-title&quot;:&quot;Cell Host &amp; Microbe&quot;,&quot;container-title-short&quot;:&quot;Cell Host Microbe&quot;,&quot;abstract&quot;:&quot;Leveraging systems biology approaches, we illustrate how metabolically distinct species of Clostridia protect against or worsen Clostridioides difficile infection in mice by modulating the pathogen's colonization, growth, and virulence to impact host survival. Gnotobiotic mice colonized with the amino acid fermenter Paraclostridium bifermentans survive infection with reduced disease severity, while mice colonized with the butyrate-producer, Clostridium sardiniense, succumb more rapidly. Systematic in vivo analyses revealed how each commensal alters the gut-nutrient environment to modulate the pathogen's metabolism, gene regulatory networks, and toxin production. Oral administration of P. bifermentans rescues conventional, clindamycin-treated mice from lethal C. difficile infection in a manner similar to that of monocolonized animals, thereby supporting the therapeutic potential of this commensal species. Our findings lay the foundation for mechanistically informed therapies to counter C. difficile disease using systems biology approaches to define host-commensal-pathogen interactions in vivo.Copyright © 2021 Elsevier Inc. All rights reserved.&quot;,&quot;author&quot;:[{&quot;family&quot;:&quot;Girinathan&quot;,&quot;given&quot;:&quot;Brintha P&quot;},{&quot;family&quot;:&quot;DiBenedetto&quot;,&quot;given&quot;:&quot;Nicholas&quot;},{&quot;family&quot;:&quot;Worley&quot;,&quot;given&quot;:&quot;Jay N&quot;},{&quot;family&quot;:&quot;Peltier&quot;,&quot;given&quot;:&quot;Johann&quot;},{&quot;family&quot;:&quot;Arrieta-Ortiz&quot;,&quot;given&quot;:&quot;Mario L&quot;},{&quot;family&quot;:&quot;Immanuel&quot;,&quot;given&quot;:&quot;Selva Rupa Christinal&quot;},{&quot;family&quot;:&quot;Lavin&quot;,&quot;given&quot;:&quot;Richard&quot;},{&quot;family&quot;:&quot;Delaney&quot;,&quot;given&quot;:&quot;Mary L&quot;},{&quot;family&quot;:&quot;Cummins&quot;,&quot;given&quot;:&quot;Christopher K&quot;},{&quot;family&quot;:&quot;Hoffman&quot;,&quot;given&quot;:&quot;Maria&quot;},{&quot;family&quot;:&quot;Luo&quot;,&quot;given&quot;:&quot;Yan&quot;},{&quot;family&quot;:&quot;Gonzalez-Escalona&quot;,&quot;given&quot;:&quot;Narjol&quot;},{&quot;family&quot;:&quot;Allard&quot;,&quot;given&quot;:&quot;Marc&quot;},{&quot;family&quot;:&quot;Onderdonk&quot;,&quot;given&quot;:&quot;Andrew B&quot;},{&quot;family&quot;:&quot;Gerber&quot;,&quot;given&quot;:&quot;Georg K&quot;},{&quot;family&quot;:&quot;Sonenshein&quot;,&quot;given&quot;:&quot;Abraham L&quot;},{&quot;family&quot;:&quot;Baliga&quot;,&quot;given&quot;:&quot;Nitin S&quot;},{&quot;family&quot;:&quot;Dupuy&quot;,&quot;given&quot;:&quot;Bruno&quot;},{&quot;family&quot;:&quot;Bry&quot;,&quot;given&quot;:&quot;Lynn&quot;}],&quot;issued&quot;:{&quot;date-parts&quot;:[[&quot;2021&quot;,&quot;11&quot;,&quot;10&quot;]]},&quot;DOI&quot;:&quot;10.1016/j.chom.2021.09.007&quot;,&quot;PMID&quot;:&quot;34637781&quot;,&quot;PMCID&quot;:&quot;PMC8651146&quot;,&quot;citation-label&quot;:&quot;11850706&quot;},{&quot;title&quot;:&quot;Diversity and Evolution in the Genome of Clostridium difficile.&quot;,&quot;page&quot;:&quot;721-741&quot;,&quot;volume&quot;:&quot;28&quot;,&quot;issue&quot;:&quot;3&quot;,&quot;journalAbbreviation&quot;:&quot;Clin. Microbiol. Rev.&quot;,&quot;id&quot;:&quot;3685926&quot;,&quot;type&quot;:&quot;article-journal&quot;,&quot;container-title&quot;:&quot;Clinical Microbiology Reviews&quot;,&quot;container-title-short&quot;:&quot;Clin. Microbiol. Rev.&quot;,&quot;abstract&quot;:&quot;Clostridium difficile infection (CDI) is the leading cause of antimicrobial and health care-associated diarrhea in humans, presenting a significant burden to global health care systems. In the last 2 decades, PCR- and sequence-based techniques, particularly whole-genome sequencing (WGS), have significantly furthered our knowledge of the genetic diversity, evolution, epidemiology, and pathogenicity of this once enigmatic pathogen. C. difficile is taxonomically distinct from many other well-known clostridia, with a diverse population structure comprising hundreds of strain types spread across at least 6 phylogenetic clades. The C. difficile species is defined by a large diverse pangenome with extreme levels of evolutionary plasticity that has been shaped over long time periods by gene flux and recombination, often between divergent lineages. These evolutionary events are in response to environmental and anthropogenic activities and have led to the rapid emergence and worldwide dissemination of virulent clonal lineages. Moreover, genome analysis of large clinically relevant data sets has improved our understanding of CDI outbreaks, transmission, and recurrence. The epidemiology of CDI has changed dramatically over the last 15 years, and CDI may have a foodborne or zoonotic etiology. The WGS era promises to continue to redefine our view of this significant pathogen.Copyright © 2015, American Society for Microbiology. All Rights Reserved.&quot;,&quot;author&quot;:[{&quot;family&quot;:&quot;Knight&quot;,&quot;given&quot;:&quot;Daniel R&quot;},{&quot;family&quot;:&quot;Elliott&quot;,&quot;given&quot;:&quot;Briony&quot;},{&quot;family&quot;:&quot;Chang&quot;,&quot;given&quot;:&quot;Barbara J&quot;},{&quot;family&quot;:&quot;Perkins&quot;,&quot;given&quot;:&quot;Timothy T&quot;},{&quot;family&quot;:&quot;Riley&quot;,&quot;given&quot;:&quot;Thomas V&quot;}],&quot;issued&quot;:{&quot;date-parts&quot;:[[&quot;2015&quot;,&quot;7&quot;]]},&quot;DOI&quot;:&quot;10.1128/CMR.00127-14&quot;,&quot;PMID&quot;:&quot;26085550&quot;,&quot;PMCID&quot;:&quot;PMC4475645&quot;,&quot;citation-label&quot;:&quot;3685926&quot;},{&quot;title&quot;:&quot;Clostridium difficile ribotype 027: relationship to age, detectability of toxins A or B in stool with rapid testing, severe infection, and mortality.&quot;,&quot;page&quot;:&quot;233-241&quot;,&quot;volume&quot;:&quot;61&quot;,&quot;issue&quot;:&quot;2&quot;,&quot;journalAbbreviation&quot;:&quot;Clin. Infect. Dis.&quot;,&quot;id&quot;:&quot;1594251&quot;,&quot;type&quot;:&quot;article-journal&quot;,&quot;container-title&quot;:&quot;Clinical Infectious Diseases&quot;,&quot;container-title-short&quot;:&quot;Clin. Infect. Dis.&quot;,&quot;abstract&quot;:&quot;BACKGROUND: Clostridium difficile infection (CDI) can cause severe disease and death, especially in older adults. A better understanding of risk factors for adverse outcomes is needed. This study tests the hypotheses that infection with specific ribotypes and presence of stool toxins independently associate with severity and constructs predictive models of adverse outcomes.METHODS: Cases of non-recurrent CDI were prospectively included after positive stool tests for toxins A and/or B by enzyme immunoassay (EIA) or tcdB by polymerase chain reaction. Outcomes included severe CDI (intensive care unit admission, colectomy, or death attributable to CDI within 30 days of diagnosis) and 30-day all-cause mortality. Adjusted models were developed to test hypotheses and predict outcomes.RESULTS: In total, 1144 cases were included. The toxin EIA was positive in 37.2% and 35.6% of patients were of age &gt;65 years. One of the 137 unique ribotypes was ribotype 027 (16.2%). Detectable stool toxin did not associate with outcomes. Adjusting for covariates, including age, Ribotype 027 was a significant predictor of severe CDI (90 cases; odds ratio [OR], 1.73; 95% confidence interval [CI], 1.03-2.89; P = .037) and mortality (89 cases; OR, 2.02; 95% CI, 1.19-3.43; P = .009). Concurrent antibiotic use associated with both outcomes. Both multivariable predictive models had excellent performance (area under the curve &gt;0.8).CONCLUSIONS: Detection of stool toxin A and/or B by EIA does not predict severe CDI or mortality. Infection with ribotype 027 independently predicts severe CDI and mortality. Use of concurrent antibiotics is a potentially modifiable risk factor for severe CDI.Published by Oxford University Press on behalf of the Infectious Diseases Society of America 2015. This work is written by (a) US Government employee(s) and is in the public domain in the US.&quot;,&quot;author&quot;:[{&quot;family&quot;:&quot;Rao&quot;,&quot;given&quot;:&quot;Krishna&quot;},{&quot;family&quot;:&quot;Micic&quot;,&quot;given&quot;:&quot;Dejan&quot;},{&quot;family&quot;:&quot;Natarajan&quot;,&quot;given&quot;:&quot;Mukil&quot;},{&quot;family&quot;:&quot;Winters&quot;,&quot;given&quot;:&quot;Spencer&quot;},{&quot;family&quot;:&quot;Kiel&quot;,&quot;given&quot;:&quot;Mark J&quot;},{&quot;family&quot;:&quot;Walk&quot;,&quot;given&quot;:&quot;Seth T&quot;},{&quot;family&quot;:&quot;Santhosh&quot;,&quot;given&quot;:&quot;Kavitha&quot;},{&quot;family&quot;:&quot;Mogle&quot;,&quot;given&quot;:&quot;Jill A&quot;},{&quot;family&quot;:&quot;Galecki&quot;,&quot;given&quot;:&quot;Andrzej T&quot;},{&quot;family&quot;:&quot;LeBar&quot;,&quot;given&quot;:&quot;William&quot;},{&quot;family&quot;:&quot;Higgins&quot;,&quot;given&quot;:&quot;Peter D R&quot;},{&quot;family&quot;:&quot;Young&quot;,&quot;given&quot;:&quot;Vincent B&quot;},{&quot;family&quot;:&quot;Aronoff&quot;,&quot;given&quot;:&quot;David M&quot;}],&quot;issued&quot;:{&quot;date-parts&quot;:[[&quot;2015&quot;,&quot;7&quot;,&quot;15&quot;]]},&quot;DOI&quot;:&quot;10.1093/cid/civ254&quot;,&quot;PMID&quot;:&quot;25828993&quot;,&quot;PMCID&quot;:&quot;PMC4565993&quot;,&quot;citation-label&quot;:&quot;1594251&quot;},{&quot;title&quot;:&quot;Dietary trehalose enhances virulence of epidemic Clostridium difficile.&quot;,&quot;page&quot;:&quot;291-294&quot;,&quot;volume&quot;:&quot;553&quot;,&quot;issue&quot;:&quot;7688&quot;,&quot;journalAbbreviation&quot;:&quot;Nature&quot;,&quot;id&quot;:&quot;4691262&quot;,&quot;type&quot;:&quot;article-journal&quot;,&quot;container-title&quot;:&quot;Nature&quot;,&quot;container-title-short&quot;:&quot;Nature&quot;,&quot;abstract&quot;:&quot;Clostridium difficile disease has recently increased to become a dominant nosocomial pathogen in North America and Europe, although little is known about what has driven this emergence. Here we show that two epidemic ribotypes (RT027 and RT078) have acquired unique mechanisms to metabolize low concentrations of the disaccharide trehalose. RT027 strains contain a single point mutation in the trehalose repressor that increases the sensitivity of this ribotype to trehalose by more than 500-fold. Furthermore, dietary trehalose increases the virulence of a RT027 strain in a mouse model of infection. RT078 strains acquired a cluster of four genes involved in trehalose metabolism, including a PTS permease that is both necessary and sufficient for growth on low concentrations of trehalose. We propose that the implementation of trehalose as a food additive into the human diet, shortly before the emergence of these two epidemic lineages, helped select for their emergence and contributed to hypervirulence.&quot;,&quot;author&quot;:[{&quot;family&quot;:&quot;Collins&quot;,&quot;given&quot;:&quot;J&quot;},{&quot;family&quot;:&quot;Robinson&quot;,&quot;given&quot;:&quot;C&quot;},{&quot;family&quot;:&quot;Danhof&quot;,&quot;given&quot;:&quot;H&quot;},{&quot;family&quot;:&quot;Knetsch&quot;,&quot;given&quot;:&quot;C W&quot;},{&quot;family&quot;:&quot;van Leeuwen&quot;,&quot;given&quot;:&quot;H C&quot;},{&quot;family&quot;:&quot;Lawley&quot;,&quot;given&quot;:&quot;T D&quot;},{&quot;family&quot;:&quot;Auchtung&quot;,&quot;given&quot;:&quot;J M&quot;},{&quot;family&quot;:&quot;Britton&quot;,&quot;given&quot;:&quot;R A&quot;}],&quot;issued&quot;:{&quot;date-parts&quot;:[[&quot;2018&quot;,&quot;1&quot;,&quot;18&quot;]]},&quot;DOI&quot;:&quot;10.1038/nature25178&quot;,&quot;PMID&quot;:&quot;29310122&quot;,&quot;PMCID&quot;:&quot;PMC5984069&quot;,&quot;citation-label&quot;:&quot;4691262&quot;},{&quot;title&quot;:&quot;Virulence and genomic diversity among clinical isolates of ST1 (BI/NAP1/027) Clostridioides difficile.&quot;,&quot;page&quot;:&quot;112861&quot;,&quot;volume&quot;:&quot;42&quot;,&quot;issue&quot;:&quot;8&quot;,&quot;journalAbbreviation&quot;:&quot;Cell Rep.&quot;,&quot;id&quot;:&quot;16601375&quot;,&quot;type&quot;:&quot;article-journal&quot;,&quot;container-title&quot;:&quot;Cell reports&quot;,&quot;container-title-short&quot;:&quot;Cell Rep.&quot;,&quot;abstract&quot;:&quot;Clostridioides difficile produces toxins that damage the colonic epithelium, causing colitis. Variation in disease severity is poorly understood and has been attributed to host factors and virulence differences between C. difficile strains. We test 23 epidemic ST1 C. difficile clinical isolates for their virulence in mice. All isolates encode a complete Tcd pathogenicity locus and achieve similar colonization densities. However, disease severity varies from lethal to avirulent infections. Genomic analysis of avirulent isolates reveals a 69-bp deletion in the cdtR gene, which encodes a response regulator for binary toxin expression. Deleting the 69-bp sequence in virulent R20291 strain renders it avirulent in mice with reduced toxin gene transcription. Our study demonstrates that a natural deletion within cdtR attenuates virulence in the epidemic ST1 C. difficile isolates without reducing colonization and persistence. Distinguishing strains on the basis of cdtR may enhance the specificity of diagnostic tests for C. difficile colitis.Copyright © 2023 The Author(s). Published by Elsevier Inc. All rights reserved.&quot;,&quot;author&quot;:[{&quot;family&quot;:&quot;Dong&quot;,&quot;given&quot;:&quot;Qiwen&quot;},{&quot;family&quot;:&quot;Lin&quot;,&quot;given&quot;:&quot;Huaiying&quot;},{&quot;family&quot;:&quot;Allen&quot;,&quot;given&quot;:&quot;Marie-Maude&quot;},{&quot;family&quot;:&quot;Garneau&quot;,&quot;given&quot;:&quot;Julian R&quot;},{&quot;family&quot;:&quot;Sia&quot;,&quot;given&quot;:&quot;Jonathan K&quot;},{&quot;family&quot;:&quot;Smith&quot;,&quot;given&quot;:&quot;Rita C&quot;},{&quot;family&quot;:&quot;Haro&quot;,&quot;given&quot;:&quot;Fidel&quot;},{&quot;family&quot;:&quot;McMillen&quot;,&quot;given&quot;:&quot;Tracy&quot;},{&quot;family&quot;:&quot;Pope&quot;,&quot;given&quot;:&quot;Rosemary L&quot;},{&quot;family&quot;:&quot;Metcalfe&quot;,&quot;given&quot;:&quot;Carolyn&quot;},{&quot;family&quot;:&quot;Burgo&quot;,&quot;given&quot;:&quot;Victoria&quot;},{&quot;family&quot;:&quot;Woodson&quot;,&quot;given&quot;:&quot;Che&quot;},{&quot;family&quot;:&quot;Dylla&quot;,&quot;given&quot;:&quot;Nicholas&quot;},{&quot;family&quot;:&quot;Kohout&quot;,&quot;given&quot;:&quot;Claire&quot;},{&quot;family&quot;:&quot;Sundararajan&quot;,&quot;given&quot;:&quot;Anitha&quot;},{&quot;family&quot;:&quot;Snitkin&quot;,&quot;given&quot;:&quot;Evan S&quot;},{&quot;family&quot;:&quot;Young&quot;,&quot;given&quot;:&quot;Vincent B&quot;},{&quot;family&quot;:&quot;Fortier&quot;,&quot;given&quot;:&quot;Louis-Charles&quot;},{&quot;family&quot;:&quot;Kamboj&quot;,&quot;given&quot;:&quot;Mini&quot;},{&quot;family&quot;:&quot;Pamer&quot;,&quot;given&quot;:&quot;Eric G&quot;}],&quot;issued&quot;:{&quot;date-parts&quot;:[[&quot;2023&quot;,&quot;8&quot;,&quot;29&quot;]]},&quot;DOI&quot;:&quot;10.1016/j.celrep.2023.112861&quot;,&quot;PMID&quot;:&quot;37523264&quot;,&quot;PMCID&quot;:&quot;PMC10627504&quot;,&quot;citation-label&quot;:&quot;16601375&quot;},{&quot;title&quot;:&quot;Burden of Clostridium difficile on the healthcare system.&quot;,&quot;page&quot;:&quot;S88-92&quot;,&quot;volume&quot;:&quot;55 Suppl 2&quot;,&quot;issue&quot;:&quot;Suppl 2&quot;,&quot;journalAbbreviation&quot;:&quot;Clin. Infect. Dis.&quot;,&quot;id&quot;:&quot;1340507&quot;,&quot;type&quot;:&quot;article-journal&quot;,&quot;container-title&quot;:&quot;Clinical Infectious Diseases&quot;,&quot;container-title-short&quot;:&quot;Clin. Infect. Dis.&quot;,&quot;abstract&quot;:&quot;There are few high-quality studies of the costs of Clostridium difficile infection (CDI), and the majority of studies focus on the costs of CDI in acute-care facilities. Analysis of the best available data, from 2008, indicates that CDI may have resulted in $4.8 billion in excess costs in US acute-care facilities. Other areas of CDI-attributable excess costs that need to be investigated are costs of increased discharges to long-term care facilities, of CDI with onset in long-term care facilities, of recurrent CDI, and of additional adverse events caused by CDI.&quot;,&quot;author&quot;:[{&quot;family&quot;:&quot;Dubberke&quot;,&quot;given&quot;:&quot;Erik R&quot;},{&quot;family&quot;:&quot;Olsen&quot;,&quot;given&quot;:&quot;Margaret A&quot;}],&quot;issued&quot;:{&quot;date-parts&quot;:[[&quot;2012&quot;,&quot;8&quot;]]},&quot;DOI&quot;:&quot;10.1093/cid/cis335&quot;,&quot;PMID&quot;:&quot;22752870&quot;,&quot;PMCID&quot;:&quot;PMC3388018&quot;,&quot;citation-label&quot;:&quot;1340507&quot;},{&quot;title&quot;:&quot;Clostridium difficile and the microbiota.&quot;,&quot;page&quot;:&quot;4182-4189&quot;,&quot;volume&quot;:&quot;124&quot;,&quot;issue&quot;:&quot;10&quot;,&quot;journalAbbreviation&quot;:&quot;J. Clin. Invest.&quot;,&quot;id&quot;:&quot;356588&quot;,&quot;type&quot;:&quot;article-journal&quot;,&quot;container-title&quot;:&quot;The Journal of Clinical Investigation&quot;,&quot;container-title-short&quot;:&quot;J. Clin. Invest.&quot;,&quot;abstract&quot;:&quot;Clostridium difficile infection (CDI) is the leading health care-associated illness. Both human and animal models have demonstrated the importance of the gut microbiota's capability of providing colonization resistance against C. difficile. Risk factors for disease development include antibiotic use, which disrupts the gut microbiota, leading to the loss of colonization resistance and subsequent CDI. Identification of the specific microbes capable of restoring this function remains elusive. Future studies directed at how microbial communities influence the metabolic environment may help elucidate the role of the microbiota in disease development. These findings will improve current biotherapeutics for patients with CDI, particularly those with recurrent disease. &quot;,&quot;author&quot;:[{&quot;family&quot;:&quot;Seekatz&quot;,&quot;given&quot;:&quot;Anna M&quot;},{&quot;family&quot;:&quot;Young&quot;,&quot;given&quot;:&quot;Vincent B&quot;}],&quot;issued&quot;:{&quot;date-parts&quot;:[[&quot;2014&quot;,&quot;10&quot;]]},&quot;DOI&quot;:&quot;10.1172/JCI72336&quot;,&quot;PMID&quot;:&quot;25036699&quot;,&quot;PMCID&quot;:&quot;PMC4191019&quot;,&quot;citation-label&quot;:&quot;356588&quot;},{&quot;title&quot;:&quot;Clostridium difficile infection in older adults.&quot;,&quot;page&quot;:&quot;403-414&quot;,&quot;volume&quot;:&quot;9&quot;,&quot;issue&quot;:&quot;4&quot;,&quot;journalAbbreviation&quot;:&quot;Aging Health&quot;,&quot;id&quot;:&quot;3175799&quot;,&quot;type&quot;:&quot;article-journal&quot;,&quot;container-title&quot;:&quot;Aging Health&quot;,&quot;container-title-short&quot;:&quot;Aging Health&quot;,&quot;abstract&quot;:&quot;Clostridium difficile infection, the most frequent cause of nosocomial diarrhea, disproportionately affects older adults. The two most important risk factors for developing C. difficile infection are antimicrobial exposure and age &gt;65 years old. Risk factors specific to older adults are frequent interactions with healthcare systems and age-related changes in physiology, including immune senescence and changes to the gut microbiome. Metronidazole and oral vancomcyin are the mainstays of conventional treatment for C. difficile infection. Alternative therapies include fidaxomicin, a narrow-spectrum macrocyclic antibiotic, and fectal bacteriotherapy, which offers an excellent therapeutic outcome. Strategies to prevent C. difficile infections include enhanced infection control measures and reducing inappropriate antimicrobial use through stewardship.&quot;,&quot;author&quot;:[{&quot;family&quot;:&quot;Jump&quot;,&quot;given&quot;:&quot;Robin Lp&quot;}],&quot;issued&quot;:{&quot;date-parts&quot;:[[&quot;2013&quot;,&quot;8&quot;,&quot;1&quot;]]},&quot;DOI&quot;:&quot;10.2217/ahe.13.37&quot;,&quot;PMID&quot;:&quot;24955106&quot;,&quot;PMCID&quot;:&quot;PMC4061705&quot;,&quot;citation-label&quot;:&quot;3175799&quot;},{&quot;title&quot;:&quot;Clostridium difficile in Immunocompromised Hosts: A Review of Epidemiology, Risk Factors, Treatment, and Prevention.&quot;,&quot;page&quot;:&quot;2144-2153&quot;,&quot;volume&quot;:&quot;68&quot;,&quot;issue&quot;:&quot;12&quot;,&quot;journalAbbreviation&quot;:&quot;Clin. Infect. Dis.&quot;,&quot;id&quot;:&quot;8652709&quot;,&quot;type&quot;:&quot;article-journal&quot;,&quot;container-title&quot;:&quot;Clinical Infectious Diseases&quot;,&quot;container-title-short&quot;:&quot;Clin. Infect. Dis.&quot;,&quot;abstract&quot;:&quot;Clostridium difficile is a significant pathogen in healthcare today, impacting both hospitalized and community-based patients. Immunocompromised patients experience a high incidence of C. difficile infection, ranging from 6% to 33% in the hematology-oncology population and up to 23% among lung transplant recipients, and have a rate of 7.1-8.3 cases per 1000 patient-years in patients with human immunodeficiency virus (HIV). Recurrence of C. difficile infections among immunocompromised patients is also high, with rates up to 40% in both the hematology-oncology population and solid organ transplant recipients. This higher incidence of C. difficile infection and recurrence is believed to be secondary to frequent antimicrobial use, suppressed immune function, increased exposure to healthcare settings, and higher prevalence of C. difficile colonization. This review summarizes published data describing the epidemiology, risk factors for acquisition and infection, treatment, and prevention of C. difficile in hematology-oncology, solid organ transplant, and HIV-infected patients.© The Author(s) 2019. Published by Oxford University Press for the Infectious Diseases Society of America. All rights reserved. For permissions, e-mail: journals.permissions@oup.com.&quot;,&quot;author&quot;:[{&quot;family&quot;:&quot;Revolinski&quot;,&quot;given&quot;:&quot;Sara Lynn&quot;},{&quot;family&quot;:&quot;Munoz-Price&quot;,&quot;given&quot;:&quot;L Silvia&quot;}],&quot;issued&quot;:{&quot;date-parts&quot;:[[&quot;2019&quot;,&quot;5&quot;,&quot;30&quot;]]},&quot;DOI&quot;:&quot;10.1093/cid/ciy845&quot;,&quot;PMID&quot;:&quot;30281082&quot;,&quot;citation-label&quot;:&quot;8652709&quot;},{&quot;title&quot;:&quot;Clostridium difficile--more difficult than ever.&quot;,&quot;page&quot;:&quot;1932-1940&quot;,&quot;volume&quot;:&quot;359&quot;,&quot;issue&quot;:&quot;18&quot;,&quot;journalAbbreviation&quot;:&quot;N. Engl. J. Med.&quot;,&quot;id&quot;:&quot;1193747&quot;,&quot;type&quot;:&quot;article-journal&quot;,&quot;container-title&quot;:&quot;The New England Journal of Medicine&quot;,&quot;container-title-short&quot;:&quot;N. Engl. J. Med.&quot;,&quot;author&quot;:[{&quot;family&quot;:&quot;Kelly&quot;,&quot;given&quot;:&quot;Ciarán P&quot;},{&quot;family&quot;:&quot;LaMont&quot;,&quot;given&quot;:&quot;J Thomas&quot;}],&quot;issued&quot;:{&quot;date-parts&quot;:[[&quot;2008&quot;,&quot;10&quot;,&quot;30&quot;]]},&quot;DOI&quot;:&quot;10.1056/NEJMra0707500&quot;,&quot;PMID&quot;:&quot;18971494&quot;,&quot;citation-label&quot;:&quot;1193747&quot;},{&quot;title&quot;:&quot;Clinical Practice Guidelines for Clostridium difficile Infection in Adults and Children: 2017 Update by the Infectious Diseases Society of America (IDSA) and Society for Healthcare Epidemiology of America (SHEA).&quot;,&quot;page&quot;:&quot;e1-e48&quot;,&quot;volume&quot;:&quot;66&quot;,&quot;issue&quot;:&quot;7&quot;,&quot;journalAbbreviation&quot;:&quot;Clin. Infect. Dis.&quot;,&quot;id&quot;:&quot;4841853&quot;,&quot;type&quot;:&quot;article-journal&quot;,&quot;container-title&quot;:&quot;Clinical Infectious Diseases&quot;,&quot;container-title-short&quot;:&quot;Clin. Infect. Dis.&quot;,&quot;abstract&quot;:&quot;A panel of experts was convened by the Infectious Diseases Society of America (IDSA) and Society for Healthcare Epidemiology of America (SHEA) to update the 2010 clinical practice guideline on Clostridium difficile infection (CDI) in adults. The update, which has incorporated recommendations for children (following the adult recommendations for epidemiology, diagnosis, and treatment), includes significant changes in the management of this infection and reflects the evolving controversy over best methods for diagnosis. Clostridium difficile remains the most important cause of healthcare-associated diarrhea and has become the most commonly identified cause of healthcare-associated infection in adults in the United States. Moreover, C. difficile has established itself as an important community pathogen. Although the prevalence of the epidemic and virulent ribotype 027 strain has declined markedly along with overall CDI rates in parts of Europe, it remains one of the most commonly identified strains in the United States where it causes a sizable minority of CDIs, especially healthcare-associated CDIs. This guideline updates recommendations regarding epidemiology, diagnosis, treatment, infection prevention, and environmental management.&quot;,&quot;author&quot;:[{&quot;family&quot;:&quot;McDonald&quot;,&quot;given&quot;:&quot;L Clifford&quot;},{&quot;family&quot;:&quot;Gerding&quot;,&quot;given&quot;:&quot;Dale N&quot;},{&quot;family&quot;:&quot;Johnson&quot;,&quot;given&quot;:&quot;Stuart&quot;},{&quot;family&quot;:&quot;Bakken&quot;,&quot;given&quot;:&quot;Johan S&quot;},{&quot;family&quot;:&quot;Carroll&quot;,&quot;given&quot;:&quot;Karen C&quot;},{&quot;family&quot;:&quot;Coffin&quot;,&quot;given&quot;:&quot;Susan E&quot;},{&quot;family&quot;:&quot;Dubberke&quot;,&quot;given&quot;:&quot;Erik R&quot;},{&quot;family&quot;:&quot;Garey&quot;,&quot;given&quot;:&quot;Kevin W&quot;},{&quot;family&quot;:&quot;Gould&quot;,&quot;given&quot;:&quot;Carolyn V&quot;},{&quot;family&quot;:&quot;Kelly&quot;,&quot;given&quot;:&quot;Ciaran&quot;},{&quot;family&quot;:&quot;Loo&quot;,&quot;given&quot;:&quot;Vivian&quot;},{&quot;family&quot;:&quot;Shaklee Sammons&quot;,&quot;given&quot;:&quot;Julia&quot;},{&quot;family&quot;:&quot;Sandora&quot;,&quot;given&quot;:&quot;Thomas J&quot;},{&quot;family&quot;:&quot;Wilcox&quot;,&quot;given&quot;:&quot;Mark H&quot;}],&quot;issued&quot;:{&quot;date-parts&quot;:[[&quot;2018&quot;,&quot;3&quot;,&quot;19&quot;]]},&quot;DOI&quot;:&quot;10.1093/cid/cix1085&quot;,&quot;PMID&quot;:&quot;29462280&quot;,&quot;PMCID&quot;:&quot;PMC6018983&quot;,&quot;citation-label&quot;:&quot;4841853&quot;},{&quot;title&quot;:&quot;A multisite genomic epidemiology study of Clostridioides difficile infections in the USA supports differential roles of healthcare versus community spread for two common strains.&quot;,&quot;volume&quot;:&quot;7&quot;,&quot;issue&quot;:&quot;6&quot;,&quot;journalAbbreviation&quot;:&quot;Microb. Genom.&quot;,&quot;id&quot;:&quot;13329449&quot;,&quot;type&quot;:&quot;article-journal&quot;,&quot;container-title&quot;:&quot;Microbial genomics&quot;,&quot;container-title-short&quot;:&quot;Microb. Genom.&quot;,&quot;abstract&quot;:&quot;Clostridioides difficile is the leading cause of healthcare-associated infectious diarrhoea. However, it is increasingly appreciated that healthcare-associated infections derive from both community and healthcare environments, and that the primary sites of C. difficile transmission may be strain-dependent. We conducted a multisite genomic epidemiology study to assess differential genomic evidence of healthcare vs community spread for two of the most common C. difficile strains in the USA: sequence type (ST) 1 (associated with ribotype 027) and ST2 (associated with ribotype 014/020). We performed whole-genome sequencing and phylogenetic analyses on 382 ST1 and ST2 C. difficile isolates recovered from stool specimens collected during standard clinical care at 3 geographically distinct US medical centres between 2010 and 2017. ST1 and ST2 isolates both displayed some evidence of phylogenetic clustering by study site, but clustering was stronger and more apparent in ST1, consistent with our healthcare-based study more comprehensively sampling local transmission of ST1 compared to ST2 strains. Analyses of pairwise single-nucleotide variant (SNV) distance distributions were also consistent with more evidence of healthcare transmission of ST1 compared to ST2, with 44 % of ST1 isolates being within two SNVs of another isolate from the same geographical collection site compared to 5.5 % of ST2 isolates (P-value=&lt; 0.001). Conversely, ST2 isolates were more likely to have close genetic neighbours across disparate geographical sites compared to ST1 isolates, further supporting non-healthcare routes of spread for ST2 and highlighting the potential for misattributing genomic similarity among ST2 isolates to recent healthcare transmission. Finally, we estimated a lower evolutionary rate for the ST2 lineage compared to the ST1 lineage using Bayesian timed phylogenomic analyses, and hypothesize that this may contribute to observed differences in geographical concordance among closely related isolates. Together, these findings suggest that ST1 and ST2, while both common causes of C. difficile infection in hospitals, show differential reliance on community and hospital spread. This conclusion supports the need for strain-specific criteria for interpreting genomic linkages and emphasizes the importance of considering differences in the epidemiology of circulating strains when devising interventions to reduce the burden of C. difficile infections.&quot;,&quot;author&quot;:[{&quot;family&quot;:&quot;Miles-Jay&quot;,&quot;given&quot;:&quot;Arianna&quot;},{&quot;family&quot;:&quot;Young&quot;,&quot;given&quot;:&quot;Vincent B&quot;},{&quot;family&quot;:&quot;Pamer&quot;,&quot;given&quot;:&quot;Eric G&quot;},{&quot;family&quot;:&quot;Savidge&quot;,&quot;given&quot;:&quot;Tor C&quot;},{&quot;family&quot;:&quot;Kamboj&quot;,&quot;given&quot;:&quot;Mini&quot;},{&quot;family&quot;:&quot;Garey&quot;,&quot;given&quot;:&quot;Kevin W&quot;},{&quot;family&quot;:&quot;Snitkin&quot;,&quot;given&quot;:&quot;Evan S&quot;}],&quot;issued&quot;:{&quot;date-parts&quot;:[[&quot;2021&quot;,&quot;6&quot;]]},&quot;DOI&quot;:&quot;10.1099/mgen.0.000590&quot;,&quot;PMID&quot;:&quot;34180789&quot;,&quot;PMCID&quot;:&quot;PMC8461479&quot;,&quot;citation-label&quot;:&quot;13329449&quot;},{&quot;title&quot;:&quot;Virulence and genomic diversity among clinical isolates of ST1 (BI/NAP1/027) Clostridioides difficile.&quot;,&quot;journalAbbreviation&quot;:&quot;BioRxiv&quot;,&quot;id&quot;:&quot;15246130&quot;,&quot;type&quot;:&quot;article-journal&quot;,&quot;container-title&quot;:&quot;BioRxiv&quot;,&quot;container-title-short&quot;:&quot;BioRxiv&quot;,&quot;abstract&quot;:&quot;Clostridioides difficile (C. difficile) , a leading cause of nosocomial infection, produces toxins that damage the colonic epithelium and results in colitis that varies from mild to fulminant. Variation in disease severity is poorly understood and has been attributed to host factors (age, immune competence and intestinal microbiome composition) and/or virulence differences between C. difficile strains, with some, such as the epidemic BI/NAP1/027 (MLST1) strain, being associated with greater virulence. We tested 23 MLST1(ST1) C. difficile clinical isolates for virulence in antibiotic-treated C57BL/6 mice. All isolates encoded a complete Tcd pathogenicity locus and achieved similar colonization densities in mice. Disease severity varied, however, with 5 isolates causing lethal infections, 16 isolates causing a range of moderate infections and 2 isolates resulting in no detectable disease. The avirulent ST1 isolates did not cause disease in highly susceptible Myd88 -/- or germ-free mice. Genomic analysis of the avirulent isolates revealed a 69 base-pair deletion in the N-terminus of the cdtR gene, which encodes a response regulator for binary toxin (CDT) expression. Genetic deletion of the 69 base-pair cdtR sequence in the highly virulent ST1 R20291 C. difficile strain rendered it avirulent and reduced toxin gene transcription in cecal contents. Our study demonstrates that a natural deletion within cdtR attenuates virulence in the epidemic ST1 C. difficile strain without reducing colonization and persistence in the gut. Distinguishing strains on the basis of cdtR may enhance the specificity of diagnostic tests for C. difficile colitis.&quot;,&quot;author&quot;:[{&quot;family&quot;:&quot;Dong&quot;,&quot;given&quot;:&quot;Qiwen&quot;},{&quot;family&quot;:&quot;Lin&quot;,&quot;given&quot;:&quot;Huaiying&quot;},{&quot;family&quot;:&quot;Allen&quot;,&quot;given&quot;:&quot;Marie-Maude&quot;},{&quot;family&quot;:&quot;Garneau&quot;,&quot;given&quot;:&quot;Julian R&quot;},{&quot;family&quot;:&quot;Sia&quot;,&quot;given&quot;:&quot;Jonathan K&quot;},{&quot;family&quot;:&quot;Smith&quot;,&quot;given&quot;:&quot;Rita C&quot;},{&quot;family&quot;:&quot;Haro&quot;,&quot;given&quot;:&quot;Fidel&quot;},{&quot;family&quot;:&quot;McMillen&quot;,&quot;given&quot;:&quot;Tracy&quot;},{&quot;family&quot;:&quot;Pope&quot;,&quot;given&quot;:&quot;Rosemary L&quot;},{&quot;family&quot;:&quot;Metcalfe&quot;,&quot;given&quot;:&quot;Carolyn&quot;},{&quot;family&quot;:&quot;Burgo&quot;,&quot;given&quot;:&quot;Victoria&quot;},{&quot;family&quot;:&quot;Woodson&quot;,&quot;given&quot;:&quot;Che&quot;},{&quot;family&quot;:&quot;Dylla&quot;,&quot;given&quot;:&quot;Nicholas&quot;},{&quot;family&quot;:&quot;Kohout&quot;,&quot;given&quot;:&quot;Claire&quot;},{&quot;family&quot;:&quot;Sundararajan&quot;,&quot;given&quot;:&quot;Anitha&quot;},{&quot;family&quot;:&quot;Snitkin&quot;,&quot;given&quot;:&quot;Evan S&quot;},{&quot;family&quot;:&quot;Young&quot;,&quot;given&quot;:&quot;Vincent B&quot;},{&quot;family&quot;:&quot;Fortier&quot;,&quot;given&quot;:&quot;Louis-Charles&quot;},{&quot;family&quot;:&quot;Kamboj&quot;,&quot;given&quot;:&quot;Mini&quot;},{&quot;family&quot;:&quot;Pamer&quot;,&quot;given&quot;:&quot;Eric G&quot;}],&quot;issued&quot;:{&quot;date-parts&quot;:[[&quot;2023&quot;,&quot;1&quot;,&quot;12&quot;]]},&quot;DOI&quot;:&quot;10.1101/2023.01.12.523823&quot;,&quot;PMID&quot;:&quot;36711955&quot;,&quot;PMCID&quot;:&quot;PMC9882218&quot;,&quot;citation-label&quot;:&quot;15246130&quot;},{&quot;title&quot;:&quot;The gut microbiota shapes intestinal immune responses during health and disease.&quot;,&quot;page&quot;:&quot;313-323&quot;,&quot;volume&quot;:&quot;9&quot;,&quot;issue&quot;:&quot;5&quot;,&quot;journalAbbreviation&quot;:&quot;Nat. Rev. Immunol.&quot;,&quot;id&quot;:&quot;355655&quot;,&quot;type&quot;:&quot;article-journal&quot;,&quot;container-title&quot;:&quot;Nature Reviews. Immunology&quot;,&quot;container-title-short&quot;:&quot;Nat. Rev. Immunol.&quot;,&quot;abstract&quot;:&quot;Immunological dysregulation is the cause of many non-infectious human diseases such as autoimmunity, allergy and cancer. The gastrointestinal tract is the primary site of interaction between the host immune system and microorganisms, both symbiotic and pathogenic. In this Review we discuss findings indicating that developmental aspects of the adaptive immune system are influenced by bacterial colonization of the gut. We also highlight the molecular pathways that mediate host-symbiont interactions that regulate proper immune function. Finally, we present recent evidence to support that disturbances in the bacterial microbiota result in dysregulation of adaptive immune cells, and this may underlie disorders such as inflammatory bowel disease. This raises the possibility that the mammalian immune system, which seems to be designed to control microorganisms, is in fact controlled by microorganisms.&quot;,&quot;author&quot;:[{&quot;family&quot;:&quot;Round&quot;,&quot;given&quot;:&quot;June L&quot;},{&quot;family&quot;:&quot;Mazmanian&quot;,&quot;given&quot;:&quot;Sarkis K&quot;}],&quot;issued&quot;:{&quot;date-parts&quot;:[[&quot;2009&quot;,&quot;5&quot;]]},&quot;DOI&quot;:&quot;10.1038/nri2515&quot;,&quot;PMID&quot;:&quot;19343057&quot;,&quot;PMCID&quot;:&quot;PMC4095778&quot;,&quot;citation-label&quot;:&quot;355655&quot;},{&quot;title&quot;:&quot;Mechanism of the gut microbiota colonization resistance and enteric pathogen infection.&quot;,&quot;page&quot;:&quot;716299&quot;,&quot;volume&quot;:&quot;11&quot;,&quot;journalAbbreviation&quot;:&quot;Front. Cell. Infect. Microbiol.&quot;,&quot;id&quot;:&quot;12404623&quot;,&quot;type&quot;:&quot;article-journal&quot;,&quot;container-title&quot;:&quot;Frontiers in cellular and infection microbiology&quot;,&quot;container-title-short&quot;:&quot;Front. Cell. Infect. Microbiol.&quot;,&quot;abstract&quot;:&quot;The mammalian gut microbial community, known as the gut microbiota, comprises trillions of bacteria, which co-evolved with the host and has an important role in a variety of host functions that include nutrient acquisition, metabolism, and immunity development, and more importantly, it plays a critical role in the protection of the host from enteric infections associated with exogenous pathogens or indigenous pathobiont outgrowth that may result from healthy gut microbial community disruption. Microbiota evolves complex mechanisms to restrain pathogen growth, which included nutrient competition, competitive metabolic interactions, niche exclusion, and induction of host immune response, which are collectively termed colonization resistance. On the other hand, pathogens have also developed counterstrategies to expand their population and enhance their virulence to cope with the gut microbiota colonization resistance and cause infection. This review summarizes the available literature on the complex relationship occurring between the intestinal microbiota and enteric pathogens, describing how the gut microbiota can mediate colonization resistance against bacterial enteric infections and how bacterial enteropathogens can overcome this resistance as well as how the understanding of this complex interaction can inform future therapies against infectious diseases.Copyright © 2021 Khan, Bai, Zha, Ullah, Ullah, Shah, Sun and Zhang.&quot;,&quot;author&quot;:[{&quot;family&quot;:&quot;Khan&quot;,&quot;given&quot;:&quot;Israr&quot;},{&quot;family&quot;:&quot;Bai&quot;,&quot;given&quot;:&quot;Yanrui&quot;},{&quot;family&quot;:&quot;Zha&quot;,&quot;given&quot;:&quot;Lajia&quot;},{&quot;family&quot;:&quot;Ullah&quot;,&quot;given&quot;:&quot;Naeem&quot;},{&quot;family&quot;:&quot;Ullah&quot;,&quot;given&quot;:&quot;Habib&quot;},{&quot;family&quot;:&quot;Shah&quot;,&quot;given&quot;:&quot;Syed Rafiq Hussain&quot;},{&quot;family&quot;:&quot;Sun&quot;,&quot;given&quot;:&quot;Hui&quot;},{&quot;family&quot;:&quot;Zhang&quot;,&quot;given&quot;:&quot;Chunjiang&quot;}],&quot;issued&quot;:{&quot;date-parts&quot;:[[&quot;2021&quot;,&quot;12&quot;,&quot;23&quot;]]},&quot;DOI&quot;:&quot;10.3389/fcimb.2021.716299&quot;,&quot;PMID&quot;:&quot;35004340&quot;,&quot;PMCID&quot;:&quot;PMC8733563&quot;,&quot;citation-label&quot;:&quot;12404623&quot;},{&quot;title&quot;:&quot;Systems biology approach to functionally assess the Clostridioides difficile pangenome reveals genetic diversity with discriminatory power.&quot;,&quot;page&quot;:&quot;e2119396119&quot;,&quot;volume&quot;:&quot;119&quot;,&quot;issue&quot;:&quot;18&quot;,&quot;journalAbbreviation&quot;:&quot;Proc Natl Acad Sci USA&quot;,&quot;id&quot;:&quot;13488659&quot;,&quot;type&quot;:&quot;article-journal&quot;,&quot;container-title&quot;:&quot;Proceedings of the National Academy of Sciences of the United States of America&quot;,&quot;container-title-short&quot;:&quot;Proc Natl Acad Sci USA&quot;,&quot;abstract&quot;:&quot;Combatting Clostridioides difficile infections, a dominant cause of hospital-associated infections with incidence and resulting deaths increasing worldwide, is complicated by the frequent emergence of new virulent strains. Here, we employ whole-genome sequencing, high-throughput phenotypic screenings, and genome-scale models of metabolism to evaluate the genetic diversity of 451 strains of C. difficile. Constructing the C. difficile pangenome based on this set revealed 9,924 distinct gene clusters, of which 2,899 (29%) are defined as core, 2,968 (30%) are defined as unique, and the remaining 4,057 (41%) are defined as accessory. We develop a strain typing method, sequence typing by accessory genome (STAG), that identifies 176 genetically distinct groups of strains and allows for explicit interrogation of accessory gene content. Thirty-five strains representative of the overall set were experimentally profiled on 95 different nutrient sources, revealing 26 distinct growth profiles and unique nutrient preferences; 451 strain-specific genome scale models of metabolism were constructed, allowing us to computationally probe phenotypic diversity in 28,864 unique conditions. The models create a mechanistic link between the observed phenotypes and strain-specific genetic differences and exhibit an ability to correctly predict growth in 76% of measured cases. The typing and model predictions are used to identify and contextualize discriminating genetic features and phenotypes that may contribute to the emergence of new problematic strains.&quot;,&quot;author&quot;:[{&quot;family&quot;:&quot;Norsigian&quot;,&quot;given&quot;:&quot;Charles J&quot;},{&quot;family&quot;:&quot;Danhof&quot;,&quot;given&quot;:&quot;Heather A&quot;},{&quot;family&quot;:&quot;Brand&quot;,&quot;given&quot;:&quot;Colleen K&quot;},{&quot;family&quot;:&quot;Midani&quot;,&quot;given&quot;:&quot;Firas S&quot;},{&quot;family&quot;:&quot;Broddrick&quot;,&quot;given&quot;:&quot;Jared T&quot;},{&quot;family&quot;:&quot;Savidge&quot;,&quot;given&quot;:&quot;Tor C&quot;},{&quot;family&quot;:&quot;Britton&quot;,&quot;given&quot;:&quot;Robert A&quot;},{&quot;family&quot;:&quot;Palsson&quot;,&quot;given&quot;:&quot;Bernhard O&quot;},{&quot;family&quot;:&quot;Spinler&quot;,&quot;given&quot;:&quot;Jennifer K&quot;},{&quot;family&quot;:&quot;Monk&quot;,&quot;given&quot;:&quot;Jonathan M&quot;}],&quot;issued&quot;:{&quot;date-parts&quot;:[[&quot;2022&quot;,&quot;5&quot;,&quot;3&quot;]]},&quot;DOI&quot;:&quot;10.1073/pnas.2119396119&quot;,&quot;PMID&quot;:&quot;35476524&quot;,&quot;PMCID&quot;:&quot;PMC9170149&quot;,&quot;citation-label&quot;:&quot;13488659&quot;},{&quot;title&quot;:&quot;Pathogenicity Locus, Core Genome, and Accessory Gene Contributions to Clostridium difficile Virulence.&quot;,&quot;volume&quot;:&quot;8&quot;,&quot;issue&quot;:&quot;4&quot;,&quot;journalAbbreviation&quot;:&quot;MBio&quot;,&quot;id&quot;:&quot;4057857&quot;,&quot;type&quot;:&quot;article-journal&quot;,&quot;container-title&quot;:&quot;mBio&quot;,&quot;container-title-short&quot;:&quot;MBio&quot;,&quot;abstract&quot;:&quot;Clostridium difficile is a spore-forming anaerobic bacterium that causes colitis in patients with disrupted colonic microbiota. While some individuals are asymptomatic C. difficile carriers, symptomatic disease ranges from mild diarrhea to potentially lethal toxic megacolon. The wide disease spectrum has been attributed to the infected host's age, underlying diseases, immune status, and microbiome composition. However, strain-specific differences in C. difficile virulence have also been implicated in determining colitis severity. Because patients infected with C. difficile are unique in terms of medical history, microbiome composition, and immune competence, determining the relative contribution of C. difficile virulence to disease severity has been challenging, and conclusions regarding the virulence of specific strains have been inconsistent. To address this, we used a mouse model to test 33 clinical C. difficile strains isolated from patients with disease severities ranging from asymptomatic carriage to severe colitis, and we determined their relative in vivo virulence in genetically identical, antibiotic-pretreated mice. We found that murine infections with C. difficile clade 2 strains (including multilocus sequence type 1/ribotype 027) were associated with higher lethality and that C. difficile strains associated with greater human disease severity caused more severe disease in mice. While toxin production was not strongly correlated with in vivo colonic pathology, the ability of C. difficile strains to grow in the presence of secondary bile acids was associated with greater disease severity. Whole-genome sequencing and identification of core and accessory genes identified a subset of accessory genes that distinguish high-virulence from lower-virulence C. difficile strains.IMPORTANCEClostridium difficile is an important cause of hospital-associated intestinal infections, and recent years have seen an increase in the number and severity of cases in the United States. A patient's antibiotic history, immune status, and medical comorbidities determine, in part, the severity of C. difficile infection. The relative virulence of different clinical C. difficile strains, although postulated to determine disease severity in patients, has been more difficult to consistently associate with mild versus severe colitis. We tested 33 distinct clinical C. difficile isolates for their ability to cause disease in genetically identical mice and found that C. difficile strains belonging to clade 2 were associated with higher mortality. Differences in survival were not attributed to differences in toxin production but likely resulted from the distinct gene content in the various clinical isolates.Copyright © 2017 Lewis et al.&quot;,&quot;author&quot;:[{&quot;family&quot;:&quot;Lewis&quot;,&quot;given&quot;:&quot;Brittany B&quot;},{&quot;family&quot;:&quot;Carter&quot;,&quot;given&quot;:&quot;Rebecca A&quot;},{&quot;family&quot;:&quot;Ling&quot;,&quot;given&quot;:&quot;Lilan&quot;},{&quot;family&quot;:&quot;Leiner&quot;,&quot;given&quot;:&quot;Ingrid&quot;},{&quot;family&quot;:&quot;Taur&quot;,&quot;given&quot;:&quot;Ying&quot;},{&quot;family&quot;:&quot;Kamboj&quot;,&quot;given&quot;:&quot;Mini&quot;},{&quot;family&quot;:&quot;Dubberke&quot;,&quot;given&quot;:&quot;Erik R&quot;},{&quot;family&quot;:&quot;Xavier&quot;,&quot;given&quot;:&quot;Joao&quot;},{&quot;family&quot;:&quot;Pamer&quot;,&quot;given&quot;:&quot;Eric G&quot;}],&quot;issued&quot;:{&quot;date-parts&quot;:[[&quot;2017&quot;,&quot;8&quot;,&quot;8&quot;]]},&quot;DOI&quot;:&quot;10.1128/mBio.00885-17&quot;,&quot;PMID&quot;:&quot;28790208&quot;,&quot;PMCID&quot;:&quot;PMC5550754&quot;,&quot;citation-label&quot;:&quot;4057857&quot;},{&quot;title&quot;:&quot;Prokka: rapid prokaryotic genome annotation.&quot;,&quot;page&quot;:&quot;2068-2069&quot;,&quot;volume&quot;:&quot;30&quot;,&quot;issue&quot;:&quot;14&quot;,&quot;journalAbbreviation&quot;:&quot;Bioinformatics&quot;,&quot;id&quot;:&quot;429229&quot;,&quot;type&quot;:&quot;article-journal&quot;,&quot;container-title&quot;:&quot;Bioinformatics&quot;,&quot;container-title-short&quot;:&quot;Bioinformatics&quot;,&quot;abstract&quot;:&quot;UNLABELLED: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AVAILABILITY AND IMPLEMENTATION: Prokka is implemented in Perl and is freely available under an open source GPLv2 license from http://vicbioinformatics.com/.© The Author 2014. Published by Oxford University Press. All rights reserved. For Permissions, please e-mail: journals.permissions@oup.com.&quot;,&quot;author&quot;:[{&quot;family&quot;:&quot;Seemann&quot;,&quot;given&quot;:&quot;Torsten&quot;}],&quot;issued&quot;:{&quot;date-parts&quot;:[[&quot;2014&quot;,&quot;7&quot;,&quot;15&quot;]]},&quot;DOI&quot;:&quot;10.1093/bioinformatics/btu153&quot;,&quot;PMID&quot;:&quot;24642063&quot;,&quot;citation-label&quot;:&quot;429229&quot;},{&quot;title&quot;:&quot;Roary: rapid large-scale prokaryote pan genome analysis.&quot;,&quot;page&quot;:&quot;3691-3693&quot;,&quot;volume&quot;:&quot;31&quot;,&quot;issue&quot;:&quot;22&quot;,&quot;journalAbbreviation&quot;:&quot;Bioinformatics&quot;,&quot;id&quot;:&quot;2588714&quot;,&quot;type&quot;:&quot;article-journal&quot;,&quot;container-title&quot;:&quot;Bioinformatics&quot;,&quot;container-title-short&quot;:&quot;Bioinformatics&quot;,&quot;abstract&quot;:&quot;UNLABELLED: A typical prokaryote population sequencing study can now consist of hundreds or thousands of isolates. Interrogating these datasets can provide detailed insights into the genetic structure of prokaryotic genomes. We introduce Roary, a tool that rapidly builds large-scale pan genomes, identifying the core and accessory genes. Roary makes construction of the pan genome of thousands of prokaryote samples possible on a standard desktop without compromising on the accuracy of results. Using a single CPU Roary can produce a pan genome consisting of 1000 isolates in 4.5 hours using 13 GB of RAM, with further speedups possible using multiple processors.AVAILABILITY AND IMPLEMENTATION: Roary is implemented in Perl and is freely available under an open source GPLv3 license from http://sanger-pathogens.github.io/RoaryCONTACT: roary@sanger.ac.ukSUPPLEMENTARY INFORMATION: Supplementary data are available at Bioinformatics online.© The Author 2015. Published by Oxford University Press.&quot;,&quot;author&quot;:[{&quot;family&quot;:&quot;Page&quot;,&quot;given&quot;:&quot;Andrew J&quot;},{&quot;family&quot;:&quot;Cummins&quot;,&quot;given&quot;:&quot;Carla A&quot;},{&quot;family&quot;:&quot;Hunt&quot;,&quot;given&quot;:&quot;Martin&quot;},{&quot;family&quot;:&quot;Wong&quot;,&quot;given&quot;:&quot;Vanessa K&quot;},{&quot;family&quot;:&quot;Reuter&quot;,&quot;given&quot;:&quot;Sandra&quot;},{&quot;family&quot;:&quot;Holden&quot;,&quot;given&quot;:&quot;Matthew T G&quot;},{&quot;family&quot;:&quot;Fookes&quot;,&quot;given&quot;:&quot;Maria&quot;},{&quot;family&quot;:&quot;Falush&quot;,&quot;given&quot;:&quot;Daniel&quot;},{&quot;family&quot;:&quot;Keane&quot;,&quot;given&quot;:&quot;Jacqueline A&quot;},{&quot;family&quot;:&quot;Parkhill&quot;,&quot;given&quot;:&quot;Julian&quot;}],&quot;issued&quot;:{&quot;date-parts&quot;:[[&quot;2015&quot;,&quot;11&quot;,&quot;15&quot;]]},&quot;DOI&quot;:&quot;10.1093/bioinformatics/btv421&quot;,&quot;PMID&quot;:&quot;26198102&quot;,&quot;PMCID&quot;:&quot;PMC4817141&quot;,&quot;citation-label&quot;:&quot;2588714&quot;},{&quot;title&quot;:&quot;Clostridium difficile infection: new developments in epidemiology and pathogenesis.&quot;,&quot;page&quot;:&quot;526-536&quot;,&quot;volume&quot;:&quot;7&quot;,&quot;issue&quot;:&quot;7&quot;,&quot;journalAbbreviation&quot;:&quot;Nat. Rev. Microbiol.&quot;,&quot;id&quot;:&quot;978411&quot;,&quot;type&quot;:&quot;article-journal&quot;,&quot;container-title&quot;:&quot;Nature Reviews Microbiology&quot;,&quot;container-title-short&quot;:&quot;Nat. Rev. Microbiol.&quot;,&quot;abstract&quot;:&quot;Clostridium difficile is now considered to be one of the most important causes of health care-associated infections. C. difficile infections are also emerging in the community and in animals used for food, and are no longer viewed simply as unpleasant complications that follow antibiotic therapy. Since 2001, the prevalence and severity of C. difficile infection has increased significantly, which has led to increased research interest and the discovery of new virulence factors, and has expanded and focused the development of new treatment and prevention regimens. This Review summarizes the recent epidemiological changes in C. difficile infection, our current knowledge of C. difficile virulence factors and the clinical outcomes of C. difficile infection.&quot;,&quot;author&quot;:[{&quot;family&quot;:&quot;Rupnik&quot;,&quot;given&quot;:&quot;Maja&quot;},{&quot;family&quot;:&quot;Wilcox&quot;,&quot;given&quot;:&quot;Mark H&quot;},{&quot;family&quot;:&quot;Gerding&quot;,&quot;given&quot;:&quot;Dale N&quot;}],&quot;issued&quot;:{&quot;date-parts&quot;:[[&quot;2009&quot;,&quot;7&quot;]]},&quot;DOI&quot;:&quot;10.1038/nrmicro2164&quot;,&quot;PMID&quot;:&quot;19528959&quot;,&quot;citation-label&quot;:&quot;978411&quot;},{&quot;title&quot;:&quot;Protection of hamsters against Clostridium difficile ileocaecitis by prior colonisation with non-pathogenic strains.&quot;,&quot;page&quot;:&quot;339-350&quot;,&quot;volume&quot;:&quot;19&quot;,&quot;issue&quot;:&quot;3&quot;,&quot;journalAbbreviation&quot;:&quot;J. Med. Microbiol.&quot;,&quot;id&quot;:&quot;6658857&quot;,&quot;type&quot;:&quot;article-journal&quot;,&quot;container-title&quot;:&quot;Journal of Medical Microbiology&quot;,&quot;container-title-short&quot;:&quot;J. Med. Microbiol.&quot;,&quot;abstract&quot;:&quot;Prior colonisation of clindamycin-treated hamsters with non-toxigenic strains of C. difficile protected them from subsequent colonisation with a toxigenic pathogenic strain. In total, 13 of 18 'protected' hamsters survived for up to 27 days whereas all 27 animals challenged with the toxigenic strain alone died within 48 h. Protection was not evident if a heat-killed suspension was used or if the colonising non-toxigenic strain was first removed with vancomycin. No antitoxic activity could be detected in the faeces of animals colonised with the non-toxigenic strains. Other species of clostridia did not protect against the lethal effects of subsequent exposure to the toxigenic strain. Conversely, non-toxigenic strains would not protect the animals from the lethal effects of a different clostridial pathogen, C. spiroforme. In most cases, even in the protected animals, the toxigenic strain eventually became dominant and caused disease, with translocation across the gut wall occurring early in the disease process. It was also shown that a non-toxigenic strain of C. difficile can adhere to gut mucosa. It is proposed that the protection afforded by the non-toxigenic strains may be due to competition for ecological niches.&quot;,&quot;author&quot;:[{&quot;family&quot;:&quot;Borriello&quot;,&quot;given&quot;:&quot;S P&quot;},{&quot;family&quot;:&quot;Barclay&quot;,&quot;given&quot;:&quot;F E&quot;}],&quot;issued&quot;:{&quot;date-parts&quot;:[[&quot;1985&quot;,&quot;6&quot;]]},&quot;DOI&quot;:&quot;10.1099/00222615-19-3-339&quot;,&quot;PMID&quot;:&quot;4009689&quot;,&quot;citation-label&quot;:&quot;6658857&quot;},{&quot;title&quot;:&quot;Prevention of fatal Clostridium difficile-associated disease during continuous administration of clindamycin in hamsters.&quot;,&quot;page&quot;:&quot;1922-1927&quot;,&quot;volume&quot;:&quot;188&quot;,&quot;issue&quot;:&quot;12&quot;,&quot;journalAbbreviation&quot;:&quot;J. Infect. Dis.&quot;,&quot;id&quot;:&quot;3267729&quot;,&quot;type&quot;:&quot;article-journal&quot;,&quot;container-title&quot;:&quot;The Journal of Infectious Diseases&quot;,&quot;container-title-short&quot;:&quot;J. Infect. Dis.&quot;,&quot;abstract&quot;:&quot;Clostridium difficile-associated disease (CDAD) due to toxigenic strains is prevented in hamsters by colonization by nontoxigenic C. difficile after administration of clindamycin (Cm). To prevent CDAD during treatment with antibiotics, we gave a Cm-resistant nontoxigenic C. difficile strain, M13 (minimal inhibitory concentration [MIC], &gt;256 microg/mL), and a Cm-susceptible strain, M3 (MIC, 0.5 microg/mL), to hamsters receiving Cm daily for days 1-5. Either M13 or M3 was given orogastrically (1 x 10(6) spores/day) to each hamster in 3 groups of 5 each, on either day 3, days 3-5, or days 3-7. M13 colonized at a higher rate and faster than did M3 (P&lt; .001). When hamsters were challenged by toxigenic strain B1 on days 5, 7, or 9, M13 prevented CDAD in 100% of the hamsters. M3 protected no hamsters challenged by B1 on day 5, 20% on day 7, and 100% on day 9. M13 contains the erm(B) resistance gene but not the mobilizable element Tn5398. The benefits of use of Cm-resistant nontoxigenic C. difficile to prevent CDAD must be balanced against the risk that resistance might be transferred to other enteric bacteria.&quot;,&quot;author&quot;:[{&quot;family&quot;:&quot;Merrigan&quot;,&quot;given&quot;:&quot;Michelle M&quot;},{&quot;family&quot;:&quot;Sambol&quot;,&quot;given&quot;:&quot;Susan P&quot;},{&quot;family&quot;:&quot;Johnson&quot;,&quot;given&quot;:&quot;Stuart&quot;},{&quot;family&quot;:&quot;Gerding&quot;,&quot;given&quot;:&quot;Dale N&quot;}],&quot;issued&quot;:{&quot;date-parts&quot;:[[&quot;2003&quot;,&quot;12&quot;,&quot;15&quot;]]},&quot;DOI&quot;:&quot;10.1086/379836&quot;,&quot;PMID&quot;:&quot;14673773&quot;,&quot;citation-label&quot;:&quot;3267729&quot;},{&quot;title&quot;:&quot;Colonization for the prevention of Clostridium difficile disease in hamsters.&quot;,&quot;page&quot;:&quot;1781-1789&quot;,&quot;volume&quot;:&quot;186&quot;,&quot;issue&quot;:&quot;12&quot;,&quot;journalAbbreviation&quot;:&quot;J. Infect. Dis.&quot;,&quot;id&quot;:&quot;6658813&quot;,&quot;type&quot;:&quot;article-journal&quot;,&quot;container-title&quot;:&quot;The Journal of Infectious Diseases&quot;,&quot;container-title-short&quot;:&quot;J. Infect. Dis.&quot;,&quot;abstract&quot;:&quot;Studies suggest that asymptomatic colonization with Clostridium difficile (CD) decreases the risk of CD-associated disease (CDAD) in humans. A hamster model was used to test the efficacy of colonization with 3 nontoxigenic CD strains for preventing CDAD after exposure to toxigenic CD. Groups of 10 hamsters were given 10(6) nontoxigenic CD spores 2 days after receiving a single dose of clindamycin. Five days later, the hamsters were given 100 spores of 1 of 3 toxigenic CD strains previously shown to cause mortality within 48 h. Each nontoxigenic strain prevented disease in 87%-97% of hamsters that were challenged with toxigenic strains. Failure to prevent CDAD was associated with failure of colonization with nontoxigenic CD. Colonization with nontoxigenic CD strains is highly effective in preventing CDAD in hamsters challenged with toxigenic CD strains, which suggests that use of a probiotic strategy for CDAD prevention in humans receiving antibiotics might be beneficial.&quot;,&quot;author&quot;:[{&quot;family&quot;:&quot;Sambol&quot;,&quot;given&quot;:&quot;Susan P&quot;},{&quot;family&quot;:&quot;Merrigan&quot;,&quot;given&quot;:&quot;Michelle M&quot;},{&quot;family&quot;:&quot;Tang&quot;,&quot;given&quot;:&quot;Janet K&quot;},{&quot;family&quot;:&quot;Johnson&quot;,&quot;given&quot;:&quot;Stuart&quot;},{&quot;family&quot;:&quot;Gerding&quot;,&quot;given&quot;:&quot;Dale N&quot;}],&quot;issued&quot;:{&quot;date-parts&quot;:[[&quot;2002&quot;,&quot;12&quot;,&quot;15&quot;]]},&quot;DOI&quot;:&quot;10.1086/345676&quot;,&quot;PMID&quot;:&quot;12447764&quot;,&quot;citation-label&quot;:&quot;6658813&quot;},{&quot;title&quot;:&quot;Flagellar switch inverted repeats impact heterogeneity in flagellar gene expression and thus C. difficile RT027/MLST1 virulence.&quot;,&quot;page&quot;:&quot;115830&quot;,&quot;volume&quot;:&quot;44&quot;,&quot;issue&quot;:&quot;6&quot;,&quot;journalAbbreviation&quot;:&quot;Cell Rep.&quot;,&quot;id&quot;:&quot;18010908&quot;,&quot;type&quot;:&quot;article-journal&quot;,&quot;container-title&quot;:&quot;Cell reports&quot;,&quot;container-title-short&quot;:&quot;Cell Rep.&quot;,&quot;abstract&quot;:&quot;Clostridioides difficile (C. difficile) RT027 strains cause infections that vary in severity from asymptomatic to lethal, but the molecular basis for this variability is poorly understood. Through comparative analyses of RT027 clinical isolates, we determine that isolates that exhibit greater heterogeneity in their flagellar gene expression exhibit greater virulence in vivo. C. difficile flagellar genes are phase-variably expressed due to the site-specific inversion of the flgB 5' UTR region, which reversibly generates ON vs. OFF orientations for the flagellar switch. We find that longer inverted repeat (IR) sequences in this switch region correlate with greater disease severity, with RT027 strains carrying 6A/6T IR sequences exhibiting greater phenotypic heterogeneity in flagellar gene expression (60%-75% ON) and causing more severe disease than those with shorter IRs (&gt;99% ON or OFF). Our results reveal that phenotypic heterogeneity in flagellar gene expression may contribute to the variable disease severity observed in C. difficile patients.Copyright © 2025 The Author(s). Published by Elsevier Inc. All rights reserved.&quot;,&quot;author&quot;:[{&quot;family&quot;:&quot;Nhu&quot;,&quot;given&quot;:&quot;Nguyen T Q&quot;},{&quot;family&quot;:&quot;Lin&quot;,&quot;given&quot;:&quot;Huaiying&quot;},{&quot;family&quot;:&quot;Pigli&quot;,&quot;given&quot;:&quot;Ying&quot;},{&quot;family&quot;:&quot;Sia&quot;,&quot;given&quot;:&quot;Jonathan K&quot;},{&quot;family&quot;:&quot;Kuhn&quot;,&quot;given&quot;:&quot;Pola&quot;},{&quot;family&quot;:&quot;Ruppel&quot;,&quot;given&quot;:&quot;Hannah&quot;},{&quot;family&quot;:&quot;Snitkin&quot;,&quot;given&quot;:&quot;Evan S&quot;},{&quot;family&quot;:&quot;Young&quot;,&quot;given&quot;:&quot;Vincent B&quot;},{&quot;family&quot;:&quot;Kamboj&quot;,&quot;given&quot;:&quot;Mini&quot;},{&quot;family&quot;:&quot;Pamer&quot;,&quot;given&quot;:&quot;Eric G&quot;},{&quot;family&quot;:&quot;Rice&quot;,&quot;given&quot;:&quot;Phoebe A&quot;},{&quot;family&quot;:&quot;Shen&quot;,&quot;given&quot;:&quot;Aimee&quot;},{&quot;family&quot;:&quot;Dong&quot;,&quot;given&quot;:&quot;Qiwen&quot;}],&quot;issued&quot;:{&quot;date-parts&quot;:[[&quot;2025&quot;,&quot;6&quot;,&quot;24&quot;]]},&quot;DOI&quot;:&quot;10.1016/j.celrep.2025.115830&quot;,&quot;PMID&quot;:&quot;40504685&quot;,&quot;citation-label&quot;:&quot;18010908&quot;},{&quot;title&quot;:&quot;RAG-1-deficient mice have no mature B and T lymphocytes.&quot;,&quot;page&quot;:&quot;869-877&quot;,&quot;volume&quot;:&quot;68&quot;,&quot;issue&quot;:&quot;5&quot;,&quot;journalAbbreviation&quot;:&quot;Cell&quot;,&quot;id&quot;:&quot;183158&quot;,&quot;type&quot;:&quot;article-journal&quot;,&quot;container-title&quot;:&quot;Cell&quot;,&quot;container-title-short&quot;:&quot;Cell&quot;,&quot;abstract&quot;:&quot;The V(D)J recombination activation gene RAG-1 was isolated on the basis of its ability to activate V(D)J recombination on an artificial substrate in fibroblasts. This property and the expression pattern in tissues and cell lines indicate that RAG-1 either activates or catalyzes the V(D)J recombination reaction of immunoglobulin and T cell receptor genes. We here describe the introduction of a mutation in RAG-1 into the germline of mice via gene targeting in embryonic stem cells. RAG-1-deficient mice have small lymphoid organs that do not contain mature B and T lymphocytes. The arrest of B and T cell differentiation occurs at an early stage and correlates with the inability to perform V(D)J recombination. The immune system of the RAG-1 mutant mice can be described as that of nonleaky scid mice. Although RAG-1 expression has been reported in the central nervous system of the mouse, no obvious neuroanatomical or behavioral abnormalities have been found in the RAG-1-deficient mice.&quot;,&quot;author&quot;:[{&quot;family&quot;:&quot;Mombaerts&quot;,&quot;given&quot;:&quot;P&quot;},{&quot;family&quot;:&quot;Iacomini&quot;,&quot;given&quot;:&quot;J&quot;},{&quot;family&quot;:&quot;Johnson&quot;,&quot;given&quot;:&quot;R S&quot;},{&quot;family&quot;:&quot;Herrup&quot;,&quot;given&quot;:&quot;K&quot;},{&quot;family&quot;:&quot;Tonegawa&quot;,&quot;given&quot;:&quot;S&quot;},{&quot;family&quot;:&quot;Papaioannou&quot;,&quot;given&quot;:&quot;V E&quot;}],&quot;issued&quot;:{&quot;date-parts&quot;:[[&quot;1992&quot;,&quot;3&quot;,&quot;6&quot;]]},&quot;DOI&quot;:&quot;10.1016/0092-8674(92)90030-g&quot;,&quot;PMID&quot;:&quot;1547488&quot;,&quot;citation-label&quot;:&quot;183158&quot;},{&quot;title&quot;:&quot;Clostridioides difficile uses amino acids associated with gut microbial dysbiosis in a subset of patients with diarrhea.&quot;,&quot;volume&quot;:&quot;10&quot;,&quot;issue&quot;:&quot;464&quot;,&quot;journalAbbreviation&quot;:&quot;Sci. Transl. Med.&quot;,&quot;id&quot;:&quot;5944445&quot;,&quot;type&quot;:&quot;article-journal&quot;,&quot;container-title&quot;:&quot;Science Translational Medicine&quot;,&quot;container-title-short&quot;:&quot;Sci. Transl. Med.&quot;,&quot;abstract&quot;:&quot;The gut microbiota plays a critical role in pathogen defense. Studies using antibiotic-treated mice reveal mechanisms that increase susceptibility to Clostridioides difficile infection (CDI), but risk factors associated with CDI in humans extend beyond antibiotic use. Here, we studied the dysbiotic gut microbiota of a subset of patients with diarrhea and modeled the gut microbiota of these patients by fecal transplantation into germ-free mice. When challenged with C. difficile, the germ-free mice transplanted with fecal samples from patients with dysbiotic microbial communities showed increased gut amino acid concentrations and greater susceptibility to CDI. A C. difficile mutant that was unable to use proline as an energy source was unable to robustly infect germ-free mice transplanted with a dysbiotic or healthy human gut microbiota. Prophylactic dietary intervention using a low-proline or low-protein diet in germ-free mice colonized by a dysbiotic human gut microbiota resulted in decreased expansion of wild-type C. difficile after challenge, suggesting that amino acid availability might be important for CDI. Furthermore, a prophylactic fecal microbiota transplant in mice with dysbiosis reduced proline availability and protected the mice from CDI. Last, we identified clinical risk factors that could potentially predict gut microbial dysbiosis and thus greater susceptibility to CDI in a retrospective cohort of patients with diarrhea. Identifying at-risk individuals and reducing their susceptibility to CDI through gut microbiota-targeted therapies could be a new approach to preventing C. difficile infection in susceptible patients.Copyright © 2018 The Authors, some rights reserved; exclusive licensee American Association for the Advancement of Science. No claim to original U.S. Government Works.&quot;,&quot;author&quot;:[{&quot;family&quot;:&quot;Battaglioli&quot;,&quot;given&quot;:&quot;Eric J&quot;},{&quot;family&quot;:&quot;Hale&quot;,&quot;given&quot;:&quot;Vanessa L&quot;},{&quot;family&quot;:&quot;Chen&quot;,&quot;given&quot;:&quot;Jun&quot;},{&quot;family&quot;:&quot;Jeraldo&quot;,&quot;given&quot;:&quot;Patricio&quot;},{&quot;family&quot;:&quot;Ruiz-Mojica&quot;,&quot;given&quot;:&quot;Coral&quot;},{&quot;family&quot;:&quot;Schmidt&quot;,&quot;given&quot;:&quot;Bradley A&quot;},{&quot;family&quot;:&quot;Rekdal&quot;,&quot;given&quot;:&quot;Vayu M&quot;},{&quot;family&quot;:&quot;Till&quot;,&quot;given&quot;:&quot;Lisa M&quot;},{&quot;family&quot;:&quot;Huq&quot;,&quot;given&quot;:&quot;Lutfi&quot;},{&quot;family&quot;:&quot;Smits&quot;,&quot;given&quot;:&quot;Samuel A&quot;},{&quot;family&quot;:&quot;Moor&quot;,&quot;given&quot;:&quot;William J&quot;},{&quot;family&quot;:&quot;Jones-Hall&quot;,&quot;given&quot;:&quot;Yava&quot;},{&quot;family&quot;:&quot;Smyrk&quot;,&quot;given&quot;:&quot;Thomas&quot;},{&quot;family&quot;:&quot;Khanna&quot;,&quot;given&quot;:&quot;Sahil&quot;},{&quot;family&quot;:&quot;Pardi&quot;,&quot;given&quot;:&quot;Darrell S&quot;},{&quot;family&quot;:&quot;Grover&quot;,&quot;given&quot;:&quot;Madhusudan&quot;},{&quot;family&quot;:&quot;Patel&quot;,&quot;given&quot;:&quot;Robin&quot;},{&quot;family&quot;:&quot;Chia&quot;,&quot;given&quot;:&quot;Nicholas&quot;},{&quot;family&quot;:&quot;Nelson&quot;,&quot;given&quot;:&quot;Heidi&quot;},{&quot;family&quot;:&quot;Sonnenburg&quot;,&quot;given&quot;:&quot;Justin L&quot;},{&quot;family&quot;:&quot;Farrugia&quot;,&quot;given&quot;:&quot;Gianrico&quot;},{&quot;family&quot;:&quot;Kashyap&quot;,&quot;given&quot;:&quot;Purna C&quot;}],&quot;issued&quot;:{&quot;date-parts&quot;:[[&quot;2018&quot;,&quot;10&quot;,&quot;24&quot;]]},&quot;DOI&quot;:&quot;10.1126/scitranslmed.aam7019&quot;,&quot;PMID&quot;:&quot;30355801&quot;,&quot;PMCID&quot;:&quot;PMC6537101&quot;,&quot;citation-label&quot;:&quot;5944445&quot;},{&quot;title&quot;:&quot;Efficacy and Safety of RBX2660 in PUNCH CD3, a Phase III, Randomized, Double-Blind, Placebo-Controlled Trial with a Bayesian Primary Analysis for the Prevention of Recurrent Clostridioides difficile Infection.&quot;,&quot;page&quot;:&quot;1527-1538&quot;,&quot;volume&quot;:&quot;82&quot;,&quot;issue&quot;:&quot;15&quot;,&quot;journalAbbreviation&quot;:&quot;Drugs&quot;,&quot;id&quot;:&quot;13849846&quot;,&quot;type&quot;:&quot;article-journal&quot;,&quot;container-title&quot;:&quot;Drugs&quot;,&quot;container-title-short&quot;:&quot;Drugs&quot;,&quot;abstract&quot;:&quot;BACKGROUND: Recurrent Clostridioides difficile infection, associated with dysbiosis of gut microbiota, has substantial disease burden in the USA. RBX2660 is a live biotherapeutic product consisting of a broad consortium of microbes prepared from human stool that is under investigation for the reduction of recurrent C. difficile infection.METHODS: A randomized, double-blind, placebo-controlled, phase III study, with a Bayesian primary analysis integrating data from a previous phase IIb study, was conducted. Adults who had one or more C. difficile infection recurrences with a positive stool assay for C. difficile and who were previously treated with standard-of-care antibiotics were randomly assigned 2:1 to receive a subsequent blinded, single-dose enema of RBX2660 or placebo. The primary endpoint was treatment success, defined as the absence of C. difficile infection diarrhea within 8 weeks of study treatment.RESULTS: Of the 320 patients screened, 289 were randomly assigned and 267 received blinded treatment (n = 180, RBX2660; n = 87, placebo). Original model estimates of treatment success were 70.4% versus 58.1% with RBX2660 and placebo, respectively. However, after aligning the data to improve the exchangeability and interpretability of the Bayesian analysis, the model-estimated treatment success rate was 70.6% with RBX2660 versus 57.5% with placebo, with an estimated treatment effect of 13.1% and a posterior probability of superiority of 0.991. More than 90% of the participants who achieved treatment success at 8 weeks had sustained response through 6 months in both the RBX2660 and the placebo groups. Overall, RBX2660 was well tolerated, with manageable adverse events. The incidence of treatment-emergent adverse events was higher in RBX2660 recipients compared with placebo and was mostly driven by a higher incidence of mild gastrointestinal events.CONCLUSIONS: RBX2660 is a safe and effective treatment to reduce recurrent C. difficile infection following standard-of-care antibiotics with a sustained response through 6 months.CLINICAL TRIAL REGISTRATION: NCT03244644; 9 August, 2017.© 2022. The Author(s).&quot;,&quot;author&quot;:[{&quot;family&quot;:&quot;Khanna&quot;,&quot;given&quot;:&quot;Sahil&quot;},{&quot;family&quot;:&quot;Assi&quot;,&quot;given&quot;:&quot;Maha&quot;},{&quot;family&quot;:&quot;Lee&quot;,&quot;given&quot;:&quot;Christine&quot;},{&quot;family&quot;:&quot;Yoho&quot;,&quot;given&quot;:&quot;David&quot;},{&quot;family&quot;:&quot;Louie&quot;,&quot;given&quot;:&quot;Thomas&quot;},{&quot;family&quot;:&quot;Knapple&quot;,&quot;given&quot;:&quot;Whitfield&quot;},{&quot;family&quot;:&quot;Aguilar&quot;,&quot;given&quot;:&quot;Humberto&quot;},{&quot;family&quot;:&quot;Garcia-Diaz&quot;,&quot;given&quot;:&quot;Julia&quot;},{&quot;family&quot;:&quot;Wang&quot;,&quot;given&quot;:&quot;Gary P&quot;},{&quot;family&quot;:&quot;Berry&quot;,&quot;given&quot;:&quot;Scott M&quot;},{&quot;family&quot;:&quot;Marion&quot;,&quot;given&quot;:&quot;Joe&quot;},{&quot;family&quot;:&quot;Su&quot;,&quot;given&quot;:&quot;Xin&quot;},{&quot;family&quot;:&quot;Braun&quot;,&quot;given&quot;:&quot;Tricia&quot;},{&quot;family&quot;:&quot;Bancke&quot;,&quot;given&quot;:&quot;Lindy&quot;},{&quot;family&quot;:&quot;Feuerstadt&quot;,&quot;given&quot;:&quot;Paul&quot;}],&quot;issued&quot;:{&quot;date-parts&quot;:[[&quot;2022&quot;,&quot;10&quot;,&quot;26&quot;]]},&quot;DOI&quot;:&quot;10.1007/s40265-022-01797-x&quot;,&quot;PMID&quot;:&quot;36287379&quot;,&quot;PMCID&quot;:&quot;PMC9607700&quot;,&quot;citation-label&quot;:&quot;13849846&quot;},{&quot;title&quot;:&quot;Vowst's FDA approval is a boon for the prevention of recurrent Clostridioides difficile infection.&quot;,&quot;page&quot;:&quot;5852-5854&quot;,&quot;volume&quot;:&quot;85&quot;,&quot;issue&quot;:&quot;12&quot;,&quot;journalAbbreviation&quot;:&quot;Ann Med Surg (Lond)&quot;,&quot;id&quot;:&quot;18079840&quot;,&quot;type&quot;:&quot;article-journal&quot;,&quot;container-title&quot;:&quot;Annals of medicine and surgery (2012)&quot;,&quot;container-title-short&quot;:&quot;Ann Med Surg (Lond)&quot;,&quot;author&quot;:[{&quot;family&quot;:&quot;Anand&quot;,&quot;given&quot;:&quot;Ayush&quot;},{&quot;family&quot;:&quot;Parveen Shaikh&quot;,&quot;given&quot;:&quot;Nameera&quot;},{&quot;family&quot;:&quot;Aggarwal&quot;,&quot;given&quot;:&quot;Yash&quot;},{&quot;family&quot;:&quot;Fatima&quot;,&quot;given&quot;:&quot;Umaima&quot;},{&quot;family&quot;:&quot;Chapagain&quot;,&quot;given&quot;:&quot;Sanskriti&quot;},{&quot;family&quot;:&quot;Chidurala&quot;,&quot;given&quot;:&quot;Rahul&quot;},{&quot;family&quot;:&quot;Vaghela&quot;,&quot;given&quot;:&quot;Jenish&quot;},{&quot;family&quot;:&quot;Surana&quot;,&quot;given&quot;:&quot;Arihant&quot;},{&quot;family&quot;:&quot;Parikh&quot;,&quot;given&quot;:&quot;Charmy&quot;},{&quot;family&quot;:&quot;Patel&quot;,&quot;given&quot;:&quot;Raj H&quot;}],&quot;issued&quot;:{&quot;date-parts&quot;:[[&quot;2023&quot;,&quot;12&quot;]]},&quot;DOI&quot;:&quot;10.1097/MS9.0000000000001410&quot;,&quot;PMID&quot;:&quot;38098563&quot;,&quot;PMCID&quot;:&quot;PMC10718391&quot;,&quot;citation-label&quot;:&quot;18079840&quot;},{&quot;title&quot;:&quot;Metabolic ecology of microbiomes: Nutrient competition, host benefits, and community engineering.&quot;,&quot;page&quot;:&quot;790-807&quot;,&quot;volume&quot;:&quot;33&quot;,&quot;issue&quot;:&quot;6&quot;,&quot;journalAbbreviation&quot;:&quot;Cell Host Microbe&quot;,&quot;id&quot;:&quot;17952841&quot;,&quot;type&quot;:&quot;article-journal&quot;,&quot;container-title&quot;:&quot;Cell Host &amp; Microbe&quot;,&quot;container-title-short&quot;:&quot;Cell Host Microbe&quot;,&quot;abstract&quot;:&quot;Many plants and animals, including humans, host diverse communities of microbes that provide many benefits. A key challenge in understanding microbiomes is that the species composition often differs among individuals, which can thwart generalization. Here, we argue that the key to identifying general principles for microbiome science lies in microbial metabolism. In the human microbiome and in other systems, every microbial species must find ways to harvest nutrients to thrive. The available nutrients in a microbiome interact with microbial metabolism to define which species have the potential to persist in a host. The resulting nutrient competition shapes other mechanisms, including bacterial warfare and cross-feeding, to define microbiome composition and properties. We discuss impacts on ecological stability, colonization resistance, nutrient provision for the host, and evolution. A focus on the metabolic ecology of microbiomes offers a powerful way to understand and engineer microbiomes in health, agriculture, and the environment.Copyright © 2025 The Author(s). Published by Elsevier Inc. All rights reserved.&quot;,&quot;author&quot;:[{&quot;family&quot;:&quot;Bakkeren&quot;,&quot;given&quot;:&quot;Erik&quot;},{&quot;family&quot;:&quot;Piskovsky&quot;,&quot;given&quot;:&quot;Vit&quot;},{&quot;family&quot;:&quot;Foster&quot;,&quot;given&quot;:&quot;Kevin R&quot;}],&quot;issued&quot;:{&quot;date-parts&quot;:[[&quot;2025&quot;,&quot;6&quot;,&quot;11&quot;]]},&quot;DOI&quot;:&quot;10.1016/j.chom.2025.05.013&quot;,&quot;PMID&quot;:&quot;40505619&quot;,&quot;citation-label&quot;:&quot;17952841&quot;},{&quot;title&quot;:&quot;Mechanisms of maintenance of species diversity&quot;,&quot;page&quot;:&quot;343-366&quot;,&quot;volume&quot;:&quot;31&quot;,&quot;issue&quot;:&quot;1&quot;,&quot;journalAbbreviation&quot;:&quot;Annu. Rev. Ecol. Syst.&quot;,&quot;id&quot;:&quot;2837948&quot;,&quot;type&quot;:&quot;article-journal&quot;,&quot;container-title&quot;:&quot;Annual review of ecology and systematics&quot;,&quot;container-title-short&quot;:&quot;Annu. Rev. Ecol. Syst.&quot;,&quot;author&quot;:[{&quot;family&quot;:&quot;Chesson&quot;,&quot;given&quot;:&quot;Peter&quot;}],&quot;issued&quot;:{&quot;date-parts&quot;:[[&quot;2000&quot;,&quot;11&quot;]]},&quot;DOI&quot;:&quot;10.1146/annurev.ecolsys.31.1.343&quot;,&quot;citation-label&quot;:&quot;2837948&quot;},{&quot;title&quot;:&quot;Applying modern coexistence theory to priority effects.&quot;,&quot;page&quot;:&quot;6205-6210&quot;,&quot;volume&quot;:&quot;116&quot;,&quot;issue&quot;:&quot;13&quot;,&quot;journalAbbreviation&quot;:&quot;Proc Natl Acad Sci USA&quot;,&quot;id&quot;:&quot;9695927&quot;,&quot;type&quot;:&quot;article-journal&quot;,&quot;container-title&quot;:&quot;Proceedings of the National Academy of Sciences of the United States of America&quot;,&quot;container-title-short&quot;:&quot;Proc Natl Acad Sci USA&quot;,&quot;abstract&quot;:&quot;Modern coexistence theory is increasingly used to explain how differences between competing species lead to coexistence versus competitive exclusion. Although research testing this theory has focused on deterministic cases of competitive exclusion, in which the same species always wins, mounting evidence suggests that competitive exclusion is often historically contingent, such that whichever species happens to arrive first excludes the other. Coexistence theory predicts that historically contingent exclusion, known as priority effects, will occur when large destabilizing differences (positive frequency-dependent growth rates of competitors), combined with small fitness differences (differences in competitors' intrinsic growth rates and sensitivity to competition), create conditions under which neither species can invade an established population of its competitor. Here we extend the empirical application of modern coexistence theory to determine the conditions that promote priority effects. We conducted pairwise invasion tests with four strains of nectar-colonizing yeasts to determine how the destabilizing and fitness differences that drive priority effects are altered by two abiotic factors characterizing the nectar environment: sugar concentration and pH. We found that higher sugar concentrations increased the likelihood of priority effects by reducing fitness differences between competing species. In contrast, higher pH did not change the likelihood of priority effects, but instead made competition more neutral by bringing both fitness differences and destabilizing differences closer to zero. This study demonstrates how the empirical partitioning of priority effects into fitness and destabilizing components can elucidate the pathways through which environmental conditions shape competitive interactions.&quot;,&quot;author&quot;:[{&quot;family&quot;:&quot;Grainger&quot;,&quot;given&quot;:&quot;Tess Nahanni&quot;},{&quot;family&quot;:&quot;Letten&quot;,&quot;given&quot;:&quot;Andrew D&quot;},{&quot;family&quot;:&quot;Gilbert&quot;,&quot;given&quot;:&quot;Benjamin&quot;},{&quot;family&quot;:&quot;Fukami&quot;,&quot;given&quot;:&quot;Tadashi&quot;}],&quot;issued&quot;:{&quot;date-parts&quot;:[[&quot;2019&quot;,&quot;3&quot;,&quot;26&quot;]]},&quot;DOI&quot;:&quot;10.1073/pnas.1803122116&quot;,&quot;PMID&quot;:&quot;30850518&quot;,&quot;PMCID&quot;:&quot;PMC6442631&quot;,&quot;citation-label&quot;:&quot;9695927&quot;},{&quot;title&quot;:&quot;Modern coexistence theory as a framework for invasion ecology&quot;,&quot;page&quot;:&quot;1362-1375&quot;,&quot;volume&quot;:&quot;28&quot;,&quot;issue&quot;:&quot;11&quot;,&quot;journalAbbreviation&quot;:&quot;Biodiversity Science&quot;,&quot;id&quot;:&quot;18756664&quot;,&quot;type&quot;:&quot;article-journal&quot;,&quot;container-title&quot;:&quot;Biodiversity Science&quot;,&quot;container-title-short&quot;:&quot;Biodiversity Science&quot;,&quot;author&quot;:[{&quot;family&quot;:&quot;Yu&quot;,&quot;given&quot;:&quot;Wenbo&quot;},{&quot;family&quot;:&quot;Li&quot;,&quot;given&quot;:&quot;Shaopeng&quot;},{&quot;family&quot;:&quot;1 Zhejiang Tiantong Forest Ecosystem National Observation and Research Station, School of Ecological and Environmental Sciences, East China Normal University, Shanghai 2002412 Institute of Eco-Chongming, Shanghai 202162&quot;}],&quot;issued&quot;:{&quot;date-parts&quot;:[[&quot;2020&quot;]]},&quot;DOI&quot;:&quot;10.17520/biods.2020243&quot;,&quot;citation-label&quot;:&quot;18756664&quot;},{&quot;title&quot;:&quot;Niche partitioning facilitates coexistence of closely related honey bee gut bacteria.&quot;,&quot;volume&quot;:&quot;10&quot;,&quot;journalAbbreviation&quot;:&quot;eLife&quot;,&quot;id&quot;:&quot;13368338&quot;,&quot;type&quot;:&quot;article-journal&quot;,&quot;container-title&quot;:&quot;eLife&quot;,&quot;container-title-short&quot;:&quot;eLife&quot;,&quot;abstract&quot;:&quot;Ecological processes underlying bacterial coexistence in the gut are not well understood. Here, we disentangled the effect of the host and the diet on the coexistence of four closely related Lactobacillus species colonizing the honey bee gut. We serially passaged the four species through gnotobiotic bees and in liquid cultures in the presence of either pollen (bee diet) or simple sugars. Although the four species engaged in negative interactions, they were able to stably coexist, both in vivo and in vitro. However, coexistence was only possible in the presence of pollen, and not in simple sugars, independent of the environment. Using metatranscriptomics and metabolomics, we found that the four species utilize different pollen-derived carbohydrate substrates indicating resource partitioning as the basis of coexistence. Our results show that despite longstanding host association, gut bacterial interactions can be recapitulated in vitro providing insights about bacterial coexistence when combined with in vivo experiments.© 2021, Brochet et al.&quot;,&quot;author&quot;:[{&quot;family&quot;:&quot;Brochet&quot;,&quot;given&quot;:&quot;Silvia&quot;},{&quot;family&quot;:&quot;Quinn&quot;,&quot;given&quot;:&quot;Andrew&quot;},{&quot;family&quot;:&quot;Mars&quot;,&quot;given&quot;:&quot;Ruben A T&quot;},{&quot;family&quot;:&quot;Neuschwander&quot;,&quot;given&quot;:&quot;Nicolas&quot;},{&quot;family&quot;:&quot;Sauer&quot;,&quot;given&quot;:&quot;Uwe&quot;},{&quot;family&quot;:&quot;Engel&quot;,&quot;given&quot;:&quot;Philipp&quot;}],&quot;issued&quot;:{&quot;date-parts&quot;:[[&quot;2021&quot;,&quot;7&quot;,&quot;19&quot;]]},&quot;DOI&quot;:&quot;10.7554/eLife.68583&quot;,&quot;PMID&quot;:&quot;34279218&quot;,&quot;PMCID&quot;:&quot;PMC8456714&quot;,&quot;citation-label&quot;:&quot;13368338&quot;},{&quot;title&quot;:&quot;Strain displacement in microbiomes via ecological competition&quot;,&quot;journalAbbreviation&quot;:&quot;Nat. Microbiol.&quot;,&quot;id&quot;:&quot;18389790&quot;,&quot;type&quot;:&quot;article-journal&quot;,&quot;container-title&quot;:&quot;Nature Microbiology&quot;,&quot;container-title-short&quot;:&quot;Nat. Microbiol.&quot;,&quot;abstract&quot;:&quot;Microorganisms commonly live in diverse communities where changes in composition can be critical for health, industry and the environment. Yet, what enables one strain to competitively replace another in these complex conditions remains poorly understood. Here we develop a mathematical model to determine general principles of strain displacement. Our modelling reveals that weak resource competition enables successful invasion while strong interference competition, for example, via antimicrobial production, enables successful displacement. We verify these predictions using in vitro assays with genetically engineered Escherichia coli . We then apply our principles to displace multidrug-resistant clinical isolates using strains that are equipped with a potent bacteriocin. Finally, we perform experiments with diverse human gut symbionts, which reveal that displacement relies on low resource competition not only between competing strains but also with the broader community, that is, limited nutrient blocking. These general rules for ecological success in microbial communities could be applied for targeted displacement of bacteria.&quot;,&quot;author&quot;:[{&quot;family&quot;:&quot;Bakkeren&quot;,&quot;given&quot;:&quot;Erik&quot;},{&quot;family&quot;:&quot;Piskovsky&quot;,&quot;given&quot;:&quot;Vit&quot;},{&quot;family&quot;:&quot;Lee&quot;,&quot;given&quot;:&quot;Megan N. Y.&quot;},{&quot;family&quot;:&quot;Jahn&quot;,&quot;given&quot;:&quot;Martin T.&quot;},{&quot;family&quot;:&quot;Foster&quot;,&quot;given&quot;:&quot;Kevin R.&quot;}],&quot;issued&quot;:{&quot;date-parts&quot;:[[&quot;2025&quot;,&quot;11&quot;,&quot;7&quot;]]},&quot;DOI&quot;:&quot;10.1038/s41564-025-02162-w&quot;,&quot;citation-label&quot;:&quot;18389790&quot;},{&quot;title&quot;:&quot;Resource competition predicts assembly of gut bacterial communities in vitro.&quot;,&quot;page&quot;:&quot;1036-1048&quot;,&quot;volume&quot;:&quot;9&quot;,&quot;issue&quot;:&quot;4&quot;,&quot;journalAbbreviation&quot;:&quot;Nat. Microbiol.&quot;,&quot;id&quot;:&quot;16216059&quot;,&quot;type&quot;:&quot;article-journal&quot;,&quot;container-title&quot;:&quot;Nature Microbiology&quot;,&quot;container-title-short&quot;:&quot;Nat. Microbiol.&quot;,&quot;abstract&quot;:&quot;Microbial community dynamics arise through interspecies interactions, including resource competition, cross-feeding and pH modulation. The individual contributions of these mechanisms to community structure are challenging to untangle. Here we develop a framework to estimate multispecies niche overlaps by combining metabolomics data of individual species, growth measurements in spent media and mathematical models. We applied our framework to an in vitro model system comprising 15 human gut commensals in complex media and showed that a simple model of resource competition accounted for most pairwise interactions. Next, we built a coarse-grained consumer-resource model by grouping metabolomic features depleted by the same set of species and showed that this model predicted the composition of 2-member to 15-member communities with reasonable accuracy. Furthermore, we found that incorporation of cross-feeding and pH-mediated interactions improved model predictions of species coexistence. Our theoretical model and experimental framework can be applied to characterize interspecies interactions in bacterial communities in vitro.© 2024. The Author(s), under exclusive licence to Springer Nature Limited.&quot;,&quot;author&quot;:[{&quot;family&quot;:&quot;Ho&quot;,&quot;given&quot;:&quot;Po-Yi&quot;},{&quot;family&quot;:&quot;Nguyen&quot;,&quot;given&quot;:&quot;Taylor H&quot;},{&quot;family&quot;:&quot;Sanchez&quot;,&quot;given&quot;:&quot;Juan M&quot;},{&quot;family&quot;:&quot;DeFelice&quot;,&quot;given&quot;:&quot;Brian C&quot;},{&quot;family&quot;:&quot;Huang&quot;,&quot;given&quot;:&quot;Kerwyn Casey&quot;}],&quot;issued&quot;:{&quot;date-parts&quot;:[[&quot;2024&quot;,&quot;4&quot;]]},&quot;DOI&quot;:&quot;10.1038/s41564-024-01625-w&quot;,&quot;PMID&quot;:&quot;38486074&quot;,&quot;citation-label&quot;:&quot;16216059&quot;},{&quot;title&quot;:&quot;Host Immune Responses to Clostridioides difficile: Toxins and Beyond.&quot;,&quot;page&quot;:&quot;804949&quot;,&quot;volume&quot;:&quot;12&quot;,&quot;journalAbbreviation&quot;:&quot;Front. Microbiol.&quot;,&quot;id&quot;:&quot;12178356&quot;,&quot;type&quot;:&quot;article-journal&quot;,&quot;container-title&quot;:&quot;Frontiers in Microbiology&quot;,&quot;container-title-short&quot;:&quot;Front. Microbiol.&quot;,&quot;abstract&quot;:&quot;Clostridioides difficile is often resistant to the actions of antibiotics to treat other bacterial infections and the resulting C. difficile infection (CDI) is among the leading causes of nosocomial infectious diarrhea worldwide. The primary virulence mechanism contributing to CDI is the production of toxins. Treatment failures and recurrence of CDI have urged the medical community to search for novel treatment options. Strains that do not produce toxins, so called non-toxigenic C. difficile, have been known to colonize the colon and protect the host against CDI. In this review, a comprehensive description and comparison of the immune responses to toxigenic C. difficile and non-toxigenic adherence, and colonization factors, here called non-toxin proteins, is provided. This revealed a number of similarities between the host immune responses to toxigenic C. difficile and non-toxin proteins, such as the influx of granulocytes and the type of T-cell response. Differences may reflect genuine variation between the responses to toxigenic or non-toxigenic C. difficile or gaps in the current knowledge with respect to the immune response toward non-toxigenic C. difficile. Toxin-based and non-toxin-based immunization studies have been evaluated to further explore the role of B cells and reveal that plasma cells are important in protection against CDI. Since the success of toxin-based interventions in humans to date is limited, it is vital that future research will focus on the immune responses to non-toxin proteins and in particular non-toxigenic strains.Copyright © 2021 Nibbering, Gerding, Kuijper, Zwittink and Smits.&quot;,&quot;author&quot;:[{&quot;family&quot;:&quot;Nibbering&quot;,&quot;given&quot;:&quot;Britt&quot;},{&quot;family&quot;:&quot;Gerding&quot;,&quot;given&quot;:&quot;Dale N&quot;},{&quot;family&quot;:&quot;Kuijper&quot;,&quot;given&quot;:&quot;Ed J&quot;},{&quot;family&quot;:&quot;Zwittink&quot;,&quot;given&quot;:&quot;Romy D&quot;},{&quot;family&quot;:&quot;Smits&quot;,&quot;given&quot;:&quot;Wiep Klaas&quot;}],&quot;issued&quot;:{&quot;date-parts&quot;:[[&quot;2021&quot;,&quot;12&quot;,&quot;21&quot;]]},&quot;DOI&quot;:&quot;10.3389/fmicb.2021.804949&quot;,&quot;PMID&quot;:&quot;34992590&quot;,&quot;PMCID&quot;:&quot;PMC8724541&quot;,&quot;citation-label&quot;:&quot;12178356&quot;},{&quot;title&quot;:&quot;Ecological modeling from time-series inference: insight into dynamics and stability of intestinal microbiota.&quot;,&quot;page&quot;:&quot;e1003388&quot;,&quot;volume&quot;:&quot;9&quot;,&quot;issue&quot;:&quot;12&quot;,&quot;journalAbbreviation&quot;:&quot;PLoS Comput. Biol.&quot;,&quot;id&quot;:&quot;32482&quot;,&quot;type&quot;:&quot;article-journal&quot;,&quot;container-title&quot;:&quot;PLoS Computational Biology&quot;,&quot;container-title-short&quot;:&quot;PLoS Comput. Biol.&quot;,&quot;abstract&quot;:&quot;The intestinal microbiota is a microbial ecosystem of crucial importance to human health. Understanding how the microbiota confers resistance against enteric pathogens and how antibiotics disrupt that resistance is key to the prevention and cure of intestinal infections. We present a novel method to infer microbial community ecology directly from time-resolved metagenomics. This method extends generalized Lotka-Volterra dynamics to account for external perturbations. Data from recent experiments on antibiotic-mediated Clostridium difficile infection is analyzed to quantify microbial interactions, commensal-pathogen interactions, and the effect of the antibiotic on the community. Stability analysis reveals that the microbiota is intrinsically stable, explaining how antibiotic perturbations and C. difficile inoculation can produce catastrophic shifts that persist even after removal of the perturbations. Importantly, the analysis suggests a subnetwork of bacterial groups implicated in protection against C. difficile. Due to its generality, our method can be applied to any high-resolution ecological time-series data to infer community structure and response to external stimuli.&quot;,&quot;author&quot;:[{&quot;family&quot;:&quot;Stein&quot;,&quot;given&quot;:&quot;Richard R&quot;},{&quot;family&quot;:&quot;Bucci&quot;,&quot;given&quot;:&quot;Vanni&quot;},{&quot;family&quot;:&quot;Toussaint&quot;,&quot;given&quot;:&quot;Nora C&quot;},{&quot;family&quot;:&quot;Buffie&quot;,&quot;given&quot;:&quot;Charlie G&quot;},{&quot;family&quot;:&quot;Rätsch&quot;,&quot;given&quot;:&quot;Gunnar&quot;},{&quot;family&quot;:&quot;Pamer&quot;,&quot;given&quot;:&quot;Eric G&quot;},{&quot;family&quot;:&quot;Sander&quot;,&quot;given&quot;:&quot;Chris&quot;},{&quot;family&quot;:&quot;Xavier&quot;,&quot;given&quot;:&quot;João B&quot;}],&quot;issued&quot;:{&quot;date-parts&quot;:[[&quot;2013&quot;,&quot;12&quot;,&quot;12&quot;]]},&quot;DOI&quot;:&quot;10.1371/journal.pcbi.1003388&quot;,&quot;PMID&quot;:&quot;24348232&quot;,&quot;PMCID&quot;:&quot;PMC3861043&quot;,&quot;citation-label&quot;:&quot;32482&quot;},{&quot;title&quot;:&quot;A new method for non-parametric multivariate analysis of variance&quot;,&quot;page&quot;:&quot;32-46&quot;,&quot;volume&quot;:&quot;26&quot;,&quot;issue&quot;:&quot;1&quot;,&quot;journalAbbreviation&quot;:&quot;Austral Ecol.&quot;,&quot;id&quot;:&quot;1431594&quot;,&quot;type&quot;:&quot;article-journal&quot;,&quot;container-title&quot;:&quot;Austral ecology&quot;,&quot;container-title-short&quot;:&quot;Austral Ecol.&quot;,&quot;author&quot;:[{&quot;family&quot;:&quot;Anderson&quot;,&quot;given&quot;:&quot;Marti J.&quot;}],&quot;issued&quot;:{&quot;date-parts&quot;:[[&quot;2001&quot;,&quot;2&quot;]]},&quot;DOI&quot;:&quot;10.1111/j.1442-9993.2001.01070.pp.x&quot;,&quot;citation-label&quot;:&quot;1431594&quot;},{&quot;title&quot;:&quot;Antibiotic-Induced Alterations of the Gut Microbiota Alter Secondary Bile Acid Production and Allow for Clostridium difficile Spore Germination and Outgrowth in the Large Intestine.&quot;,&quot;volume&quot;:&quot;1&quot;,&quot;issue&quot;:&quot;1&quot;,&quot;journalAbbreviation&quot;:&quot;mSphere&quot;,&quot;id&quot;:&quot;1945039&quot;,&quot;type&quot;:&quot;article-journal&quot;,&quot;container-title&quot;:&quot;mSphere&quot;,&quot;container-title-short&quot;:&quot;mSphere&quot;,&quot;author&quot;:[{&quot;family&quot;:&quot;Theriot&quot;,&quot;given&quot;:&quot;Casey M&quot;},{&quot;family&quot;:&quot;Bowman&quot;,&quot;given&quot;:&quot;Alison A&quot;},{&quot;family&quot;:&quot;Young&quot;,&quot;given&quot;:&quot;Vincent B&quot;}],&quot;issued&quot;:{&quot;date-parts&quot;:[[&quot;2016&quot;,&quot;1&quot;,&quot;6&quot;]]},&quot;DOI&quot;:&quot;10.1128/mSphere.00045-15&quot;,&quot;PMID&quot;:&quot;27239562&quot;,&quot;PMCID&quot;:&quot;PMC4863611&quot;,&quot;citation-label&quot;:&quot;1945039&quot;},{&quot;title&quot;:&quot;Clostridium difficile Colonizes Alternative Nutrient Niches during Infection across Distinct Murine Gut Microbiomes.&quot;,&quot;volume&quot;:&quot;2&quot;,&quot;issue&quot;:&quot;4&quot;,&quot;journalAbbreviation&quot;:&quot;mSystems&quot;,&quot;id&quot;:&quot;5080445&quot;,&quot;type&quot;:&quot;article-journal&quot;,&quot;container-title&quot;:&quot;mSystems&quot;,&quot;container-title-short&quot;:&quot;mSystems&quot;,&quot;author&quot;:[{&quot;family&quot;:&quot;Jenior&quot;,&quot;given&quot;:&quot;Matthew L&quot;},{&quot;family&quot;:&quot;Leslie&quot;,&quot;given&quot;:&quot;Jhansi L&quot;},{&quot;family&quot;:&quot;Young&quot;,&quot;given&quot;:&quot;Vincent B&quot;},{&quot;family&quot;:&quot;Schloss&quot;,&quot;given&quot;:&quot;Patrick D&quot;}],&quot;issued&quot;:{&quot;date-parts&quot;:[[&quot;2017&quot;,&quot;8&quot;]]},&quot;DOI&quot;:&quot;10.1128/mSystems.00063-17&quot;,&quot;PMID&quot;:&quot;28761936&quot;,&quot;PMCID&quot;:&quot;PMC5527303&quot;,&quot;citation-label&quot;:&quot;5080445&quot;},{&quot;title&quot;:&quot;Metabolic Reprogramming of Clostridioides difficile During the Stationary Phase With the Induction of Toxin Production.&quot;,&quot;page&quot;:&quot;1970&quot;,&quot;volume&quot;:&quot;9&quot;,&quot;journalAbbreviation&quot;:&quot;Front. Microbiol.&quot;,&quot;id&quot;:&quot;12198083&quot;,&quot;type&quot;:&quot;article-journal&quot;,&quot;container-title&quot;:&quot;Frontiers in Microbiology&quot;,&quot;container-title-short&quot;:&quot;Front. Microbiol.&quot;,&quot;abstract&quot;:&quot;The obligate anaerobe, spore forming bacterium Clostridioides difficile (formerly Clostridium difficile) causes nosocomial and community acquired diarrhea often associated with antibiotic therapy. Major virulence factors of the bacterium are the two large clostridial toxins TcdA and TcdB. The production of both toxins was found strongly connected to the metabolism and the nutritional status of the growth environment. Here, we systematically investigated the changes of the gene regulatory, proteomic and metabolic networks of C. difficile 630Δerm underlying the adaptation to the non-growing state in the stationary phase. Integrated data from time-resolved transcriptome, proteome and metabolome investigations performed under defined growth conditions uncovered multiple adaptation strategies. Overall changes in the cellular processes included the downregulation of ribosome production, lipid metabolism, cold shock proteins, spermine biosynthesis, and glycolysis and in the later stages of riboflavin and coenzyme A (CoA) biosynthesis. In contrast, different chaperones, several fermentation pathways, and cysteine, serine, and pantothenate biosynthesis were found upregulated. Focusing on the Stickland amino acid fermentation and the central carbon metabolism, we discovered the ability of C. difficile to replenish its favored amino acid cysteine by a pathway starting from the glycolytic 3-phosphoglycerate via L-serine as intermediate. Following the growth course, the reductive equivalent pathways used were sequentially shifted from proline via leucine/phenylalanine to the central carbon metabolism first to butanoate fermentation and then further to lactate fermentation. The toxin production was found correlated mainly to fluxes of the central carbon metabolism. Toxin formation in the supernatant was detected when the flux changed from butanoate to lactate synthesis in the late stationary phase. The holistic view derived from the combination of transcriptome, proteome and metabolome data allowed us to uncover the major metabolic strategies that are used by the clostridial cells to maintain its cellular homeostasis and ensure survival under starvation conditions.&quot;,&quot;author&quot;:[{&quot;family&quot;:&quot;Hofmann&quot;,&quot;given&quot;:&quot;Julia D&quot;},{&quot;family&quot;:&quot;Otto&quot;,&quot;given&quot;:&quot;Andreas&quot;},{&quot;family&quot;:&quot;Berges&quot;,&quot;given&quot;:&quot;Mareike&quot;},{&quot;family&quot;:&quot;Biedendieck&quot;,&quot;given&quot;:&quot;Rebekka&quot;},{&quot;family&quot;:&quot;Michel&quot;,&quot;given&quot;:&quot;Annika-Marisa&quot;},{&quot;family&quot;:&quot;Becher&quot;,&quot;given&quot;:&quot;Dörte&quot;},{&quot;family&quot;:&quot;Jahn&quot;,&quot;given&quot;:&quot;Dieter&quot;},{&quot;family&quot;:&quot;Neumann-Schaal&quot;,&quot;given&quot;:&quot;Meina&quot;}],&quot;issued&quot;:{&quot;date-parts&quot;:[[&quot;2018&quot;,&quot;8&quot;,&quot;21&quot;]]},&quot;DOI&quot;:&quot;10.3389/fmicb.2018.01970&quot;,&quot;PMID&quot;:&quot;30186274&quot;,&quot;PMCID&quot;:&quot;PMC6110889&quot;,&quot;citation-label&quot;:&quot;12198083&quot;},{&quot;title&quot;:&quot;Microbiota-mediated colonization resistance against intestinal pathogens.&quot;,&quot;page&quot;:&quot;790-801&quot;,&quot;volume&quot;:&quot;13&quot;,&quot;issue&quot;:&quot;11&quot;,&quot;journalAbbreviation&quot;:&quot;Nat. Rev. Immunol.&quot;,&quot;id&quot;:&quot;241439&quot;,&quot;type&quot;:&quot;article-journal&quot;,&quot;container-title&quot;:&quot;Nature Reviews. Immunology&quot;,&quot;container-title-short&quot;:&quot;Nat. Rev. Immunol.&quot;,&quot;abstract&quot;:&quot;Commensal bacteria inhabit mucosal and epidermal surfaces in mice and humans, and have effects on metabolic and immune pathways in their hosts. Recent studies indicate that the commensal microbiota can be manipulated to prevent and even to cure infections that are caused by pathogenic bacteria, particularly pathogens that are broadly resistant to antibiotics, such as vancomycin-resistant Enterococcus faecium, Gram-negative Enterobacteriaceae and Clostridium difficile. In this Review, we discuss how immune- mediated colonization resistance against antibiotic-resistant intestinal pathogens is influenced by the composition of the commensal microbiota. We also review recent advances characterizing the ability of different commensal bacterial families, genera and species to restore colonization resistance to intestinal pathogens in antibiotic-treated hosts.&quot;,&quot;author&quot;:[{&quot;family&quot;:&quot;Buffie&quot;,&quot;given&quot;:&quot;Charlie G&quot;},{&quot;family&quot;:&quot;Pamer&quot;,&quot;given&quot;:&quot;Eric G&quot;}],&quot;issued&quot;:{&quot;date-parts&quot;:[[&quot;2013&quot;,&quot;11&quot;]]},&quot;DOI&quot;:&quot;10.1038/nri3535&quot;,&quot;PMID&quot;:&quot;24096337&quot;,&quot;PMCID&quot;:&quot;PMC4194195&quot;,&quot;citation-label&quot;:&quot;241439&quot;},{&quot;title&quot;:&quot;Multispecies competition in variable environments&quot;,&quot;page&quot;:&quot;227-276&quot;,&quot;volume&quot;:&quot;45&quot;,&quot;issue&quot;:&quot;3&quot;,&quot;journalAbbreviation&quot;:&quot;Theor. Popul. Biol.&quot;,&quot;id&quot;:&quot;8307239&quot;,&quot;type&quot;:&quot;article-journal&quot;,&quot;container-title&quot;:&quot;Theoretical Population Biology&quot;,&quot;container-title-short&quot;:&quot;Theor. Popul. Biol.&quot;,&quot;abstract&quot;:&quot;A general model of competition between several species in a variable environment is presented and analyzed using a general method that unifies treatment of different specific models. This method yields broad conclusions that are independent of the details of a model. It is used here to show that mechanisms of coexistence and competitive exclusion are largely restricted to three broad categories. One of these categories includes classical mechanisms that do not depend on fluctuations over time. Another category includes mechanisms which may be referred to collectively as the storage effect. These mechanisms involve species-specific responses to environmental fluctuations, a relationship between fluctuations in competition and fluctuations in the environment, and an interaction between environment and competition. The final category depends on fluctuating competition and nonlinear responses to competition that differ between species. These general results are illustrated with analyses of several specific models, including a Lotka-Volterra model, a model of nonlinear resource consumption, and models of recruitment fluctuations for iteroparous organisms and for annual plants.&quot;,&quot;author&quot;:[{&quot;family&quot;:&quot;Chesson&quot;,&quot;given&quot;:&quot;P&quot;}],&quot;issued&quot;:{&quot;date-parts&quot;:[[&quot;1994&quot;,&quot;6&quot;]]},&quot;DOI&quot;:&quot;10.1006/tpbi.1994.1013&quot;,&quot;citation-label&quot;:&quot;8307239&quot;},{&quot;title&quot;:&quot;High throughput ANI analysis of 90K prokaryotic genomes reveals clear species boundaries.&quot;,&quot;page&quot;:&quot;5114&quot;,&quot;volume&quot;:&quot;9&quot;,&quot;issue&quot;:&quot;1&quot;,&quot;journalAbbreviation&quot;:&quot;Nat. Commun.&quot;,&quot;id&quot;:&quot;6087081&quot;,&quot;type&quot;:&quot;article-journal&quot;,&quot;container-title&quot;:&quot;Nature Communications&quot;,&quot;container-title-short&quot;:&quot;Nat. Commun.&quot;,&quot;abstract&quot;:&quot;A fundamental question in microbiology is whether there is continuum of genetic diversity among genomes, or clear species boundaries prevail instead. Whole-genome similarity metrics such as Average Nucleotide Identity (ANI) help address this question by facilitating high resolution taxonomic analysis of thousands of genomes from diverse phylogenetic lineages. To scale to available genomes and beyond, we present FastANI, a new method to estimate ANI using alignment-free approximate sequence mapping. FastANI is accurate for both finished and draft genomes, and is up to three orders of magnitude faster compared to alignment-based approaches. We leverage FastANI to compute pairwise ANI values among all prokaryotic genomes available in the NCBI database. Our results reveal clear genetic discontinuity, with 99.8% of the total 8 billion genome pairs analyzed conforming to &gt;95% intra-species and &lt; 83% inter-species ANI values. This discontinuity is manifested with or without the most frequently sequenced species, and is robust to historic additions in the genome databases.&quot;,&quot;author&quot;:[{&quot;family&quot;:&quot;Jain&quot;,&quot;given&quot;:&quot;Chirag&quot;},{&quot;family&quot;:&quot;Rodriguez-R&quot;,&quot;given&quot;:&quot;Luis M&quot;},{&quot;family&quot;:&quot;Phillippy&quot;,&quot;given&quot;:&quot;Adam M&quot;},{&quot;family&quot;:&quot;Konstantinidis&quot;,&quot;given&quot;:&quot;Konstantinos T&quot;},{&quot;family&quot;:&quot;Aluru&quot;,&quot;given&quot;:&quot;Srinivas&quot;}],&quot;issued&quot;:{&quot;date-parts&quot;:[[&quot;2018&quot;,&quot;11&quot;,&quot;30&quot;]]},&quot;DOI&quot;:&quot;10.1038/s41467-018-07641-9&quot;,&quot;PMID&quot;:&quot;30504855&quot;,&quot;PMCID&quot;:&quot;PMC6269478&quot;,&quot;citation-label&quot;:&quot;6087081&quot;},{&quot;title&quot;:&quot;Reconstitution of the gut microbiota of antibiotic-treated patients by autologous fecal microbiota transplant.&quot;,&quot;volume&quot;:&quot;10&quot;,&quot;issue&quot;:&quot;460&quot;,&quot;journalAbbreviation&quot;:&quot;Sci. Transl. Med.&quot;,&quot;id&quot;:&quot;5798995&quot;,&quot;type&quot;:&quot;article-journal&quot;,&quot;container-title&quot;:&quot;Science Translational Medicine&quot;,&quot;container-title-short&quot;:&quot;Sci. Transl. Med.&quot;,&quot;abstract&quot;:&quot;Antibiotic treatment can deplete the commensal bacteria of a patient's gut microbiota and, paradoxically, increase their risk of subsequent infections. In allogeneic hematopoietic stem cell transplantation (allo-HSCT), antibiotic administration is essential for optimal clinical outcomes but significantly disrupts intestinal microbiota diversity, leading to loss of many beneficial microbes. Although gut microbiota diversity loss during allo-HSCT is associated with increased mortality, approaches to reestablish depleted commensal bacteria have yet to be developed. We have initiated a randomized, controlled clinical trial of autologous fecal microbiota transplantation (auto-FMT) versus no intervention and have analyzed the intestinal microbiota profiles of 25 allo-HSCT patients (14 who received auto-FMT treatment and 11 control patients who did not). Changes in gut microbiota diversity and composition revealed that the auto-FMT intervention boosted microbial diversity and reestablished the intestinal microbiota composition that the patient had before antibiotic treatment and allo-HSCT. These results demonstrate the potential for fecal sample banking and posttreatment remediation of a patient's gut microbiota after microbiota-depleting antibiotic treatment during allo-HSCT.Copyright © 2018 The Authors, some rights reserved; exclusive licensee American Association for the Advancement of Science. No claim to original U.S. Government Works.&quot;,&quot;author&quot;:[{&quot;family&quot;:&quot;Taur&quot;,&quot;given&quot;:&quot;Ying&quot;},{&quot;family&quot;:&quot;Coyte&quot;,&quot;given&quot;:&quot;Katharine&quot;},{&quot;family&quot;:&quot;Schluter&quot;,&quot;given&quot;:&quot;Jonas&quot;},{&quot;family&quot;:&quot;Robilotti&quot;,&quot;given&quot;:&quot;Elizabeth&quot;},{&quot;family&quot;:&quot;Figueroa&quot;,&quot;given&quot;:&quot;Cesar&quot;},{&quot;family&quot;:&quot;Gjonbalaj&quot;,&quot;given&quot;:&quot;Mergim&quot;},{&quot;family&quot;:&quot;Littmann&quot;,&quot;given&quot;:&quot;Eric R&quot;},{&quot;family&quot;:&quot;Ling&quot;,&quot;given&quot;:&quot;Lilan&quot;},{&quot;family&quot;:&quot;Miller&quot;,&quot;given&quot;:&quot;Liza&quot;},{&quot;family&quot;:&quot;Gyaltshen&quot;,&quot;given&quot;:&quot;Yangtsho&quot;},{&quot;family&quot;:&quot;Fontana&quot;,&quot;given&quot;:&quot;Emily&quot;},{&quot;family&quot;:&quot;Morjaria&quot;,&quot;given&quot;:&quot;Sejal&quot;},{&quot;family&quot;:&quot;Gyurkocza&quot;,&quot;given&quot;:&quot;Boglarka&quot;},{&quot;family&quot;:&quot;Perales&quot;,&quot;given&quot;:&quot;Miguel-Angel&quot;},{&quot;family&quot;:&quot;Castro-Malaspina&quot;,&quot;given&quot;:&quot;Hugo&quot;},{&quot;family&quot;:&quot;Tamari&quot;,&quot;given&quot;:&quot;Roni&quot;},{&quot;family&quot;:&quot;Ponce&quot;,&quot;given&quot;:&quot;Doris&quot;},{&quot;family&quot;:&quot;Koehne&quot;,&quot;given&quot;:&quot;Guenther&quot;},{&quot;family&quot;:&quot;Barker&quot;,&quot;given&quot;:&quot;Juliet&quot;},{&quot;family&quot;:&quot;Jakubowski&quot;,&quot;given&quot;:&quot;Ann&quot;},{&quot;family&quot;:&quot;Papadopoulos&quot;,&quot;given&quot;:&quot;Esperanza&quot;},{&quot;family&quot;:&quot;Dahi&quot;,&quot;given&quot;:&quot;Parastoo&quot;},{&quot;family&quot;:&quot;Sauter&quot;,&quot;given&quot;:&quot;Craig&quot;},{&quot;family&quot;:&quot;Shaffer&quot;,&quot;given&quot;:&quot;Brian&quot;},{&quot;family&quot;:&quot;Young&quot;,&quot;given&quot;:&quot;James W&quot;},{&quot;family&quot;:&quot;Peled&quot;,&quot;given&quot;:&quot;Jonathan&quot;},{&quot;family&quot;:&quot;Meagher&quot;,&quot;given&quot;:&quot;Richard C&quot;},{&quot;family&quot;:&quot;Jenq&quot;,&quot;given&quot;:&quot;Robert R&quot;},{&quot;family&quot;:&quot;van den Brink&quot;,&quot;given&quot;:&quot;Marcel R M&quot;},{&quot;family&quot;:&quot;Giralt&quot;,&quot;given&quot;:&quot;Sergio A&quot;},{&quot;family&quot;:&quot;Pamer&quot;,&quot;given&quot;:&quot;Eric G&quot;},{&quot;family&quot;:&quot;Xavier&quot;,&quot;given&quot;:&quot;Joao B&quot;}],&quot;issued&quot;:{&quot;date-parts&quot;:[[&quot;2018&quot;,&quot;9&quot;,&quot;26&quot;]]},&quot;DOI&quot;:&quot;10.1126/scitranslmed.aap9489&quot;,&quot;PMID&quot;:&quot;30257956&quot;,&quot;PMCID&quot;:&quot;PMC6468978&quot;,&quot;citation-label&quot;:&quot;5798995&quot;},{&quot;title&quot;:&quot;Oral bacteria relative abundance in faeces increases due to gut microbiota depletion and is linked with patient outcomes.&quot;,&quot;page&quot;:&quot;1555-1565&quot;,&quot;volume&quot;:&quot;9&quot;,&quot;issue&quot;:&quot;6&quot;,&quot;journalAbbreviation&quot;:&quot;Nat. Microbiol.&quot;,&quot;id&quot;:&quot;16417489&quot;,&quot;type&quot;:&quot;article-journal&quot;,&quot;container-title&quot;:&quot;Nature Microbiology&quot;,&quot;container-title-short&quot;:&quot;Nat. Microbiol.&quot;,&quot;abstract&quot;:&quot;The detection of oral bacteria in faecal samples has been associated with inflammation and intestinal diseases. The increased relative abundance of oral bacteria in faeces has two competing explanations: either oral bacteria invade the gut ecosystem and expand (the 'expansion' hypothesis), or oral bacteria transit through the gut and their relative increase marks the depletion of other gut bacteria (the 'marker' hypothesis). Here we collected oral and faecal samples from mouse models of gut dysbiosis (antibiotic treatment and DSS-induced colitis) and used 16S ribosomal RNA sequencing to determine the abundance dynamics of oral bacteria. We found that the relative, but not absolute, abundance of oral bacteria increases, reflecting the 'marker' hypothesis. Faecal microbiome datasets from diverse patient cohorts, including healthy individuals and patients with allogeneic haematopoietic cell transplantation or inflammatory bowel disease, consistently support the 'marker' hypothesis and explain associations between oral bacterial abundance and patient outcomes consistent with depleted gut microbiota. By distinguishing between the two hypotheses, our study guides the interpretation of microbiome compositional data and could potentially identify cases where therapies are needed to rebuild the resident microbiome rather than protect against invading oral bacteria.© 2024. The Author(s), under exclusive licence to Springer Nature Limited.&quot;,&quot;author&quot;:[{&quot;family&quot;:&quot;Liao&quot;,&quot;given&quot;:&quot;Chen&quot;},{&quot;family&quot;:&quot;Rolling&quot;,&quot;given&quot;:&quot;Thierry&quot;},{&quot;family&quot;:&quot;Djukovic&quot;,&quot;given&quot;:&quot;Ana&quot;},{&quot;family&quot;:&quot;Fei&quot;,&quot;given&quot;:&quot;Teng&quot;},{&quot;family&quot;:&quot;Mishra&quot;,&quot;given&quot;:&quot;Vishwas&quot;},{&quot;family&quot;:&quot;Liu&quot;,&quot;given&quot;:&quot;Hongbin&quot;},{&quot;family&quot;:&quot;Lindberg&quot;,&quot;given&quot;:&quot;Chloe&quot;},{&quot;family&quot;:&quot;Dai&quot;,&quot;given&quot;:&quot;Lei&quot;},{&quot;family&quot;:&quot;Zhai&quot;,&quot;given&quot;:&quot;Bing&quot;},{&quot;family&quot;:&quot;Peled&quot;,&quot;given&quot;:&quot;Jonathan U&quot;},{&quot;family&quot;:&quot;van den Brink&quot;,&quot;given&quot;:&quot;Marcel R M&quot;},{&quot;family&quot;:&quot;Hohl&quot;,&quot;given&quot;:&quot;Tobias M&quot;},{&quot;family&quot;:&quot;Xavier&quot;,&quot;given&quot;:&quot;Joao B&quot;}],&quot;issued&quot;:{&quot;date-parts&quot;:[[&quot;2024&quot;,&quot;6&quot;]]},&quot;DOI&quot;:&quot;10.1038/s41564-024-01680-3&quot;,&quot;PMID&quot;:&quot;38698178&quot;,&quot;PMCID&quot;:&quot;PMC11152985&quot;,&quot;citation-label&quot;:&quot;16417489&quot;}]"/>
    <we:property name="sciwheel-projectId" value="null"/>
    <we:property name="sciwheel-selectedStyle" value="{&quot;id&quot;:&quot;cite-them-right-11th-edition-harvard&quot;,&quot;name&quot;:&quot;Cite Them Right 11th Edition - Harvar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2C51A-E7BE-8A4E-907B-B050D5025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10226</Words>
  <Characters>58289</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Vishwas</dc:creator>
  <cp:keywords/>
  <dc:description/>
  <cp:lastModifiedBy>Mishra, Vishwas</cp:lastModifiedBy>
  <cp:revision>4</cp:revision>
  <dcterms:created xsi:type="dcterms:W3CDTF">2026-05-18T12:41:00Z</dcterms:created>
  <dcterms:modified xsi:type="dcterms:W3CDTF">2026-05-18T13:20:00Z</dcterms:modified>
</cp:coreProperties>
</file>