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59EA1" w14:textId="77777777" w:rsidR="003128FF" w:rsidRDefault="003128FF" w:rsidP="00563C8E">
      <w:pPr>
        <w:pStyle w:val="Heading1"/>
      </w:pPr>
      <w:r>
        <w:t>Title</w:t>
      </w:r>
    </w:p>
    <w:p w14:paraId="16238EA3" w14:textId="77777777" w:rsidR="003128FF" w:rsidRDefault="003128FF" w:rsidP="00943427">
      <w:r w:rsidRPr="00AD001C">
        <w:t xml:space="preserve">Protection against virulent </w:t>
      </w:r>
      <w:r w:rsidRPr="00AD001C">
        <w:rPr>
          <w:i/>
          <w:iCs/>
        </w:rPr>
        <w:t>Clostridioides difficile</w:t>
      </w:r>
      <w:r w:rsidRPr="00AD001C">
        <w:t xml:space="preserve"> infection is </w:t>
      </w:r>
      <w:r>
        <w:t>linked</w:t>
      </w:r>
      <w:r w:rsidRPr="00AD001C">
        <w:t xml:space="preserve"> </w:t>
      </w:r>
      <w:r>
        <w:t>to</w:t>
      </w:r>
      <w:r w:rsidRPr="00AD001C">
        <w:t xml:space="preserve"> the metabolic niche breadth of avirulent colonizing s</w:t>
      </w:r>
      <w:r w:rsidRPr="00D6254C">
        <w:t>train</w:t>
      </w:r>
      <w:r>
        <w:t>s</w:t>
      </w:r>
    </w:p>
    <w:p w14:paraId="6D23B856" w14:textId="77777777" w:rsidR="003128FF" w:rsidRDefault="003128FF" w:rsidP="00943427">
      <w:r>
        <w:t>Authors: Vishwas Mishra, Kevin Sia, Chloe Lindberg, Joao Xavier</w:t>
      </w:r>
    </w:p>
    <w:p w14:paraId="0E63B321" w14:textId="77777777" w:rsidR="003128FF" w:rsidRPr="009320BA" w:rsidRDefault="003128FF" w:rsidP="00943427">
      <w:r>
        <w:t xml:space="preserve">Affiliations: Weill Cornell Medicine, Memorial Sloan </w:t>
      </w:r>
      <w:proofErr w:type="spellStart"/>
      <w:r>
        <w:t>kettering</w:t>
      </w:r>
      <w:proofErr w:type="spellEnd"/>
      <w:r>
        <w:t xml:space="preserve"> Cancer Center, Brown University</w:t>
      </w:r>
    </w:p>
    <w:p w14:paraId="21DBC471" w14:textId="77777777" w:rsidR="003128FF" w:rsidRDefault="003128FF" w:rsidP="002B7239">
      <w:pPr>
        <w:pStyle w:val="Heading1"/>
      </w:pPr>
      <w:r>
        <w:t>Abstract</w:t>
      </w:r>
    </w:p>
    <w:p w14:paraId="070BF986" w14:textId="77777777" w:rsidR="003128FF" w:rsidRPr="00731591" w:rsidRDefault="003128FF" w:rsidP="00943427">
      <w:r w:rsidRPr="00731591">
        <w:t xml:space="preserve">According to modern coexistence theory, two competing species sharing a nutrient landscape will either coexist or one will competitively exclude the other. Here we show that this ecological dynamic plays out at the strain level within </w:t>
      </w:r>
      <w:r w:rsidRPr="00731591">
        <w:rPr>
          <w:i/>
          <w:iCs/>
        </w:rPr>
        <w:t>Clostridioides difficile</w:t>
      </w:r>
      <w:r w:rsidRPr="00731591">
        <w:t xml:space="preserve"> and determines whether a host is protected from life-threatening infection. </w:t>
      </w:r>
      <w:r w:rsidRPr="00731591">
        <w:rPr>
          <w:i/>
          <w:iCs/>
        </w:rPr>
        <w:t>C. difficile</w:t>
      </w:r>
      <w:r w:rsidRPr="00731591">
        <w:t xml:space="preserve"> infection (CDI) affects nearly 500,000 patients annually in the US, with recurrence in ~30% of cases despite antibiotic treatment. Certain avirulent strains are known to protect the host against secondary virulent challenge, but the mechanisms underlying this protection remain poorly understood. Working with 21 clinical MLST1 isolates from Memorial Sloan Kettering Cancer Center that share ANI &gt;99.84% yet span the full range of virulence, we show that select avirulent strains confer protection against the hypervirulent VPI10463 strain in a mouse colonization model while others do not. Protection</w:t>
      </w:r>
      <w:r>
        <w:t xml:space="preserve"> phenotype</w:t>
      </w:r>
      <w:r w:rsidRPr="00731591">
        <w:t xml:space="preserve"> is independent of adaptive immunity, microbiome composition, and common genetic determinants including toxin genes, core genome variation, and accessory gene content. BIOLOG phenotype microarray profiling across 2,</w:t>
      </w:r>
      <w:r>
        <w:t>090</w:t>
      </w:r>
      <w:r w:rsidRPr="00731591">
        <w:t xml:space="preserve"> strain-by-metabolite conditions captures the nutrient utilization preferences of each strain and reveals that protective strains can utilize substantially broader carbon sources than non-protective or virulent strains, reflecting a wider metabolic niche. qPCR-based strain-level quantification confirms that ST1.75 competitively excludes VPI10463 from the mouse gut within 3 days post-infection, even when VPI10463 is introduced at a 5-fold inoculum excess. A consumer-resource model parameterized from th</w:t>
      </w:r>
      <w:r>
        <w:t>is</w:t>
      </w:r>
      <w:r w:rsidRPr="00731591">
        <w:t xml:space="preserve"> data predicts competitive exclusion of VPI10463 by protective strains, consistent with the </w:t>
      </w:r>
      <w:r w:rsidRPr="00731591">
        <w:rPr>
          <w:i/>
          <w:iCs/>
        </w:rPr>
        <w:t>in vivo</w:t>
      </w:r>
      <w:r w:rsidRPr="00731591">
        <w:t xml:space="preserve"> observations and coexistence with non-protective strains. These findings establish metabolic niche breadth as the primary determinant of inter-strain competitive dynamics and CDI protection, offering an ecologically grounded framework for the rational design of strain-specific live biotherapeutics against CDI.</w:t>
      </w:r>
    </w:p>
    <w:p w14:paraId="71702E51" w14:textId="77777777" w:rsidR="003128FF" w:rsidRDefault="003128FF" w:rsidP="0069662D">
      <w:pPr>
        <w:pStyle w:val="Heading1"/>
      </w:pPr>
      <w:r w:rsidRPr="0069662D">
        <w:lastRenderedPageBreak/>
        <w:t>Introduction</w:t>
      </w:r>
    </w:p>
    <w:p w14:paraId="77ADD2CE" w14:textId="77777777" w:rsidR="003128FF" w:rsidRDefault="003128FF" w:rsidP="00E34666">
      <w:pPr>
        <w:ind w:firstLine="720"/>
        <w:rPr>
          <w:rFonts w:ascii="Aptos" w:eastAsia="Times New Roman" w:hAnsi="Aptos"/>
        </w:rPr>
      </w:pPr>
      <w:r w:rsidRPr="0069662D">
        <w:rPr>
          <w:i/>
          <w:iCs/>
        </w:rPr>
        <w:t>Clostridioides</w:t>
      </w:r>
      <w:r>
        <w:rPr>
          <w:i/>
          <w:iCs/>
        </w:rPr>
        <w:t xml:space="preserve"> </w:t>
      </w:r>
      <w:r w:rsidRPr="0069662D">
        <w:rPr>
          <w:i/>
          <w:iCs/>
        </w:rPr>
        <w:t>difficile</w:t>
      </w:r>
      <w:r w:rsidRPr="0069662D">
        <w:t xml:space="preserve"> is a </w:t>
      </w:r>
      <w:r>
        <w:t>g</w:t>
      </w:r>
      <w:r w:rsidRPr="0069662D">
        <w:t>ram-positive</w:t>
      </w:r>
      <w:r>
        <w:t>,</w:t>
      </w:r>
      <w:r w:rsidRPr="0069662D">
        <w:t xml:space="preserve"> obligate anaerob</w:t>
      </w:r>
      <w:r>
        <w:t>ic</w:t>
      </w:r>
      <w:r w:rsidRPr="0069662D">
        <w:t xml:space="preserve"> bacteri</w:t>
      </w:r>
      <w:r>
        <w:t>um that infects the gastrointestinal tract,</w:t>
      </w:r>
      <w:r w:rsidRPr="0069662D">
        <w:t xml:space="preserve"> </w:t>
      </w:r>
      <w:r>
        <w:t xml:space="preserve">causing severe </w:t>
      </w:r>
      <w:r w:rsidRPr="0069662D">
        <w:t xml:space="preserve">diarrhea </w:t>
      </w:r>
      <w:r>
        <w:t>and</w:t>
      </w:r>
      <w:r w:rsidRPr="0069662D">
        <w:t xml:space="preserve"> pseudomembranous colitis</w:t>
      </w:r>
      <w:r>
        <w:t xml:space="preserve"> (inflammation of the colon)</w:t>
      </w:r>
      <w:hyperlink r:id="rId8" w:history="1">
        <w:r>
          <w:rPr>
            <w:rFonts w:ascii="Aptos" w:eastAsia="Times New Roman" w:hAnsi="Aptos"/>
          </w:rPr>
          <w:t>(Seekatz and Young, 2014)</w:t>
        </w:r>
      </w:hyperlink>
      <w:r w:rsidRPr="0069662D">
        <w:t xml:space="preserve">. </w:t>
      </w:r>
      <w:r>
        <w:t xml:space="preserve">This leading cause of hospital-acquired infection disproportionally affects </w:t>
      </w:r>
      <w:r w:rsidRPr="00F950E1">
        <w:rPr>
          <w:rFonts w:ascii="Aptos" w:eastAsia="Times New Roman" w:hAnsi="Aptos"/>
        </w:rPr>
        <w:t xml:space="preserve">patients with </w:t>
      </w:r>
      <w:r>
        <w:rPr>
          <w:rFonts w:ascii="Aptos" w:eastAsia="Times New Roman" w:hAnsi="Aptos"/>
        </w:rPr>
        <w:t xml:space="preserve">predispositions </w:t>
      </w:r>
      <w:r w:rsidRPr="00F950E1">
        <w:rPr>
          <w:rFonts w:ascii="Aptos" w:eastAsia="Times New Roman" w:hAnsi="Aptos"/>
        </w:rPr>
        <w:t>such as age over 60</w:t>
      </w:r>
      <w:r>
        <w:rPr>
          <w:rFonts w:ascii="Aptos" w:eastAsia="Times New Roman" w:hAnsi="Aptos"/>
        </w:rPr>
        <w:t xml:space="preserve"> years</w:t>
      </w:r>
      <w:r w:rsidRPr="00F950E1">
        <w:rPr>
          <w:rFonts w:ascii="Aptos" w:eastAsia="Times New Roman" w:hAnsi="Aptos"/>
        </w:rPr>
        <w:t>, weakened immunity due to conditions like HIV/AIDS, cancer, or organ transplantation</w:t>
      </w:r>
      <w:r>
        <w:rPr>
          <w:rFonts w:ascii="Aptos" w:eastAsia="Times New Roman" w:hAnsi="Aptos"/>
        </w:rPr>
        <w:t xml:space="preserve"> </w:t>
      </w:r>
      <w:hyperlink r:id="rId9" w:history="1">
        <w:r>
          <w:rPr>
            <w:rFonts w:ascii="Aptos" w:eastAsia="Times New Roman" w:hAnsi="Aptos"/>
          </w:rPr>
          <w:t>(Jump, </w:t>
        </w:r>
        <w:r>
          <w:rPr>
            <w:rFonts w:ascii="Aptos" w:eastAsia="Times New Roman" w:hAnsi="Aptos"/>
          </w:rPr>
          <w:t>2</w:t>
        </w:r>
        <w:r>
          <w:rPr>
            <w:rFonts w:ascii="Aptos" w:eastAsia="Times New Roman" w:hAnsi="Aptos"/>
          </w:rPr>
          <w:t>0</w:t>
        </w:r>
        <w:r>
          <w:rPr>
            <w:rFonts w:ascii="Aptos" w:eastAsia="Times New Roman" w:hAnsi="Aptos"/>
          </w:rPr>
          <w:t>13)</w:t>
        </w:r>
      </w:hyperlink>
      <w:hyperlink r:id="rId10" w:history="1">
        <w:r>
          <w:rPr>
            <w:rFonts w:ascii="Aptos" w:eastAsia="Times New Roman" w:hAnsi="Aptos"/>
          </w:rPr>
          <w:t>(Revolinski and Munoz‑Price, </w:t>
        </w:r>
        <w:r>
          <w:rPr>
            <w:rFonts w:ascii="Aptos" w:eastAsia="Times New Roman" w:hAnsi="Aptos"/>
          </w:rPr>
          <w:t>2</w:t>
        </w:r>
        <w:r>
          <w:rPr>
            <w:rFonts w:ascii="Aptos" w:eastAsia="Times New Roman" w:hAnsi="Aptos"/>
          </w:rPr>
          <w:t>019)</w:t>
        </w:r>
      </w:hyperlink>
      <w:r>
        <w:t xml:space="preserve"> and raises the cost of healthcare substantially </w:t>
      </w:r>
      <w:hyperlink r:id="rId11" w:history="1">
        <w:r>
          <w:rPr>
            <w:rFonts w:ascii="Aptos" w:eastAsia="Times New Roman" w:hAnsi="Aptos"/>
          </w:rPr>
          <w:t>(Dubberke and Olsen, 2012)</w:t>
        </w:r>
      </w:hyperlink>
      <w:r>
        <w:rPr>
          <w:rFonts w:ascii="Aptos" w:eastAsia="Times New Roman" w:hAnsi="Aptos"/>
        </w:rPr>
        <w:t>. A</w:t>
      </w:r>
      <w:r w:rsidRPr="00407EBC">
        <w:rPr>
          <w:rFonts w:ascii="Aptos" w:eastAsia="Times New Roman" w:hAnsi="Aptos"/>
        </w:rPr>
        <w:t xml:space="preserve">ntibiotics </w:t>
      </w:r>
      <w:r>
        <w:rPr>
          <w:rFonts w:ascii="Aptos" w:eastAsia="Times New Roman" w:hAnsi="Aptos"/>
        </w:rPr>
        <w:t>increase</w:t>
      </w:r>
      <w:r w:rsidRPr="00407EBC">
        <w:rPr>
          <w:rFonts w:ascii="Aptos" w:eastAsia="Times New Roman" w:hAnsi="Aptos"/>
        </w:rPr>
        <w:t xml:space="preserve"> </w:t>
      </w:r>
      <w:r>
        <w:rPr>
          <w:rFonts w:ascii="Aptos" w:eastAsia="Times New Roman" w:hAnsi="Aptos"/>
        </w:rPr>
        <w:t xml:space="preserve">the </w:t>
      </w:r>
      <w:r w:rsidRPr="00407EBC">
        <w:rPr>
          <w:rFonts w:ascii="Aptos" w:eastAsia="Times New Roman" w:hAnsi="Aptos"/>
        </w:rPr>
        <w:t xml:space="preserve">risk for </w:t>
      </w:r>
      <w:r w:rsidRPr="00B05301">
        <w:rPr>
          <w:rFonts w:ascii="Aptos" w:eastAsia="Times New Roman" w:hAnsi="Aptos"/>
          <w:i/>
          <w:iCs/>
        </w:rPr>
        <w:t>C. difficile</w:t>
      </w:r>
      <w:r w:rsidRPr="00407EBC">
        <w:rPr>
          <w:rFonts w:ascii="Aptos" w:eastAsia="Times New Roman" w:hAnsi="Aptos"/>
        </w:rPr>
        <w:t xml:space="preserve"> infection (CDI) </w:t>
      </w:r>
      <w:r>
        <w:rPr>
          <w:rFonts w:ascii="Aptos" w:eastAsia="Times New Roman" w:hAnsi="Aptos"/>
        </w:rPr>
        <w:t>as</w:t>
      </w:r>
      <w:r w:rsidRPr="00407EBC">
        <w:rPr>
          <w:rFonts w:ascii="Aptos" w:eastAsia="Times New Roman" w:hAnsi="Aptos"/>
        </w:rPr>
        <w:t xml:space="preserve"> they disrupt the gut microbiota and decrease </w:t>
      </w:r>
      <w:r>
        <w:rPr>
          <w:rFonts w:ascii="Aptos" w:eastAsia="Times New Roman" w:hAnsi="Aptos"/>
        </w:rPr>
        <w:t>colonization resistance</w:t>
      </w:r>
      <w:hyperlink r:id="rId12" w:history="1">
        <w:r>
          <w:rPr>
            <w:rFonts w:ascii="Aptos" w:eastAsia="Times New Roman" w:hAnsi="Aptos"/>
          </w:rPr>
          <w:t>(Buffie and Pamer, 2013)</w:t>
        </w:r>
      </w:hyperlink>
      <w:r>
        <w:rPr>
          <w:rFonts w:ascii="Aptos" w:eastAsia="Times New Roman" w:hAnsi="Aptos"/>
        </w:rPr>
        <w:t xml:space="preserve">, </w:t>
      </w:r>
      <w:r w:rsidRPr="00407EBC">
        <w:rPr>
          <w:rFonts w:ascii="Aptos" w:eastAsia="Times New Roman" w:hAnsi="Aptos"/>
        </w:rPr>
        <w:t>its natural ability to resist</w:t>
      </w:r>
      <w:r>
        <w:rPr>
          <w:rFonts w:ascii="Aptos" w:eastAsia="Times New Roman" w:hAnsi="Aptos"/>
        </w:rPr>
        <w:t xml:space="preserve"> </w:t>
      </w:r>
      <w:r w:rsidRPr="00407EBC">
        <w:rPr>
          <w:rFonts w:ascii="Aptos" w:eastAsia="Times New Roman" w:hAnsi="Aptos"/>
        </w:rPr>
        <w:t xml:space="preserve">colonization </w:t>
      </w:r>
      <w:r w:rsidRPr="00B05301">
        <w:rPr>
          <w:rFonts w:ascii="Aptos" w:eastAsia="Times New Roman" w:hAnsi="Aptos"/>
          <w:i/>
          <w:iCs/>
        </w:rPr>
        <w:t>C. difficile</w:t>
      </w:r>
      <w:r>
        <w:rPr>
          <w:rFonts w:ascii="Aptos" w:eastAsia="Times New Roman" w:hAnsi="Aptos"/>
        </w:rPr>
        <w:t>, which enter the gastrointestinal tract as spores and germinate to viable cells when they encounter suitable conditions in the gut lumen</w:t>
      </w:r>
      <w:r w:rsidRPr="00407EBC">
        <w:rPr>
          <w:rFonts w:ascii="Aptos" w:eastAsia="Times New Roman" w:hAnsi="Aptos"/>
        </w:rPr>
        <w:t xml:space="preserve"> </w:t>
      </w:r>
      <w:hyperlink r:id="rId13" w:history="1">
        <w:r>
          <w:rPr>
            <w:rFonts w:ascii="Aptos" w:eastAsia="Times New Roman" w:hAnsi="Aptos"/>
          </w:rPr>
          <w:t>(Rupnik, Wilcox and Gerding, 2009)</w:t>
        </w:r>
      </w:hyperlink>
      <w:r>
        <w:t>.</w:t>
      </w:r>
      <w:r>
        <w:rPr>
          <w:rFonts w:ascii="Aptos" w:eastAsia="Times New Roman" w:hAnsi="Aptos"/>
        </w:rPr>
        <w:t xml:space="preserve">  Paradoxically, despite the known role of antibiotics in facilitating </w:t>
      </w:r>
      <w:r w:rsidRPr="00395F6D">
        <w:rPr>
          <w:rFonts w:ascii="Aptos" w:eastAsia="Times New Roman" w:hAnsi="Aptos"/>
          <w:i/>
          <w:iCs/>
        </w:rPr>
        <w:t>C. difficile</w:t>
      </w:r>
      <w:r>
        <w:rPr>
          <w:rFonts w:ascii="Aptos" w:eastAsia="Times New Roman" w:hAnsi="Aptos"/>
        </w:rPr>
        <w:t xml:space="preserve"> colonization, antibiotics remain the standard treatment for </w:t>
      </w:r>
      <w:r w:rsidRPr="00407EBC">
        <w:rPr>
          <w:rFonts w:ascii="Aptos" w:eastAsia="Times New Roman" w:hAnsi="Aptos"/>
        </w:rPr>
        <w:t>CDIs</w:t>
      </w:r>
      <w:r>
        <w:rPr>
          <w:rFonts w:ascii="Aptos" w:eastAsia="Times New Roman" w:hAnsi="Aptos"/>
        </w:rPr>
        <w:t xml:space="preserve">, perpetuating the gut dysbiosis and facilitating recurrent </w:t>
      </w:r>
      <w:r w:rsidRPr="00B05301">
        <w:rPr>
          <w:rFonts w:ascii="Aptos" w:eastAsia="Times New Roman" w:hAnsi="Aptos"/>
        </w:rPr>
        <w:t>CDI</w:t>
      </w:r>
      <w:r>
        <w:rPr>
          <w:rFonts w:ascii="Aptos" w:eastAsia="Times New Roman" w:hAnsi="Aptos"/>
        </w:rPr>
        <w:t xml:space="preserve"> in 30% of the cases </w:t>
      </w:r>
      <w:hyperlink r:id="rId14" w:history="1">
        <w:r>
          <w:rPr>
            <w:rFonts w:ascii="Aptos" w:eastAsia="Times New Roman" w:hAnsi="Aptos"/>
          </w:rPr>
          <w:t>(Kelly and LaMont, 2008)</w:t>
        </w:r>
      </w:hyperlink>
      <w:r>
        <w:rPr>
          <w:rFonts w:ascii="Aptos" w:eastAsia="Times New Roman" w:hAnsi="Aptos"/>
        </w:rPr>
        <w:t>.</w:t>
      </w:r>
      <w:r w:rsidRPr="00F950E1">
        <w:rPr>
          <w:rFonts w:ascii="Aptos" w:eastAsia="Times New Roman" w:hAnsi="Aptos"/>
        </w:rPr>
        <w:t xml:space="preserve"> </w:t>
      </w:r>
    </w:p>
    <w:p w14:paraId="627D32ED" w14:textId="77777777" w:rsidR="003128FF" w:rsidRDefault="003128FF" w:rsidP="00E34666">
      <w:pPr>
        <w:ind w:firstLine="720"/>
        <w:rPr>
          <w:rFonts w:ascii="Aptos" w:eastAsia="Times New Roman" w:hAnsi="Aptos"/>
        </w:rPr>
      </w:pPr>
      <w:r>
        <w:rPr>
          <w:rFonts w:ascii="Aptos" w:eastAsia="Times New Roman" w:hAnsi="Aptos"/>
        </w:rPr>
        <w:t xml:space="preserve">There are new developments in alternative therapies that boost the gut microbiota’s ability to protect against </w:t>
      </w:r>
      <w:r w:rsidRPr="00395F6D">
        <w:rPr>
          <w:rFonts w:ascii="Aptos" w:eastAsia="Times New Roman" w:hAnsi="Aptos"/>
          <w:i/>
          <w:iCs/>
        </w:rPr>
        <w:t>C. difficile</w:t>
      </w:r>
      <w:r>
        <w:rPr>
          <w:rFonts w:ascii="Aptos" w:eastAsia="Times New Roman" w:hAnsi="Aptos"/>
        </w:rPr>
        <w:t xml:space="preserve">. </w:t>
      </w:r>
      <w:r>
        <w:t>F</w:t>
      </w:r>
      <w:r>
        <w:rPr>
          <w:rFonts w:ascii="Aptos" w:eastAsia="Times New Roman" w:hAnsi="Aptos"/>
          <w:kern w:val="0"/>
          <w14:ligatures w14:val="none"/>
        </w:rPr>
        <w:t xml:space="preserve">ecal microbiota transplant (FMT) </w:t>
      </w:r>
      <w:r w:rsidRPr="00CE0E1A">
        <w:rPr>
          <w:rFonts w:ascii="Aptos" w:eastAsia="Times New Roman" w:hAnsi="Aptos"/>
        </w:rPr>
        <w:t xml:space="preserve">can restore </w:t>
      </w:r>
      <w:r>
        <w:rPr>
          <w:rFonts w:ascii="Aptos" w:eastAsia="Times New Roman" w:hAnsi="Aptos"/>
        </w:rPr>
        <w:t xml:space="preserve">the microbiota and treat recurrent CDI </w:t>
      </w:r>
      <w:hyperlink r:id="rId15" w:history="1">
        <w:r>
          <w:rPr>
            <w:rFonts w:ascii="Aptos" w:eastAsia="Times New Roman" w:hAnsi="Aptos"/>
          </w:rPr>
          <w:t>(</w:t>
        </w:r>
        <w:proofErr w:type="spellStart"/>
        <w:r>
          <w:rPr>
            <w:rFonts w:ascii="Aptos" w:eastAsia="Times New Roman" w:hAnsi="Aptos"/>
          </w:rPr>
          <w:t>Liubakka</w:t>
        </w:r>
        <w:proofErr w:type="spellEnd"/>
        <w:r>
          <w:rPr>
            <w:rFonts w:ascii="Aptos" w:eastAsia="Times New Roman" w:hAnsi="Aptos"/>
          </w:rPr>
          <w:t> and Vaughn, 2016)</w:t>
        </w:r>
      </w:hyperlink>
      <w:r>
        <w:rPr>
          <w:rFonts w:ascii="Aptos" w:eastAsia="Times New Roman" w:hAnsi="Aptos"/>
        </w:rPr>
        <w:t xml:space="preserve"> </w:t>
      </w:r>
      <w:hyperlink r:id="rId16" w:history="1">
        <w:r>
          <w:rPr>
            <w:rFonts w:ascii="Aptos" w:eastAsia="Times New Roman" w:hAnsi="Aptos"/>
          </w:rPr>
          <w:t>(van Nood </w:t>
        </w:r>
        <w:r>
          <w:rPr>
            <w:rFonts w:ascii="Aptos" w:eastAsia="Times New Roman" w:hAnsi="Aptos"/>
            <w:i/>
          </w:rPr>
          <w:t>et al.</w:t>
        </w:r>
        <w:r>
          <w:rPr>
            <w:rFonts w:ascii="Aptos" w:eastAsia="Times New Roman" w:hAnsi="Aptos"/>
          </w:rPr>
          <w:t>, 2013)</w:t>
        </w:r>
      </w:hyperlink>
      <w:r>
        <w:rPr>
          <w:rFonts w:ascii="Aptos" w:eastAsia="Times New Roman" w:hAnsi="Aptos"/>
        </w:rPr>
        <w:t xml:space="preserve">. Still, FMT is investigational and only permitted for cases unresponsive to antibiotics because it raises safety concerns </w:t>
      </w:r>
      <w:hyperlink r:id="rId17" w:history="1">
        <w:r>
          <w:rPr>
            <w:rFonts w:ascii="Aptos" w:eastAsia="Times New Roman" w:hAnsi="Aptos"/>
          </w:rPr>
          <w:t>(McDonald </w:t>
        </w:r>
        <w:r>
          <w:rPr>
            <w:rFonts w:ascii="Aptos" w:eastAsia="Times New Roman" w:hAnsi="Aptos"/>
            <w:i/>
          </w:rPr>
          <w:t>et al.</w:t>
        </w:r>
        <w:r>
          <w:rPr>
            <w:rFonts w:ascii="Aptos" w:eastAsia="Times New Roman" w:hAnsi="Aptos"/>
          </w:rPr>
          <w:t>, 2018)</w:t>
        </w:r>
      </w:hyperlink>
      <w:r>
        <w:rPr>
          <w:rFonts w:ascii="Aptos" w:eastAsia="Times New Roman" w:hAnsi="Aptos"/>
        </w:rPr>
        <w:t xml:space="preserve">. The donor feces can contain antibiotic-resistant pathogens and expose patients to new risks (FDA, March 2020) </w:t>
      </w:r>
      <w:hyperlink r:id="rId18" w:history="1">
        <w:r>
          <w:rPr>
            <w:rFonts w:ascii="Aptos" w:eastAsia="Times New Roman" w:hAnsi="Aptos"/>
          </w:rPr>
          <w:t>(</w:t>
        </w:r>
        <w:r>
          <w:rPr>
            <w:rFonts w:ascii="Aptos" w:eastAsia="Times New Roman" w:hAnsi="Aptos"/>
            <w:i/>
          </w:rPr>
          <w:t>Safety Alert Regarding Use of Fecal Microbiota for Transplantation and Risk of Serious Adverse Events Likely Due to Transmission of Pathogenic Organisms | FDA</w:t>
        </w:r>
        <w:r>
          <w:rPr>
            <w:rFonts w:ascii="Aptos" w:eastAsia="Times New Roman" w:hAnsi="Aptos"/>
          </w:rPr>
          <w:t>, no date)</w:t>
        </w:r>
      </w:hyperlink>
      <w:r>
        <w:rPr>
          <w:rFonts w:ascii="Aptos" w:eastAsia="Times New Roman" w:hAnsi="Aptos"/>
        </w:rPr>
        <w:t xml:space="preserve">. Probiotics </w:t>
      </w:r>
      <w:r w:rsidRPr="00561CCB">
        <w:rPr>
          <w:rFonts w:ascii="Aptos" w:eastAsia="Times New Roman" w:hAnsi="Aptos"/>
        </w:rPr>
        <w:t>may</w:t>
      </w:r>
      <w:r>
        <w:rPr>
          <w:rFonts w:ascii="Aptos" w:eastAsia="Times New Roman" w:hAnsi="Aptos"/>
        </w:rPr>
        <w:t xml:space="preserve"> </w:t>
      </w:r>
      <w:r w:rsidRPr="00561CCB">
        <w:rPr>
          <w:rFonts w:ascii="Aptos" w:eastAsia="Times New Roman" w:hAnsi="Aptos"/>
        </w:rPr>
        <w:t xml:space="preserve">lower the risk of CDI </w:t>
      </w:r>
      <w:r>
        <w:rPr>
          <w:rFonts w:ascii="Aptos" w:eastAsia="Times New Roman" w:hAnsi="Aptos"/>
        </w:rPr>
        <w:t xml:space="preserve">without some of the drawbacks of FMT </w:t>
      </w:r>
      <w:r w:rsidRPr="00561CCB">
        <w:rPr>
          <w:rFonts w:ascii="Aptos" w:eastAsia="Times New Roman" w:hAnsi="Aptos"/>
        </w:rPr>
        <w:t xml:space="preserve">by </w:t>
      </w:r>
      <w:r>
        <w:rPr>
          <w:rFonts w:ascii="Aptos" w:eastAsia="Times New Roman" w:hAnsi="Aptos"/>
        </w:rPr>
        <w:t xml:space="preserve">providing a standardized and safe alternative to </w:t>
      </w:r>
      <w:r w:rsidRPr="00561CCB">
        <w:rPr>
          <w:rFonts w:ascii="Aptos" w:eastAsia="Times New Roman" w:hAnsi="Aptos"/>
        </w:rPr>
        <w:t>re</w:t>
      </w:r>
      <w:r>
        <w:rPr>
          <w:rFonts w:ascii="Aptos" w:eastAsia="Times New Roman" w:hAnsi="Aptos"/>
        </w:rPr>
        <w:t>-</w:t>
      </w:r>
      <w:r w:rsidRPr="00561CCB">
        <w:rPr>
          <w:rFonts w:ascii="Aptos" w:eastAsia="Times New Roman" w:hAnsi="Aptos"/>
        </w:rPr>
        <w:t xml:space="preserve">establish </w:t>
      </w:r>
      <w:r>
        <w:rPr>
          <w:rFonts w:ascii="Aptos" w:eastAsia="Times New Roman" w:hAnsi="Aptos"/>
        </w:rPr>
        <w:t xml:space="preserve">gut commensals </w:t>
      </w:r>
      <w:hyperlink r:id="rId19" w:history="1">
        <w:r>
          <w:rPr>
            <w:rFonts w:ascii="Aptos" w:eastAsia="Times New Roman" w:hAnsi="Aptos"/>
          </w:rPr>
          <w:t>(Al Sharaby </w:t>
        </w:r>
        <w:r>
          <w:rPr>
            <w:rFonts w:ascii="Aptos" w:eastAsia="Times New Roman" w:hAnsi="Aptos"/>
            <w:i/>
          </w:rPr>
          <w:t>et al.</w:t>
        </w:r>
        <w:r>
          <w:rPr>
            <w:rFonts w:ascii="Aptos" w:eastAsia="Times New Roman" w:hAnsi="Aptos"/>
          </w:rPr>
          <w:t>, 2022)</w:t>
        </w:r>
      </w:hyperlink>
      <w:r w:rsidRPr="00561CCB">
        <w:rPr>
          <w:rFonts w:ascii="Aptos" w:eastAsia="Times New Roman" w:hAnsi="Aptos"/>
        </w:rPr>
        <w:t xml:space="preserve">. Nevertheless, differences in probiotic formulations, timing of administration, and study durations have led to inconsistent results across </w:t>
      </w:r>
      <w:hyperlink r:id="rId20" w:history="1">
        <w:r>
          <w:rPr>
            <w:rFonts w:ascii="Aptos" w:eastAsia="Times New Roman" w:hAnsi="Aptos"/>
          </w:rPr>
          <w:t>(Allen </w:t>
        </w:r>
        <w:r>
          <w:rPr>
            <w:rFonts w:ascii="Aptos" w:eastAsia="Times New Roman" w:hAnsi="Aptos"/>
            <w:i/>
          </w:rPr>
          <w:t>et al.</w:t>
        </w:r>
        <w:r>
          <w:rPr>
            <w:rFonts w:ascii="Aptos" w:eastAsia="Times New Roman" w:hAnsi="Aptos"/>
          </w:rPr>
          <w:t>, 2013)</w:t>
        </w:r>
      </w:hyperlink>
      <w:r w:rsidRPr="00561CCB">
        <w:rPr>
          <w:rFonts w:ascii="Aptos" w:eastAsia="Times New Roman" w:hAnsi="Aptos"/>
        </w:rPr>
        <w:t>.</w:t>
      </w:r>
      <w:r>
        <w:rPr>
          <w:rFonts w:ascii="Aptos" w:eastAsia="Times New Roman" w:hAnsi="Aptos"/>
        </w:rPr>
        <w:t xml:space="preserve"> We need alternatives to protect vulnerable populations from CDI, but  a deeper understanding of </w:t>
      </w:r>
      <w:r>
        <w:rPr>
          <w:rFonts w:ascii="Aptos" w:eastAsia="Times New Roman" w:hAnsi="Aptos"/>
          <w:i/>
          <w:iCs/>
        </w:rPr>
        <w:t xml:space="preserve">C. difficile </w:t>
      </w:r>
      <w:r>
        <w:rPr>
          <w:rFonts w:ascii="Aptos" w:eastAsia="Times New Roman" w:hAnsi="Aptos"/>
        </w:rPr>
        <w:t>biology is needed to expand the presently available therapeutic options.</w:t>
      </w:r>
    </w:p>
    <w:p w14:paraId="7817A54E" w14:textId="77777777" w:rsidR="003128FF" w:rsidRDefault="003128FF" w:rsidP="00DE1516">
      <w:pPr>
        <w:ind w:firstLine="720"/>
        <w:rPr>
          <w:rFonts w:ascii="Aptos" w:eastAsia="Times New Roman" w:hAnsi="Aptos"/>
        </w:rPr>
      </w:pPr>
      <w:r>
        <w:rPr>
          <w:rFonts w:ascii="Aptos" w:eastAsia="Times New Roman" w:hAnsi="Aptos"/>
        </w:rPr>
        <w:t xml:space="preserve">There is another emerging alternative that remains less explored, which comes from observing that patients asymptomatically colonized with a primary symptomless </w:t>
      </w:r>
      <w:r>
        <w:rPr>
          <w:rFonts w:ascii="Aptos" w:eastAsia="Times New Roman" w:hAnsi="Aptos"/>
          <w:i/>
          <w:iCs/>
        </w:rPr>
        <w:t xml:space="preserve">C. difficile </w:t>
      </w:r>
      <w:r>
        <w:rPr>
          <w:rFonts w:ascii="Aptos" w:eastAsia="Times New Roman" w:hAnsi="Aptos"/>
        </w:rPr>
        <w:t xml:space="preserve">have a lower risk of developing CDI </w:t>
      </w:r>
      <w:hyperlink r:id="rId21" w:history="1">
        <w:r>
          <w:rPr>
            <w:rFonts w:ascii="Aptos" w:eastAsia="Times New Roman" w:hAnsi="Aptos"/>
          </w:rPr>
          <w:t>(Shim </w:t>
        </w:r>
        <w:r>
          <w:rPr>
            <w:rFonts w:ascii="Aptos" w:eastAsia="Times New Roman" w:hAnsi="Aptos"/>
            <w:i/>
          </w:rPr>
          <w:t>et al.</w:t>
        </w:r>
        <w:r>
          <w:rPr>
            <w:rFonts w:ascii="Aptos" w:eastAsia="Times New Roman" w:hAnsi="Aptos"/>
          </w:rPr>
          <w:t>, 1998)</w:t>
        </w:r>
      </w:hyperlink>
      <w:r>
        <w:rPr>
          <w:rFonts w:ascii="Aptos" w:eastAsia="Times New Roman" w:hAnsi="Aptos"/>
        </w:rPr>
        <w:t xml:space="preserve">. This observation has motivated clinical trials for giving patients spores of an avirulent </w:t>
      </w:r>
      <w:r w:rsidRPr="004A0CBF">
        <w:rPr>
          <w:rFonts w:ascii="Aptos" w:eastAsia="Times New Roman" w:hAnsi="Aptos"/>
          <w:i/>
          <w:iCs/>
        </w:rPr>
        <w:t>C. difficile</w:t>
      </w:r>
      <w:r>
        <w:rPr>
          <w:rFonts w:ascii="Aptos" w:eastAsia="Times New Roman" w:hAnsi="Aptos"/>
        </w:rPr>
        <w:t xml:space="preserve"> strain with promising results . The exact mechanisms </w:t>
      </w:r>
      <w:r w:rsidRPr="003D13CA">
        <w:rPr>
          <w:rFonts w:ascii="Aptos" w:eastAsia="Times New Roman" w:hAnsi="Aptos"/>
        </w:rPr>
        <w:t>underlying</w:t>
      </w:r>
      <w:r>
        <w:rPr>
          <w:rFonts w:ascii="Aptos" w:eastAsia="Times New Roman" w:hAnsi="Aptos"/>
        </w:rPr>
        <w:t xml:space="preserve"> avirulent protection against a virulent strain</w:t>
      </w:r>
      <w:r w:rsidDel="007B1BFB">
        <w:rPr>
          <w:rFonts w:ascii="Aptos" w:eastAsia="Times New Roman" w:hAnsi="Aptos"/>
        </w:rPr>
        <w:t xml:space="preserve"> </w:t>
      </w:r>
      <w:r>
        <w:rPr>
          <w:rFonts w:ascii="Aptos" w:eastAsia="Times New Roman" w:hAnsi="Aptos"/>
        </w:rPr>
        <w:t xml:space="preserve">are still unclear. Several studies have shown that this phenomenon can be modeled in </w:t>
      </w:r>
      <w:r w:rsidRPr="003D13CA">
        <w:rPr>
          <w:rFonts w:ascii="Aptos" w:eastAsia="Times New Roman" w:hAnsi="Aptos"/>
        </w:rPr>
        <w:t>animals, opening the possibility of discovering the mechanism</w:t>
      </w:r>
      <w:r>
        <w:rPr>
          <w:rFonts w:ascii="Aptos" w:eastAsia="Times New Roman" w:hAnsi="Aptos"/>
        </w:rPr>
        <w:t>. For example, the non-</w:t>
      </w:r>
      <w:r>
        <w:rPr>
          <w:rFonts w:ascii="Aptos" w:eastAsia="Times New Roman" w:hAnsi="Aptos"/>
        </w:rPr>
        <w:lastRenderedPageBreak/>
        <w:t xml:space="preserve">toxigenic </w:t>
      </w:r>
      <w:r w:rsidRPr="00535A72">
        <w:rPr>
          <w:rFonts w:ascii="Aptos" w:eastAsia="Times New Roman" w:hAnsi="Aptos"/>
          <w:i/>
          <w:iCs/>
        </w:rPr>
        <w:t>C. difficile</w:t>
      </w:r>
      <w:r>
        <w:rPr>
          <w:rFonts w:ascii="Aptos" w:eastAsia="Times New Roman" w:hAnsi="Aptos"/>
        </w:rPr>
        <w:t xml:space="preserve"> strain (NTCD)-M3 protects against virulent CDI in hamsters </w:t>
      </w:r>
      <w:hyperlink r:id="rId22" w:history="1">
        <w:r>
          <w:rPr>
            <w:rFonts w:ascii="Aptos" w:eastAsia="Times New Roman" w:hAnsi="Aptos"/>
          </w:rPr>
          <w:t>(Borriello and Barclay, 1985)</w:t>
        </w:r>
      </w:hyperlink>
      <w:r>
        <w:rPr>
          <w:rFonts w:ascii="Aptos" w:eastAsia="Times New Roman" w:hAnsi="Aptos"/>
        </w:rPr>
        <w:t xml:space="preserve"> </w:t>
      </w:r>
      <w:hyperlink r:id="rId23" w:history="1">
        <w:r>
          <w:rPr>
            <w:rFonts w:ascii="Aptos" w:eastAsia="Times New Roman" w:hAnsi="Aptos"/>
          </w:rPr>
          <w:t>(Merrigan </w:t>
        </w:r>
        <w:r>
          <w:rPr>
            <w:rFonts w:ascii="Aptos" w:eastAsia="Times New Roman" w:hAnsi="Aptos"/>
            <w:i/>
          </w:rPr>
          <w:t>et al.</w:t>
        </w:r>
        <w:r>
          <w:rPr>
            <w:rFonts w:ascii="Aptos" w:eastAsia="Times New Roman" w:hAnsi="Aptos"/>
          </w:rPr>
          <w:t>, 2003)</w:t>
        </w:r>
      </w:hyperlink>
      <w:r>
        <w:rPr>
          <w:rFonts w:ascii="Aptos" w:eastAsia="Times New Roman" w:hAnsi="Aptos"/>
        </w:rPr>
        <w:t xml:space="preserve"> , and the results were consistent in a phase 2b clinical trial to prevent recurrent CDI </w:t>
      </w:r>
      <w:hyperlink r:id="rId24" w:history="1">
        <w:r>
          <w:rPr>
            <w:rFonts w:ascii="Aptos" w:eastAsia="Times New Roman" w:hAnsi="Aptos"/>
          </w:rPr>
          <w:t>(Gerding </w:t>
        </w:r>
        <w:r>
          <w:rPr>
            <w:rFonts w:ascii="Aptos" w:eastAsia="Times New Roman" w:hAnsi="Aptos"/>
            <w:i/>
          </w:rPr>
          <w:t>et al.</w:t>
        </w:r>
        <w:r>
          <w:rPr>
            <w:rFonts w:ascii="Aptos" w:eastAsia="Times New Roman" w:hAnsi="Aptos"/>
          </w:rPr>
          <w:t>, 2015)</w:t>
        </w:r>
      </w:hyperlink>
      <w:r>
        <w:rPr>
          <w:rFonts w:ascii="Aptos" w:eastAsia="Times New Roman" w:hAnsi="Aptos"/>
        </w:rPr>
        <w:t xml:space="preserve">. More recently, studies in mice are starting to shed new light on the mechanism of protection by avirulent strains. The strain CD630 (a </w:t>
      </w:r>
      <w:proofErr w:type="spellStart"/>
      <w:r>
        <w:rPr>
          <w:rFonts w:ascii="Aptos" w:eastAsia="Times New Roman" w:hAnsi="Aptos"/>
        </w:rPr>
        <w:t>ribotype</w:t>
      </w:r>
      <w:proofErr w:type="spellEnd"/>
      <w:r>
        <w:rPr>
          <w:rFonts w:ascii="Aptos" w:eastAsia="Times New Roman" w:hAnsi="Aptos"/>
        </w:rPr>
        <w:t xml:space="preserve"> R012 strain) can colonize mice asymptomatically and be depleted of co-germinant glycine, which is important for </w:t>
      </w:r>
      <w:r w:rsidRPr="00535A72">
        <w:rPr>
          <w:rFonts w:ascii="Aptos" w:eastAsia="Times New Roman" w:hAnsi="Aptos"/>
          <w:i/>
          <w:iCs/>
        </w:rPr>
        <w:t>C. difficile</w:t>
      </w:r>
      <w:r>
        <w:rPr>
          <w:rFonts w:ascii="Aptos" w:eastAsia="Times New Roman" w:hAnsi="Aptos"/>
        </w:rPr>
        <w:t xml:space="preserve"> spore germination, conferring protection against secondary lethal infection by the highly virulent strain </w:t>
      </w:r>
      <w:r w:rsidRPr="003D13CA">
        <w:rPr>
          <w:rFonts w:ascii="Aptos" w:eastAsia="Times New Roman" w:hAnsi="Aptos"/>
        </w:rPr>
        <w:t>VPI10463</w:t>
      </w:r>
      <w:r>
        <w:rPr>
          <w:rFonts w:ascii="Aptos" w:eastAsia="Times New Roman" w:hAnsi="Aptos"/>
        </w:rPr>
        <w:t xml:space="preserve"> </w:t>
      </w:r>
      <w:hyperlink r:id="rId25" w:history="1">
        <w:r>
          <w:rPr>
            <w:rFonts w:ascii="Aptos" w:eastAsia="Times New Roman" w:hAnsi="Aptos"/>
          </w:rPr>
          <w:t>(Leslie </w:t>
        </w:r>
        <w:r>
          <w:rPr>
            <w:rFonts w:ascii="Aptos" w:eastAsia="Times New Roman" w:hAnsi="Aptos"/>
            <w:i/>
          </w:rPr>
          <w:t>et al.</w:t>
        </w:r>
        <w:r>
          <w:rPr>
            <w:rFonts w:ascii="Aptos" w:eastAsia="Times New Roman" w:hAnsi="Aptos"/>
          </w:rPr>
          <w:t>, 2021)</w:t>
        </w:r>
      </w:hyperlink>
      <w:r>
        <w:rPr>
          <w:rFonts w:ascii="Aptos" w:eastAsia="Times New Roman" w:hAnsi="Aptos"/>
        </w:rPr>
        <w:t xml:space="preserve">. </w:t>
      </w:r>
    </w:p>
    <w:p w14:paraId="3E2DA12A" w14:textId="77777777" w:rsidR="003128FF" w:rsidRPr="00DE1516" w:rsidRDefault="003128FF" w:rsidP="00DE1516">
      <w:pPr>
        <w:ind w:firstLine="720"/>
      </w:pPr>
      <w:r w:rsidRPr="00B05301">
        <w:rPr>
          <w:rFonts w:ascii="Aptos" w:eastAsia="Times New Roman" w:hAnsi="Aptos"/>
          <w:i/>
          <w:iCs/>
        </w:rPr>
        <w:t>C. difficile</w:t>
      </w:r>
      <w:r>
        <w:rPr>
          <w:rFonts w:ascii="Aptos" w:eastAsia="Times New Roman" w:hAnsi="Aptos"/>
        </w:rPr>
        <w:t xml:space="preserve"> phenotypic variation—even among closely related strains—seems complicated to explain based on genetic variability alone</w:t>
      </w:r>
      <w:r>
        <w:rPr>
          <w:rFonts w:ascii="Aptos" w:eastAsia="Times New Roman" w:hAnsi="Aptos"/>
          <w:kern w:val="0"/>
          <w14:ligatures w14:val="none"/>
        </w:rPr>
        <w:t xml:space="preserve">. </w:t>
      </w:r>
      <w:r w:rsidRPr="00395F6D">
        <w:rPr>
          <w:rFonts w:ascii="Aptos" w:eastAsia="Times New Roman" w:hAnsi="Aptos"/>
          <w:i/>
          <w:iCs/>
          <w:kern w:val="0"/>
          <w14:ligatures w14:val="none"/>
        </w:rPr>
        <w:t>C. difficile</w:t>
      </w:r>
      <w:r w:rsidRPr="00C97953">
        <w:rPr>
          <w:rFonts w:ascii="Aptos" w:eastAsia="Times New Roman" w:hAnsi="Aptos"/>
          <w:kern w:val="0"/>
          <w14:ligatures w14:val="none"/>
        </w:rPr>
        <w:t xml:space="preserve"> strain genomes exhibit extensive genetic diversity, with only 2,899 genes (29%) defined as core, 2,968 genes (30%) unique to individual strains, and thousands of accessory genes</w:t>
      </w:r>
      <w:r>
        <w:rPr>
          <w:rFonts w:ascii="Aptos" w:eastAsia="Times New Roman" w:hAnsi="Aptos"/>
          <w:kern w:val="0"/>
          <w14:ligatures w14:val="none"/>
        </w:rPr>
        <w:t xml:space="preserve">, </w:t>
      </w:r>
      <w:r w:rsidRPr="00C97953">
        <w:rPr>
          <w:rFonts w:ascii="Aptos" w:eastAsia="Times New Roman" w:hAnsi="Aptos"/>
          <w:kern w:val="0"/>
          <w14:ligatures w14:val="none"/>
        </w:rPr>
        <w:t>4,057 (41%)</w:t>
      </w:r>
      <w:r>
        <w:rPr>
          <w:rFonts w:ascii="Aptos" w:eastAsia="Times New Roman" w:hAnsi="Aptos"/>
          <w:kern w:val="0"/>
          <w14:ligatures w14:val="none"/>
        </w:rPr>
        <w:t xml:space="preserve"> </w:t>
      </w:r>
      <w:r w:rsidRPr="00C97953">
        <w:rPr>
          <w:rFonts w:ascii="Aptos" w:eastAsia="Times New Roman" w:hAnsi="Aptos"/>
          <w:kern w:val="0"/>
          <w14:ligatures w14:val="none"/>
        </w:rPr>
        <w:t>whose presence or absence varies among the 451 strains analyzed</w:t>
      </w:r>
      <w:r w:rsidRPr="00C97953">
        <w:rPr>
          <w:rFonts w:ascii="Aptos" w:eastAsia="Times New Roman" w:hAnsi="Aptos"/>
          <w:i/>
          <w:iCs/>
          <w:kern w:val="0"/>
          <w14:ligatures w14:val="none"/>
        </w:rPr>
        <w:t xml:space="preserve"> </w:t>
      </w:r>
      <w:hyperlink r:id="rId26" w:history="1">
        <w:r>
          <w:rPr>
            <w:rFonts w:ascii="Aptos" w:eastAsia="Times New Roman" w:hAnsi="Aptos"/>
          </w:rPr>
          <w:t>(Norsigian </w:t>
        </w:r>
        <w:r>
          <w:rPr>
            <w:rFonts w:ascii="Aptos" w:eastAsia="Times New Roman" w:hAnsi="Aptos"/>
            <w:i/>
          </w:rPr>
          <w:t>et al.</w:t>
        </w:r>
        <w:r>
          <w:rPr>
            <w:rFonts w:ascii="Aptos" w:eastAsia="Times New Roman" w:hAnsi="Aptos"/>
          </w:rPr>
          <w:t>, 2022)</w:t>
        </w:r>
      </w:hyperlink>
      <w:r>
        <w:rPr>
          <w:rFonts w:ascii="Aptos" w:eastAsia="Times New Roman" w:hAnsi="Aptos"/>
          <w:kern w:val="0"/>
          <w14:ligatures w14:val="none"/>
        </w:rPr>
        <w:t xml:space="preserve">.  </w:t>
      </w:r>
      <w:r>
        <w:rPr>
          <w:rFonts w:ascii="Aptos" w:eastAsia="Times New Roman" w:hAnsi="Aptos"/>
        </w:rPr>
        <w:t xml:space="preserve">A study focused on MLST1 strain and showed a wide range of virulence phenotypes </w:t>
      </w:r>
      <w:proofErr w:type="spellStart"/>
      <w:r>
        <w:rPr>
          <w:rFonts w:ascii="Aptos" w:eastAsia="Times New Roman" w:hAnsi="Aptos"/>
        </w:rPr>
        <w:t>accross</w:t>
      </w:r>
      <w:proofErr w:type="spellEnd"/>
      <w:r>
        <w:rPr>
          <w:rFonts w:ascii="Aptos" w:eastAsia="Times New Roman" w:hAnsi="Aptos"/>
        </w:rPr>
        <w:t xml:space="preserve"> 23 patient isolates </w:t>
      </w:r>
      <w:hyperlink r:id="rId27" w:history="1">
        <w:r>
          <w:rPr>
            <w:rFonts w:ascii="Aptos" w:eastAsia="Times New Roman" w:hAnsi="Aptos"/>
          </w:rPr>
          <w:t>(Dong </w:t>
        </w:r>
        <w:r>
          <w:rPr>
            <w:rFonts w:ascii="Aptos" w:eastAsia="Times New Roman" w:hAnsi="Aptos"/>
            <w:i/>
          </w:rPr>
          <w:t>et al.</w:t>
        </w:r>
        <w:r>
          <w:rPr>
            <w:rFonts w:ascii="Aptos" w:eastAsia="Times New Roman" w:hAnsi="Aptos"/>
          </w:rPr>
          <w:t>, 2023a)</w:t>
        </w:r>
      </w:hyperlink>
      <w:r>
        <w:rPr>
          <w:rFonts w:ascii="Aptos" w:eastAsia="Times New Roman" w:hAnsi="Aptos"/>
        </w:rPr>
        <w:t xml:space="preserve">. They found that two avirulent strains, ST1.75 and ST1.35, shared a key genetic variant—a 69-bp deletion in the </w:t>
      </w:r>
      <w:proofErr w:type="spellStart"/>
      <w:r w:rsidRPr="008F5304">
        <w:rPr>
          <w:rFonts w:ascii="Aptos" w:eastAsia="Times New Roman" w:hAnsi="Aptos"/>
          <w:i/>
          <w:iCs/>
        </w:rPr>
        <w:t>cdtR</w:t>
      </w:r>
      <w:proofErr w:type="spellEnd"/>
      <w:r>
        <w:rPr>
          <w:rFonts w:ascii="Aptos" w:eastAsia="Times New Roman" w:hAnsi="Aptos"/>
          <w:i/>
          <w:iCs/>
        </w:rPr>
        <w:t xml:space="preserve"> </w:t>
      </w:r>
      <w:r>
        <w:rPr>
          <w:rFonts w:ascii="Aptos" w:eastAsia="Times New Roman" w:hAnsi="Aptos"/>
        </w:rPr>
        <w:t xml:space="preserve">gene which is a response regulator for the binary toxin expression—but not all avirulent strains had that deletion. A follow up study showed that ST1 </w:t>
      </w:r>
      <w:r w:rsidRPr="00FD6F26">
        <w:rPr>
          <w:rFonts w:ascii="Aptos" w:eastAsia="Times New Roman" w:hAnsi="Aptos"/>
        </w:rPr>
        <w:t>isolates that exhibit greater heterogeneity in their flagellar gene expression exhibit greater virulence</w:t>
      </w:r>
      <w:r>
        <w:rPr>
          <w:rFonts w:ascii="Aptos" w:eastAsia="Times New Roman" w:hAnsi="Aptos"/>
        </w:rPr>
        <w:t xml:space="preserve"> </w:t>
      </w:r>
      <w:r w:rsidRPr="00FD6F26">
        <w:rPr>
          <w:rFonts w:ascii="Aptos" w:eastAsia="Times New Roman" w:hAnsi="Aptos"/>
          <w:i/>
          <w:iCs/>
        </w:rPr>
        <w:t>in vivo</w:t>
      </w:r>
      <w:r>
        <w:rPr>
          <w:rFonts w:ascii="Aptos" w:eastAsia="Times New Roman" w:hAnsi="Aptos"/>
        </w:rPr>
        <w:t xml:space="preserve">, providing another possible mechanism for the variation in virulence phenotype </w:t>
      </w:r>
      <w:hyperlink r:id="rId28" w:history="1">
        <w:r>
          <w:rPr>
            <w:rFonts w:ascii="Aptos" w:eastAsia="Times New Roman" w:hAnsi="Aptos"/>
          </w:rPr>
          <w:t>(Nhu </w:t>
        </w:r>
        <w:r>
          <w:rPr>
            <w:rFonts w:ascii="Aptos" w:eastAsia="Times New Roman" w:hAnsi="Aptos"/>
            <w:i/>
          </w:rPr>
          <w:t>et al.</w:t>
        </w:r>
        <w:r>
          <w:rPr>
            <w:rFonts w:ascii="Aptos" w:eastAsia="Times New Roman" w:hAnsi="Aptos"/>
          </w:rPr>
          <w:t>, 2025)</w:t>
        </w:r>
      </w:hyperlink>
      <w:r>
        <w:rPr>
          <w:rFonts w:ascii="Aptos" w:eastAsia="Times New Roman" w:hAnsi="Aptos"/>
        </w:rPr>
        <w:t xml:space="preserve">. </w:t>
      </w:r>
    </w:p>
    <w:p w14:paraId="778C9D73" w14:textId="77777777" w:rsidR="003128FF" w:rsidRDefault="003128FF" w:rsidP="006679F0">
      <w:pPr>
        <w:ind w:firstLine="720"/>
        <w:rPr>
          <w:rFonts w:ascii="Aptos" w:eastAsia="Times New Roman" w:hAnsi="Aptos"/>
        </w:rPr>
      </w:pPr>
      <w:r>
        <w:rPr>
          <w:rFonts w:ascii="Aptos" w:eastAsia="Times New Roman" w:hAnsi="Aptos"/>
        </w:rPr>
        <w:t xml:space="preserve">There is evidence that variation in metabolite traits—the ability of strains to utilize specific nutrients to grow—can explain </w:t>
      </w:r>
      <w:proofErr w:type="spellStart"/>
      <w:r w:rsidRPr="00395F6D">
        <w:rPr>
          <w:rFonts w:ascii="Aptos" w:eastAsia="Times New Roman" w:hAnsi="Aptos"/>
          <w:i/>
          <w:iCs/>
        </w:rPr>
        <w:t>C.difficile</w:t>
      </w:r>
      <w:proofErr w:type="spellEnd"/>
      <w:r>
        <w:rPr>
          <w:rFonts w:ascii="Aptos" w:eastAsia="Times New Roman" w:hAnsi="Aptos"/>
        </w:rPr>
        <w:t xml:space="preserve"> virulence in phenotypes related to colonization and virulence. T</w:t>
      </w:r>
      <w:r w:rsidRPr="008F5304">
        <w:rPr>
          <w:rFonts w:ascii="Aptos" w:eastAsia="Times New Roman" w:hAnsi="Aptos"/>
        </w:rPr>
        <w:t>he BI/NAP1/027 strain</w:t>
      </w:r>
      <w:r>
        <w:rPr>
          <w:rFonts w:ascii="Aptos" w:eastAsia="Times New Roman" w:hAnsi="Aptos"/>
        </w:rPr>
        <w:t>, i</w:t>
      </w:r>
      <w:r w:rsidRPr="008F5304">
        <w:rPr>
          <w:rFonts w:ascii="Aptos" w:eastAsia="Times New Roman" w:hAnsi="Aptos"/>
        </w:rPr>
        <w:t>dentified as sequence type 1 (ST1)</w:t>
      </w:r>
      <w:r>
        <w:rPr>
          <w:rFonts w:ascii="Aptos" w:eastAsia="Times New Roman" w:hAnsi="Aptos"/>
        </w:rPr>
        <w:t xml:space="preserve">, </w:t>
      </w:r>
      <w:r w:rsidRPr="008F5304">
        <w:rPr>
          <w:rFonts w:ascii="Aptos" w:eastAsia="Times New Roman" w:hAnsi="Aptos"/>
        </w:rPr>
        <w:t xml:space="preserve">was linked to a surge in </w:t>
      </w:r>
      <w:r w:rsidRPr="008F5304">
        <w:rPr>
          <w:rFonts w:ascii="Aptos" w:eastAsia="Times New Roman" w:hAnsi="Aptos"/>
          <w:i/>
          <w:iCs/>
        </w:rPr>
        <w:t>C. difficile</w:t>
      </w:r>
      <w:r w:rsidRPr="008F5304">
        <w:rPr>
          <w:rFonts w:ascii="Aptos" w:eastAsia="Times New Roman" w:hAnsi="Aptos"/>
        </w:rPr>
        <w:t xml:space="preserve"> infection</w:t>
      </w:r>
      <w:r>
        <w:rPr>
          <w:rFonts w:ascii="Aptos" w:eastAsia="Times New Roman" w:hAnsi="Aptos"/>
        </w:rPr>
        <w:t>s</w:t>
      </w:r>
      <w:r w:rsidRPr="008F5304">
        <w:rPr>
          <w:rFonts w:ascii="Aptos" w:eastAsia="Times New Roman" w:hAnsi="Aptos"/>
        </w:rPr>
        <w:t xml:space="preserve"> across North America and Europe</w:t>
      </w:r>
      <w:r>
        <w:rPr>
          <w:rFonts w:ascii="Aptos" w:eastAsia="Times New Roman" w:hAnsi="Aptos"/>
        </w:rPr>
        <w:t xml:space="preserve"> </w:t>
      </w:r>
      <w:hyperlink r:id="rId29" w:history="1">
        <w:r>
          <w:rPr>
            <w:rFonts w:ascii="Aptos" w:eastAsia="Times New Roman" w:hAnsi="Aptos"/>
          </w:rPr>
          <w:t>(Rao </w:t>
        </w:r>
        <w:r>
          <w:rPr>
            <w:rFonts w:ascii="Aptos" w:eastAsia="Times New Roman" w:hAnsi="Aptos"/>
            <w:i/>
          </w:rPr>
          <w:t>et al.</w:t>
        </w:r>
        <w:r>
          <w:rPr>
            <w:rFonts w:ascii="Aptos" w:eastAsia="Times New Roman" w:hAnsi="Aptos"/>
          </w:rPr>
          <w:t>, 2015)</w:t>
        </w:r>
      </w:hyperlink>
      <w:r>
        <w:rPr>
          <w:rFonts w:ascii="Aptos" w:eastAsia="Times New Roman" w:hAnsi="Aptos"/>
        </w:rPr>
        <w:t>. Its rise is partially explained by a genetically encoded metabolic trait: a single mutation in the trehalose repressor gene</w:t>
      </w:r>
      <w:r w:rsidDel="008773C8">
        <w:rPr>
          <w:rFonts w:ascii="Aptos" w:eastAsia="Times New Roman" w:hAnsi="Aptos"/>
        </w:rPr>
        <w:t xml:space="preserve"> </w:t>
      </w:r>
      <w:proofErr w:type="spellStart"/>
      <w:r>
        <w:rPr>
          <w:rFonts w:ascii="Aptos" w:eastAsia="Times New Roman" w:hAnsi="Aptos"/>
          <w:i/>
          <w:iCs/>
        </w:rPr>
        <w:t>treR</w:t>
      </w:r>
      <w:proofErr w:type="spellEnd"/>
      <w:r>
        <w:rPr>
          <w:rFonts w:ascii="Aptos" w:eastAsia="Times New Roman" w:hAnsi="Aptos"/>
        </w:rPr>
        <w:t>, thus increasing the sensitivity to trehalose by more than 500-fold.</w:t>
      </w:r>
      <w:hyperlink r:id="rId30" w:history="1">
        <w:r>
          <w:rPr>
            <w:rFonts w:ascii="Aptos" w:eastAsia="Times New Roman" w:hAnsi="Aptos"/>
          </w:rPr>
          <w:t>(Collins </w:t>
        </w:r>
        <w:r>
          <w:rPr>
            <w:rFonts w:ascii="Aptos" w:eastAsia="Times New Roman" w:hAnsi="Aptos"/>
            <w:i/>
          </w:rPr>
          <w:t>et al.</w:t>
        </w:r>
        <w:r>
          <w:rPr>
            <w:rFonts w:ascii="Aptos" w:eastAsia="Times New Roman" w:hAnsi="Aptos"/>
          </w:rPr>
          <w:t>, 2018)</w:t>
        </w:r>
      </w:hyperlink>
      <w:r>
        <w:rPr>
          <w:rFonts w:ascii="Aptos" w:eastAsia="Times New Roman" w:hAnsi="Aptos"/>
        </w:rPr>
        <w:t xml:space="preserve">. </w:t>
      </w:r>
    </w:p>
    <w:p w14:paraId="688132C5" w14:textId="77777777" w:rsidR="003128FF" w:rsidRDefault="003128FF" w:rsidP="00197F2A">
      <w:pPr>
        <w:ind w:firstLine="720"/>
        <w:rPr>
          <w:rFonts w:ascii="Aptos" w:eastAsia="Times New Roman" w:hAnsi="Aptos"/>
        </w:rPr>
      </w:pPr>
      <w:r>
        <w:rPr>
          <w:rFonts w:ascii="Aptos" w:eastAsia="Times New Roman" w:hAnsi="Aptos"/>
        </w:rPr>
        <w:t xml:space="preserve">Here, we characterize the protective phenotypes in a collection of ST1 strains that, although closely related genetically (ANI – 99.8%), show wide variation of virulence </w:t>
      </w:r>
      <w:r w:rsidRPr="00B05301">
        <w:rPr>
          <w:rFonts w:ascii="Aptos" w:eastAsia="Times New Roman" w:hAnsi="Aptos"/>
          <w:i/>
          <w:iCs/>
        </w:rPr>
        <w:t>in vivo</w:t>
      </w:r>
      <w:r w:rsidRPr="008F5304">
        <w:rPr>
          <w:rFonts w:ascii="Aptos" w:eastAsia="Times New Roman" w:hAnsi="Aptos"/>
        </w:rPr>
        <w:t xml:space="preserve">. </w:t>
      </w:r>
      <w:proofErr w:type="spellStart"/>
      <w:r>
        <w:rPr>
          <w:rFonts w:ascii="Aptos" w:eastAsia="Times New Roman" w:hAnsi="Aptos"/>
        </w:rPr>
        <w:t>Alongwith</w:t>
      </w:r>
      <w:proofErr w:type="spellEnd"/>
      <w:r>
        <w:rPr>
          <w:rFonts w:ascii="Aptos" w:eastAsia="Times New Roman" w:hAnsi="Aptos"/>
        </w:rPr>
        <w:t xml:space="preserve"> it, we also show that there is a </w:t>
      </w:r>
      <w:r w:rsidRPr="008F5304">
        <w:rPr>
          <w:rFonts w:ascii="Aptos" w:eastAsia="Times New Roman" w:hAnsi="Aptos"/>
        </w:rPr>
        <w:t>considerable variation in the</w:t>
      </w:r>
      <w:r>
        <w:rPr>
          <w:rFonts w:ascii="Aptos" w:eastAsia="Times New Roman" w:hAnsi="Aptos"/>
        </w:rPr>
        <w:t>ir</w:t>
      </w:r>
      <w:r w:rsidRPr="008F5304">
        <w:rPr>
          <w:rFonts w:ascii="Aptos" w:eastAsia="Times New Roman" w:hAnsi="Aptos"/>
        </w:rPr>
        <w:t xml:space="preserve"> ability to confer protection against secondary challenge with the highly virulent </w:t>
      </w:r>
      <w:r>
        <w:rPr>
          <w:rFonts w:ascii="Aptos" w:eastAsia="Times New Roman" w:hAnsi="Aptos"/>
        </w:rPr>
        <w:t>VPI</w:t>
      </w:r>
      <w:r w:rsidRPr="003D13CA">
        <w:rPr>
          <w:rFonts w:ascii="Aptos" w:eastAsia="Times New Roman" w:hAnsi="Aptos"/>
        </w:rPr>
        <w:t>10463</w:t>
      </w:r>
      <w:r>
        <w:rPr>
          <w:rFonts w:ascii="Aptos" w:eastAsia="Times New Roman" w:hAnsi="Aptos"/>
        </w:rPr>
        <w:t xml:space="preserve"> </w:t>
      </w:r>
      <w:r w:rsidRPr="008F5304">
        <w:rPr>
          <w:rFonts w:ascii="Aptos" w:eastAsia="Times New Roman" w:hAnsi="Aptos"/>
        </w:rPr>
        <w:t>strain</w:t>
      </w:r>
      <w:r>
        <w:rPr>
          <w:rFonts w:ascii="Aptos" w:eastAsia="Times New Roman" w:hAnsi="Aptos"/>
        </w:rPr>
        <w:t>.</w:t>
      </w:r>
      <w:r w:rsidRPr="008F5304">
        <w:rPr>
          <w:rFonts w:ascii="Aptos" w:eastAsia="Times New Roman" w:hAnsi="Aptos"/>
        </w:rPr>
        <w:t xml:space="preserve"> </w:t>
      </w:r>
      <w:r>
        <w:rPr>
          <w:rFonts w:ascii="Aptos" w:eastAsia="Times New Roman" w:hAnsi="Aptos"/>
        </w:rPr>
        <w:t xml:space="preserve">We conduct several analyses, including experiments to test the host immunity, change in microbiome composition, genomics analysis and specific metabolic traits, to rule out their impact as drivers of the protection phenotype. </w:t>
      </w:r>
      <w:r w:rsidRPr="00197F2A">
        <w:rPr>
          <w:rFonts w:ascii="Aptos" w:eastAsia="Times New Roman" w:hAnsi="Aptos"/>
        </w:rPr>
        <w:t>qPCR-based strain-level quantification of joint infection by ST1.75 and VPI</w:t>
      </w:r>
      <w:r>
        <w:rPr>
          <w:rFonts w:ascii="Aptos" w:eastAsia="Times New Roman" w:hAnsi="Aptos"/>
        </w:rPr>
        <w:t>10463</w:t>
      </w:r>
      <w:r w:rsidRPr="00197F2A">
        <w:rPr>
          <w:rFonts w:ascii="Aptos" w:eastAsia="Times New Roman" w:hAnsi="Aptos"/>
        </w:rPr>
        <w:t xml:space="preserve"> strains shows that within 3 days post infection, </w:t>
      </w:r>
      <w:r w:rsidRPr="00731591">
        <w:t xml:space="preserve">ST1.75 competitively excludes VPI10463 from the mouse gut, even when VPI10463 is </w:t>
      </w:r>
      <w:r w:rsidRPr="00731591">
        <w:lastRenderedPageBreak/>
        <w:t>introduced at a 5-fold inoculum excess</w:t>
      </w:r>
      <w:r>
        <w:t xml:space="preserve"> </w:t>
      </w:r>
      <w:r w:rsidRPr="00197F2A">
        <w:rPr>
          <w:rFonts w:ascii="Aptos" w:eastAsia="Times New Roman" w:hAnsi="Aptos"/>
        </w:rPr>
        <w:t>thus offering protection to the host against virulent infection</w:t>
      </w:r>
      <w:r>
        <w:rPr>
          <w:rFonts w:ascii="Aptos" w:eastAsia="Times New Roman" w:hAnsi="Aptos"/>
        </w:rPr>
        <w:t xml:space="preserve">. Similar to previous studies </w:t>
      </w:r>
      <w:hyperlink r:id="rId31"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eastAsia="Times New Roman" w:hAnsi="Aptos"/>
        </w:rPr>
        <w:t xml:space="preserve">, </w:t>
      </w:r>
      <w:r w:rsidRPr="00797479">
        <w:rPr>
          <w:rFonts w:ascii="Aptos" w:eastAsia="Times New Roman" w:hAnsi="Aptos"/>
        </w:rPr>
        <w:t xml:space="preserve">we also noticed that, </w:t>
      </w:r>
      <w:r w:rsidRPr="00637613">
        <w:rPr>
          <w:rFonts w:ascii="Aptos" w:eastAsia="Times New Roman" w:hAnsi="Aptos"/>
        </w:rPr>
        <w:t>ST1</w:t>
      </w:r>
      <w:r>
        <w:rPr>
          <w:rFonts w:ascii="Aptos" w:eastAsia="Times New Roman" w:hAnsi="Aptos"/>
        </w:rPr>
        <w:t>.</w:t>
      </w:r>
      <w:r w:rsidRPr="00637613">
        <w:rPr>
          <w:rFonts w:ascii="Aptos" w:eastAsia="Times New Roman" w:hAnsi="Aptos"/>
        </w:rPr>
        <w:t xml:space="preserve">75 showed significantly higher accumulation of alanine, </w:t>
      </w:r>
      <w:proofErr w:type="spellStart"/>
      <w:r w:rsidRPr="00637613">
        <w:rPr>
          <w:rFonts w:ascii="Aptos" w:eastAsia="Times New Roman" w:hAnsi="Aptos"/>
        </w:rPr>
        <w:t>oxoproline</w:t>
      </w:r>
      <w:proofErr w:type="spellEnd"/>
      <w:r w:rsidRPr="00637613">
        <w:rPr>
          <w:rFonts w:ascii="Aptos" w:eastAsia="Times New Roman" w:hAnsi="Aptos"/>
        </w:rPr>
        <w:t>, and lysine relative to VPI10463, and significantly higher retention of glutamate</w:t>
      </w:r>
      <w:r w:rsidRPr="00797479">
        <w:rPr>
          <w:rFonts w:ascii="Aptos" w:eastAsia="Times New Roman" w:hAnsi="Aptos"/>
        </w:rPr>
        <w:t>, attesting to the fitness advantage of protective ST1 strain.</w:t>
      </w:r>
      <w:r w:rsidRPr="00197F2A">
        <w:rPr>
          <w:rFonts w:ascii="Aptos" w:eastAsia="Times New Roman" w:hAnsi="Aptos"/>
        </w:rPr>
        <w:t xml:space="preserve"> The </w:t>
      </w:r>
      <w:r>
        <w:rPr>
          <w:rFonts w:ascii="Aptos" w:eastAsia="Times New Roman" w:hAnsi="Aptos"/>
        </w:rPr>
        <w:t xml:space="preserve">nutrient utilization ability screened through the </w:t>
      </w:r>
      <w:r w:rsidRPr="00197F2A">
        <w:rPr>
          <w:rFonts w:ascii="Aptos" w:eastAsia="Times New Roman" w:hAnsi="Aptos"/>
        </w:rPr>
        <w:t xml:space="preserve">BIOLOG </w:t>
      </w:r>
      <w:r>
        <w:rPr>
          <w:rFonts w:ascii="Aptos" w:eastAsia="Times New Roman" w:hAnsi="Aptos"/>
        </w:rPr>
        <w:t>phenotype assays</w:t>
      </w:r>
      <w:r w:rsidRPr="00197F2A">
        <w:rPr>
          <w:rFonts w:ascii="Aptos" w:eastAsia="Times New Roman" w:hAnsi="Aptos"/>
        </w:rPr>
        <w:t xml:space="preserve"> also suggests that protective strains have much broader </w:t>
      </w:r>
      <w:r>
        <w:rPr>
          <w:rFonts w:ascii="Aptos" w:eastAsia="Times New Roman" w:hAnsi="Aptos"/>
        </w:rPr>
        <w:t>metabolite utilization</w:t>
      </w:r>
      <w:r w:rsidRPr="00197F2A">
        <w:rPr>
          <w:rFonts w:ascii="Aptos" w:eastAsia="Times New Roman" w:hAnsi="Aptos"/>
        </w:rPr>
        <w:t xml:space="preserve"> capabilities spanning various substrates, from amino acids and esters to carboxylic acids</w:t>
      </w:r>
      <w:r>
        <w:rPr>
          <w:rFonts w:ascii="Aptos" w:eastAsia="Times New Roman" w:hAnsi="Aptos"/>
        </w:rPr>
        <w:t xml:space="preserve"> etc</w:t>
      </w:r>
      <w:r w:rsidRPr="00197F2A">
        <w:rPr>
          <w:rFonts w:ascii="Aptos" w:eastAsia="Times New Roman" w:hAnsi="Aptos"/>
        </w:rPr>
        <w:t xml:space="preserve">. These attributes of fitness advantage of the protective strain can explain the </w:t>
      </w:r>
      <w:proofErr w:type="spellStart"/>
      <w:r w:rsidRPr="00197F2A">
        <w:rPr>
          <w:rFonts w:ascii="Aptos" w:eastAsia="Times New Roman" w:hAnsi="Aptos"/>
        </w:rPr>
        <w:t>interstrain</w:t>
      </w:r>
      <w:proofErr w:type="spellEnd"/>
      <w:r w:rsidRPr="00197F2A">
        <w:rPr>
          <w:rFonts w:ascii="Aptos" w:eastAsia="Times New Roman" w:hAnsi="Aptos"/>
        </w:rPr>
        <w:t xml:space="preserve"> dynamics during infection by multiple </w:t>
      </w:r>
      <w:r w:rsidRPr="00197F2A">
        <w:rPr>
          <w:rFonts w:ascii="Aptos" w:eastAsia="Times New Roman" w:hAnsi="Aptos"/>
          <w:i/>
          <w:iCs/>
        </w:rPr>
        <w:t>C. difficile</w:t>
      </w:r>
      <w:r w:rsidRPr="00197F2A">
        <w:rPr>
          <w:rFonts w:ascii="Aptos" w:eastAsia="Times New Roman" w:hAnsi="Aptos"/>
        </w:rPr>
        <w:t xml:space="preserve"> strains. </w:t>
      </w:r>
    </w:p>
    <w:p w14:paraId="3F85A248" w14:textId="77777777" w:rsidR="003128FF" w:rsidRDefault="003128FF" w:rsidP="00197F2A">
      <w:pPr>
        <w:ind w:firstLine="720"/>
        <w:rPr>
          <w:rFonts w:ascii="Aptos" w:eastAsia="Times New Roman" w:hAnsi="Aptos"/>
        </w:rPr>
      </w:pPr>
      <w:r w:rsidRPr="000153B5">
        <w:rPr>
          <w:rFonts w:ascii="Aptos" w:eastAsia="Times New Roman" w:hAnsi="Aptos"/>
        </w:rPr>
        <w:t xml:space="preserve">The gut microbiome ecosystem is a dynamic system where multiple species interact. One of the major interaction dynamics arises from competition for metabolic niches among different organisms, where slight fitness advantages, niche diversification, and niche partitioning can allow some strains a competitive edge over others </w:t>
      </w:r>
      <w:hyperlink r:id="rId32" w:history="1">
        <w:r>
          <w:rPr>
            <w:rFonts w:ascii="Aptos" w:eastAsia="Times New Roman" w:hAnsi="Aptos"/>
          </w:rPr>
          <w:t>(</w:t>
        </w:r>
        <w:proofErr w:type="spellStart"/>
        <w:r>
          <w:rPr>
            <w:rFonts w:ascii="Aptos" w:eastAsia="Times New Roman" w:hAnsi="Aptos"/>
          </w:rPr>
          <w:t>Bakkeren</w:t>
        </w:r>
        <w:proofErr w:type="spellEnd"/>
        <w:r>
          <w:rPr>
            <w:rFonts w:ascii="Aptos" w:eastAsia="Times New Roman" w:hAnsi="Aptos"/>
          </w:rPr>
          <w:t>, Piskovsky and Foster, 2025)</w:t>
        </w:r>
      </w:hyperlink>
      <w:r w:rsidRPr="000153B5">
        <w:rPr>
          <w:rFonts w:ascii="Aptos" w:eastAsia="Times New Roman" w:hAnsi="Aptos"/>
        </w:rPr>
        <w:t>. Modern coexistence theory shows that two species competing in a shared nutrient landscape can have their dynamics determined by the balance of niche differences and fitness differences, resulting in either coexistence or competitive exclusion</w:t>
      </w:r>
      <w:r>
        <w:rPr>
          <w:rFonts w:ascii="Aptos" w:eastAsia="Times New Roman" w:hAnsi="Aptos"/>
        </w:rPr>
        <w:t xml:space="preserve"> </w:t>
      </w:r>
      <w:hyperlink r:id="rId33" w:history="1">
        <w:r>
          <w:rPr>
            <w:rFonts w:ascii="Aptos" w:eastAsia="Times New Roman" w:hAnsi="Aptos"/>
          </w:rPr>
          <w:t>(Chesson, 2000)</w:t>
        </w:r>
      </w:hyperlink>
      <w:r>
        <w:rPr>
          <w:rFonts w:ascii="Aptos" w:eastAsia="Times New Roman" w:hAnsi="Aptos"/>
        </w:rPr>
        <w:t xml:space="preserve"> </w:t>
      </w:r>
      <w:hyperlink r:id="rId34" w:history="1">
        <w:r>
          <w:rPr>
            <w:rFonts w:ascii="Aptos" w:eastAsia="Times New Roman" w:hAnsi="Aptos"/>
          </w:rPr>
          <w:t>(Grainger </w:t>
        </w:r>
        <w:r>
          <w:rPr>
            <w:rFonts w:ascii="Aptos" w:eastAsia="Times New Roman" w:hAnsi="Aptos"/>
            <w:i/>
          </w:rPr>
          <w:t>et al.</w:t>
        </w:r>
        <w:r>
          <w:rPr>
            <w:rFonts w:ascii="Aptos" w:eastAsia="Times New Roman" w:hAnsi="Aptos"/>
          </w:rPr>
          <w:t>, 2019; Yu, Li and 1 Zhejiang Tiantong Forest Ecosystem National Observation and Research Station, School of Ecological and Environmental Sciences, East China Normal University, Shanghai 2002412 Institute of Eco‑Chongming, Shanghai 202162, 2020)</w:t>
        </w:r>
      </w:hyperlink>
      <w:r w:rsidRPr="000153B5">
        <w:rPr>
          <w:rFonts w:ascii="Aptos" w:eastAsia="Times New Roman" w:hAnsi="Aptos"/>
        </w:rPr>
        <w:t xml:space="preserve">. Recent work demonstrated that closely related </w:t>
      </w:r>
      <w:r w:rsidRPr="000943AA">
        <w:rPr>
          <w:rFonts w:ascii="Aptos" w:eastAsia="Times New Roman" w:hAnsi="Aptos"/>
          <w:i/>
          <w:iCs/>
        </w:rPr>
        <w:t xml:space="preserve">Lactobacilli </w:t>
      </w:r>
      <w:r w:rsidRPr="000153B5">
        <w:rPr>
          <w:rFonts w:ascii="Aptos" w:eastAsia="Times New Roman" w:hAnsi="Aptos"/>
        </w:rPr>
        <w:t>coexist in the honey bee gut through resource partitioning, whereby each species utilizes distinct substrate classes derived from pollen, and that competitive exclusion results when only a single shared substrate is available</w:t>
      </w:r>
      <w:hyperlink r:id="rId35" w:history="1">
        <w:r>
          <w:rPr>
            <w:rFonts w:ascii="Aptos" w:eastAsia="Times New Roman" w:hAnsi="Aptos"/>
          </w:rPr>
          <w:t>(Brochet </w:t>
        </w:r>
        <w:r>
          <w:rPr>
            <w:rFonts w:ascii="Aptos" w:eastAsia="Times New Roman" w:hAnsi="Aptos"/>
            <w:i/>
          </w:rPr>
          <w:t>et al.</w:t>
        </w:r>
        <w:r>
          <w:rPr>
            <w:rFonts w:ascii="Aptos" w:eastAsia="Times New Roman" w:hAnsi="Aptos"/>
          </w:rPr>
          <w:t>, 2021)</w:t>
        </w:r>
      </w:hyperlink>
      <w:r w:rsidRPr="000153B5">
        <w:rPr>
          <w:rFonts w:ascii="Aptos" w:eastAsia="Times New Roman" w:hAnsi="Aptos"/>
        </w:rPr>
        <w:t xml:space="preserve">. Similarly, </w:t>
      </w:r>
      <w:r>
        <w:rPr>
          <w:rFonts w:ascii="Aptos" w:eastAsia="Times New Roman" w:hAnsi="Aptos"/>
        </w:rPr>
        <w:t>it has been shown</w:t>
      </w:r>
      <w:r w:rsidRPr="000153B5">
        <w:rPr>
          <w:rFonts w:ascii="Aptos" w:eastAsia="Times New Roman" w:hAnsi="Aptos"/>
        </w:rPr>
        <w:t xml:space="preserve"> that resource competition enables successful invasion of an established microbiome, while strain displacement requires low niche overlap with both the competing strain and the broader community nature </w:t>
      </w:r>
      <w:hyperlink r:id="rId36" w:history="1">
        <w:r>
          <w:rPr>
            <w:rFonts w:ascii="Aptos" w:eastAsia="Times New Roman" w:hAnsi="Aptos"/>
          </w:rPr>
          <w:t>(</w:t>
        </w:r>
        <w:proofErr w:type="spellStart"/>
        <w:r>
          <w:rPr>
            <w:rFonts w:ascii="Aptos" w:eastAsia="Times New Roman" w:hAnsi="Aptos"/>
          </w:rPr>
          <w:t>Bakkeren</w:t>
        </w:r>
        <w:proofErr w:type="spellEnd"/>
        <w:r>
          <w:rPr>
            <w:rFonts w:ascii="Aptos" w:eastAsia="Times New Roman" w:hAnsi="Aptos"/>
          </w:rPr>
          <w:t> </w:t>
        </w:r>
        <w:r>
          <w:rPr>
            <w:rFonts w:ascii="Aptos" w:eastAsia="Times New Roman" w:hAnsi="Aptos"/>
            <w:i/>
          </w:rPr>
          <w:t>et al.</w:t>
        </w:r>
        <w:r>
          <w:rPr>
            <w:rFonts w:ascii="Aptos" w:eastAsia="Times New Roman" w:hAnsi="Aptos"/>
          </w:rPr>
          <w:t>, 2025)</w:t>
        </w:r>
      </w:hyperlink>
      <w:r w:rsidRPr="000153B5">
        <w:rPr>
          <w:rFonts w:ascii="Aptos" w:eastAsia="Times New Roman" w:hAnsi="Aptos"/>
        </w:rPr>
        <w:t xml:space="preserve">. </w:t>
      </w:r>
    </w:p>
    <w:p w14:paraId="04AF8185" w14:textId="77777777" w:rsidR="003128FF" w:rsidRDefault="003128FF" w:rsidP="00197F2A">
      <w:pPr>
        <w:ind w:firstLine="720"/>
        <w:rPr>
          <w:rFonts w:ascii="Aptos" w:eastAsia="Times New Roman" w:hAnsi="Aptos"/>
        </w:rPr>
      </w:pPr>
      <w:r w:rsidRPr="000153B5">
        <w:rPr>
          <w:rFonts w:ascii="Aptos" w:eastAsia="Times New Roman" w:hAnsi="Aptos"/>
        </w:rPr>
        <w:t xml:space="preserve">The work we present here extends this logic to show how such dynamic interactions among closely related strains can lead to drastic health outcomes in the host. Here we show that protective strain ST1.75 competitively exclude VPI10463 </w:t>
      </w:r>
      <w:r w:rsidRPr="009509B6">
        <w:rPr>
          <w:rFonts w:ascii="Aptos" w:eastAsia="Times New Roman" w:hAnsi="Aptos"/>
          <w:i/>
          <w:iCs/>
        </w:rPr>
        <w:t>in vivo</w:t>
      </w:r>
      <w:r w:rsidRPr="000153B5">
        <w:rPr>
          <w:rFonts w:ascii="Aptos" w:eastAsia="Times New Roman" w:hAnsi="Aptos"/>
        </w:rPr>
        <w:t xml:space="preserve">, consistently exhibit broader metabolic niches spanning a more diverse array of substrates, reflecting a larger pool of private resources unavailable to the virulent strain. Non-protective strains ST1.68 and ST1.19, by contrast, share a considerably larger fraction of their metabolic portfolio with VPI10463, resulting in greater niche overlap. Notably, when grown together </w:t>
      </w:r>
      <w:r w:rsidRPr="000943AA">
        <w:rPr>
          <w:rFonts w:ascii="Aptos" w:eastAsia="Times New Roman" w:hAnsi="Aptos"/>
          <w:i/>
          <w:iCs/>
        </w:rPr>
        <w:t>in vitro</w:t>
      </w:r>
      <w:r w:rsidRPr="000153B5">
        <w:rPr>
          <w:rFonts w:ascii="Aptos" w:eastAsia="Times New Roman" w:hAnsi="Aptos"/>
        </w:rPr>
        <w:t xml:space="preserve"> on </w:t>
      </w:r>
      <w:r>
        <w:rPr>
          <w:rFonts w:ascii="Aptos" w:eastAsia="Times New Roman" w:hAnsi="Aptos"/>
        </w:rPr>
        <w:t xml:space="preserve">minimal media supplemented with </w:t>
      </w:r>
      <w:r w:rsidRPr="000153B5">
        <w:rPr>
          <w:rFonts w:ascii="Aptos" w:eastAsia="Times New Roman" w:hAnsi="Aptos"/>
        </w:rPr>
        <w:t xml:space="preserve">amino acids, protective and non-protective strains do not show </w:t>
      </w:r>
      <w:r>
        <w:rPr>
          <w:rFonts w:ascii="Aptos" w:eastAsia="Times New Roman" w:hAnsi="Aptos"/>
        </w:rPr>
        <w:t>significant</w:t>
      </w:r>
      <w:r w:rsidRPr="000153B5">
        <w:rPr>
          <w:rFonts w:ascii="Aptos" w:eastAsia="Times New Roman" w:hAnsi="Aptos"/>
        </w:rPr>
        <w:t xml:space="preserve"> competitive differences, suggesting that it is the cumulative </w:t>
      </w:r>
      <w:r w:rsidRPr="000153B5">
        <w:rPr>
          <w:rFonts w:ascii="Aptos" w:eastAsia="Times New Roman" w:hAnsi="Aptos"/>
        </w:rPr>
        <w:lastRenderedPageBreak/>
        <w:t xml:space="preserve">niche breadth across diverse substrate classes, that underlies the capacity for strain displacement </w:t>
      </w:r>
    </w:p>
    <w:p w14:paraId="5C088B3B" w14:textId="77777777" w:rsidR="003128FF" w:rsidRDefault="003128FF" w:rsidP="00197F2A">
      <w:pPr>
        <w:ind w:firstLine="720"/>
        <w:rPr>
          <w:rFonts w:ascii="Aptos" w:eastAsia="Times New Roman" w:hAnsi="Aptos"/>
        </w:rPr>
      </w:pPr>
      <w:r w:rsidRPr="000153B5">
        <w:rPr>
          <w:rFonts w:ascii="Aptos" w:eastAsia="Times New Roman" w:hAnsi="Aptos"/>
        </w:rPr>
        <w:t>A two-species consumer-resource model captures this dynamic formally</w:t>
      </w:r>
      <w:r>
        <w:rPr>
          <w:rFonts w:ascii="Aptos" w:eastAsia="Times New Roman" w:hAnsi="Aptos"/>
        </w:rPr>
        <w:t>.</w:t>
      </w:r>
      <w:r w:rsidRPr="000153B5">
        <w:rPr>
          <w:rFonts w:ascii="Aptos" w:eastAsia="Times New Roman" w:hAnsi="Aptos"/>
        </w:rPr>
        <w:t xml:space="preserve"> </w:t>
      </w:r>
      <w:r>
        <w:rPr>
          <w:rFonts w:ascii="Aptos" w:eastAsia="Times New Roman" w:hAnsi="Aptos"/>
        </w:rPr>
        <w:t>P</w:t>
      </w:r>
      <w:r w:rsidRPr="000153B5">
        <w:rPr>
          <w:rFonts w:ascii="Aptos" w:eastAsia="Times New Roman" w:hAnsi="Aptos"/>
        </w:rPr>
        <w:t>rior work has established that such models, successfully predict pairwise competitive outcomes among gut bacteria</w:t>
      </w:r>
      <w:hyperlink r:id="rId37" w:history="1">
        <w:r>
          <w:rPr>
            <w:rFonts w:ascii="Aptos" w:eastAsia="Times New Roman" w:hAnsi="Aptos"/>
          </w:rPr>
          <w:t>(Ho </w:t>
        </w:r>
        <w:r>
          <w:rPr>
            <w:rFonts w:ascii="Aptos" w:eastAsia="Times New Roman" w:hAnsi="Aptos"/>
            <w:i/>
          </w:rPr>
          <w:t>et al.</w:t>
        </w:r>
        <w:r>
          <w:rPr>
            <w:rFonts w:ascii="Aptos" w:eastAsia="Times New Roman" w:hAnsi="Aptos"/>
          </w:rPr>
          <w:t>, 2024)</w:t>
        </w:r>
      </w:hyperlink>
      <w:r w:rsidRPr="000153B5">
        <w:rPr>
          <w:rFonts w:ascii="Aptos" w:eastAsia="Times New Roman" w:hAnsi="Aptos"/>
        </w:rPr>
        <w:t xml:space="preserve">, demonstrating here that </w:t>
      </w:r>
      <w:r>
        <w:rPr>
          <w:rFonts w:ascii="Aptos" w:eastAsia="Times New Roman" w:hAnsi="Aptos"/>
        </w:rPr>
        <w:t xml:space="preserve">in our case the </w:t>
      </w:r>
      <w:r w:rsidRPr="000153B5">
        <w:rPr>
          <w:rFonts w:ascii="Aptos" w:eastAsia="Times New Roman" w:hAnsi="Aptos"/>
        </w:rPr>
        <w:t>niche breadth and private resource utilization are the primary determinants of strain displacement versus coexistence</w:t>
      </w:r>
      <w:r>
        <w:rPr>
          <w:rFonts w:ascii="Aptos" w:eastAsia="Times New Roman" w:hAnsi="Aptos"/>
        </w:rPr>
        <w:t xml:space="preserve">. </w:t>
      </w:r>
      <w:hyperlink r:id="rId38"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eastAsia="Times New Roman" w:hAnsi="Aptos"/>
        </w:rPr>
        <w:t xml:space="preserve"> speculated that the </w:t>
      </w:r>
      <w:r w:rsidRPr="008E6964">
        <w:rPr>
          <w:rFonts w:ascii="Aptos" w:hAnsi="Aptos"/>
        </w:rPr>
        <w:t>ST1</w:t>
      </w:r>
      <w:r>
        <w:rPr>
          <w:rFonts w:ascii="Aptos" w:hAnsi="Aptos"/>
        </w:rPr>
        <w:t>.</w:t>
      </w:r>
      <w:r w:rsidRPr="008E6964">
        <w:rPr>
          <w:rFonts w:ascii="Aptos" w:hAnsi="Aptos"/>
        </w:rPr>
        <w:t>75's protection is associated with faster amino acid depletion relative to the epidemic strain R20291, with amino acid supplementation abolishing the competitive advantage</w:t>
      </w:r>
      <w:r>
        <w:rPr>
          <w:rFonts w:ascii="Aptos" w:hAnsi="Aptos"/>
        </w:rPr>
        <w:t xml:space="preserve">. We observed similar phenotypes while comparing ST1.75 and VPI10463 but our model shows </w:t>
      </w:r>
      <w:r>
        <w:rPr>
          <w:rFonts w:ascii="Aptos" w:eastAsia="Times New Roman" w:hAnsi="Aptos"/>
        </w:rPr>
        <w:t xml:space="preserve">that the faster consumption of shared nutrients contributes to only the fitness advantage but is not a major factor in determining strain displacement </w:t>
      </w:r>
      <w:r w:rsidRPr="000153B5">
        <w:rPr>
          <w:rFonts w:ascii="Aptos" w:eastAsia="Times New Roman" w:hAnsi="Aptos"/>
        </w:rPr>
        <w:t xml:space="preserve">. </w:t>
      </w:r>
      <w:r w:rsidRPr="000F17FF">
        <w:rPr>
          <w:rFonts w:ascii="Aptos" w:eastAsia="Times New Roman" w:hAnsi="Aptos"/>
        </w:rPr>
        <w:t xml:space="preserve">Bacterial metabolic properties are </w:t>
      </w:r>
      <w:r>
        <w:rPr>
          <w:rFonts w:ascii="Aptos" w:eastAsia="Times New Roman" w:hAnsi="Aptos"/>
        </w:rPr>
        <w:t xml:space="preserve">one of the </w:t>
      </w:r>
      <w:r w:rsidRPr="000F17FF">
        <w:rPr>
          <w:rFonts w:ascii="Aptos" w:eastAsia="Times New Roman" w:hAnsi="Aptos"/>
        </w:rPr>
        <w:t xml:space="preserve">central determinants of microbial community composition and, consequently, of host health outcomes, a relationship that is particularly consequential in </w:t>
      </w:r>
      <w:r w:rsidRPr="000F17FF">
        <w:rPr>
          <w:rFonts w:ascii="Aptos" w:eastAsia="Times New Roman" w:hAnsi="Aptos"/>
          <w:i/>
          <w:iCs/>
        </w:rPr>
        <w:t>C. difficile</w:t>
      </w:r>
      <w:r w:rsidRPr="000F17FF">
        <w:rPr>
          <w:rFonts w:ascii="Aptos" w:eastAsia="Times New Roman" w:hAnsi="Aptos"/>
        </w:rPr>
        <w:t xml:space="preserve"> infection, where strain-level competitive dynamics can determine the difference between asymptomatic colonization and life-threatening disease. This work demonstrates that strain displacement driven by metabolic niche differences can explain complex </w:t>
      </w:r>
      <w:r w:rsidRPr="000F17FF">
        <w:rPr>
          <w:rFonts w:ascii="Aptos" w:eastAsia="Times New Roman" w:hAnsi="Aptos"/>
          <w:i/>
          <w:iCs/>
        </w:rPr>
        <w:t>in vivo</w:t>
      </w:r>
      <w:r w:rsidRPr="000F17FF">
        <w:rPr>
          <w:rFonts w:ascii="Aptos" w:eastAsia="Times New Roman" w:hAnsi="Aptos"/>
        </w:rPr>
        <w:t xml:space="preserve"> protection </w:t>
      </w:r>
      <w:proofErr w:type="gramStart"/>
      <w:r w:rsidRPr="000F17FF">
        <w:rPr>
          <w:rFonts w:ascii="Aptos" w:eastAsia="Times New Roman" w:hAnsi="Aptos"/>
        </w:rPr>
        <w:t>phenotypes, and</w:t>
      </w:r>
      <w:proofErr w:type="gramEnd"/>
      <w:r w:rsidRPr="000F17FF">
        <w:rPr>
          <w:rFonts w:ascii="Aptos" w:eastAsia="Times New Roman" w:hAnsi="Aptos"/>
        </w:rPr>
        <w:t xml:space="preserve"> offers an ecologically grounded framework for the rational design of single-strain live biotherapeutic interventions against </w:t>
      </w:r>
      <w:r w:rsidRPr="000153B5">
        <w:rPr>
          <w:rFonts w:ascii="Aptos" w:eastAsia="Times New Roman" w:hAnsi="Aptos"/>
        </w:rPr>
        <w:t>CD</w:t>
      </w:r>
      <w:r>
        <w:rPr>
          <w:rFonts w:ascii="Aptos" w:eastAsia="Times New Roman" w:hAnsi="Aptos"/>
        </w:rPr>
        <w:t>I.</w:t>
      </w:r>
    </w:p>
    <w:p w14:paraId="4ED22DF3" w14:textId="77777777" w:rsidR="003128FF" w:rsidRDefault="003128FF" w:rsidP="0069662D">
      <w:pPr>
        <w:pStyle w:val="Heading1"/>
      </w:pPr>
      <w:r>
        <w:t>Results</w:t>
      </w:r>
    </w:p>
    <w:p w14:paraId="7039A31C" w14:textId="77777777" w:rsidR="003128FF" w:rsidRDefault="003128FF" w:rsidP="00823C29">
      <w:pPr>
        <w:pStyle w:val="Heading3"/>
      </w:pPr>
      <w:r w:rsidRPr="00823C29">
        <w:rPr>
          <w:i/>
          <w:iCs/>
        </w:rPr>
        <w:t>C. difficile</w:t>
      </w:r>
      <w:r>
        <w:t xml:space="preserve"> ST1 strains vary in their protection against VPI</w:t>
      </w:r>
    </w:p>
    <w:p w14:paraId="6E334F39" w14:textId="77777777" w:rsidR="003128FF" w:rsidRDefault="003128FF" w:rsidP="00244F9E">
      <w:pPr>
        <w:ind w:firstLine="720"/>
        <w:rPr>
          <w:rFonts w:ascii="Aptos" w:eastAsia="Times New Roman" w:hAnsi="Aptos"/>
        </w:rPr>
      </w:pPr>
      <w:r>
        <w:tab/>
        <w:t xml:space="preserve">We selected 21 clinical isolates of </w:t>
      </w:r>
      <w:r w:rsidRPr="00823C29">
        <w:rPr>
          <w:i/>
          <w:iCs/>
        </w:rPr>
        <w:t>C. difficile</w:t>
      </w:r>
      <w:r>
        <w:t xml:space="preserve"> from MLST1 (</w:t>
      </w:r>
      <w:proofErr w:type="spellStart"/>
      <w:r>
        <w:t>ribotype</w:t>
      </w:r>
      <w:proofErr w:type="spellEnd"/>
      <w:r>
        <w:t xml:space="preserve"> RT027) that were isolated from patients with diarrhea admitted at Memorial Sloan Kettering Cancer Center, New York, during a molecular surveillance program (2013-2017)</w:t>
      </w:r>
      <w:hyperlink r:id="rId39" w:history="1">
        <w:r>
          <w:rPr>
            <w:rFonts w:ascii="Aptos" w:eastAsia="Times New Roman" w:hAnsi="Aptos"/>
          </w:rPr>
          <w:t>(Miles‑Jay </w:t>
        </w:r>
        <w:r>
          <w:rPr>
            <w:rFonts w:ascii="Aptos" w:eastAsia="Times New Roman" w:hAnsi="Aptos"/>
            <w:i/>
          </w:rPr>
          <w:t>et al.</w:t>
        </w:r>
        <w:r>
          <w:rPr>
            <w:rFonts w:ascii="Aptos" w:eastAsia="Times New Roman" w:hAnsi="Aptos"/>
          </w:rPr>
          <w:t>, 2021)</w:t>
        </w:r>
      </w:hyperlink>
      <w:r>
        <w:rPr>
          <w:rFonts w:ascii="Aptos" w:eastAsia="Times New Roman" w:hAnsi="Aptos"/>
        </w:rPr>
        <w:t xml:space="preserve">. These strains have been previously </w:t>
      </w:r>
      <w:proofErr w:type="gramStart"/>
      <w:r>
        <w:rPr>
          <w:rFonts w:ascii="Aptos" w:eastAsia="Times New Roman" w:hAnsi="Aptos"/>
        </w:rPr>
        <w:t>whole-genome</w:t>
      </w:r>
      <w:proofErr w:type="gramEnd"/>
      <w:r>
        <w:rPr>
          <w:rFonts w:ascii="Aptos" w:eastAsia="Times New Roman" w:hAnsi="Aptos"/>
        </w:rPr>
        <w:t xml:space="preserve"> sequenced, revealing that these 21 have an average nucleotide identity (ANI) score &gt; 99.84%. Previous work with a </w:t>
      </w:r>
      <w:proofErr w:type="spellStart"/>
      <w:r>
        <w:rPr>
          <w:rFonts w:ascii="Aptos" w:eastAsia="Times New Roman" w:hAnsi="Aptos"/>
        </w:rPr>
        <w:t>smiliar</w:t>
      </w:r>
      <w:proofErr w:type="spellEnd"/>
      <w:r>
        <w:rPr>
          <w:rFonts w:ascii="Aptos" w:eastAsia="Times New Roman" w:hAnsi="Aptos"/>
        </w:rPr>
        <w:t xml:space="preserve"> set of strains showed wide variation in virulence phenotypes </w:t>
      </w:r>
      <w:hyperlink r:id="rId40" w:history="1">
        <w:r>
          <w:rPr>
            <w:rFonts w:ascii="Aptos" w:eastAsia="Times New Roman" w:hAnsi="Aptos"/>
          </w:rPr>
          <w:t>(Dong </w:t>
        </w:r>
        <w:r>
          <w:rPr>
            <w:rFonts w:ascii="Aptos" w:eastAsia="Times New Roman" w:hAnsi="Aptos"/>
            <w:i/>
          </w:rPr>
          <w:t>et al.</w:t>
        </w:r>
        <w:r>
          <w:rPr>
            <w:rFonts w:ascii="Aptos" w:eastAsia="Times New Roman" w:hAnsi="Aptos"/>
          </w:rPr>
          <w:t>, 2023a)</w:t>
        </w:r>
      </w:hyperlink>
      <w:r>
        <w:rPr>
          <w:rFonts w:ascii="Aptos" w:eastAsia="Times New Roman" w:hAnsi="Aptos"/>
        </w:rPr>
        <w:t>. We were also able to confirm this variation among our 21 clinical isolates . To test this, we treated conventional B6 mice (individually housed) with an antibiotic cocktail of metronidazole, neomycin, and vancomycin (MVN) in their drinking water for 3 days, followed by 2 days of antibiotic cessation, during which the mice received regular water. Then we administered clindamycin intraperitoneally (</w:t>
      </w:r>
      <w:proofErr w:type="spellStart"/>
      <w:r>
        <w:rPr>
          <w:rFonts w:ascii="Aptos" w:eastAsia="Times New Roman" w:hAnsi="Aptos"/>
        </w:rPr>
        <w:t>i.p.</w:t>
      </w:r>
      <w:proofErr w:type="spellEnd"/>
      <w:r>
        <w:rPr>
          <w:rFonts w:ascii="Aptos" w:eastAsia="Times New Roman" w:hAnsi="Aptos"/>
        </w:rPr>
        <w:t xml:space="preserve">) 2 days after and 24 hours later, mice were given 200-400 spores of one of the 21 </w:t>
      </w:r>
      <w:r w:rsidRPr="00411A6F">
        <w:rPr>
          <w:rFonts w:ascii="Aptos" w:eastAsia="Times New Roman" w:hAnsi="Aptos"/>
          <w:i/>
          <w:iCs/>
        </w:rPr>
        <w:t>C. difficile</w:t>
      </w:r>
      <w:r>
        <w:rPr>
          <w:rFonts w:ascii="Aptos" w:eastAsia="Times New Roman" w:hAnsi="Aptos"/>
        </w:rPr>
        <w:t xml:space="preserve"> strains through oral gavage. During infection period, the mice showed different disease symptoms, including weight loss, diarrhea, and even mortality (</w:t>
      </w:r>
      <w:r w:rsidRPr="00B737A2">
        <w:rPr>
          <w:rFonts w:ascii="Aptos" w:eastAsia="Times New Roman" w:hAnsi="Aptos"/>
        </w:rPr>
        <w:t>n=21 out of 296 mice</w:t>
      </w:r>
      <w:r>
        <w:rPr>
          <w:rFonts w:ascii="Aptos" w:eastAsia="Times New Roman" w:hAnsi="Aptos"/>
        </w:rPr>
        <w:t>) as shown in Figure 1A -1B</w:t>
      </w:r>
      <w:r w:rsidRPr="00B60CA7">
        <w:rPr>
          <w:rFonts w:ascii="Aptos" w:eastAsia="Times New Roman" w:hAnsi="Aptos"/>
        </w:rPr>
        <w:t xml:space="preserve">. </w:t>
      </w:r>
      <w:r w:rsidRPr="00B60CA7">
        <w:rPr>
          <w:rFonts w:ascii="Aptos" w:eastAsia="Times New Roman" w:hAnsi="Aptos"/>
          <w:kern w:val="0"/>
          <w14:ligatures w14:val="none"/>
        </w:rPr>
        <w:t xml:space="preserve">Analysis of the weight loss </w:t>
      </w:r>
      <w:r w:rsidRPr="00B60CA7">
        <w:rPr>
          <w:rFonts w:ascii="Aptos" w:eastAsia="Times New Roman" w:hAnsi="Aptos"/>
          <w:kern w:val="0"/>
          <w14:ligatures w14:val="none"/>
        </w:rPr>
        <w:lastRenderedPageBreak/>
        <w:t xml:space="preserve">trajectory revealed that each strain had an impact on the mice consistent with the virulence score reported earlier </w:t>
      </w:r>
      <w:hyperlink r:id="rId41" w:history="1">
        <w:r>
          <w:rPr>
            <w:rFonts w:ascii="Aptos" w:eastAsia="Times New Roman" w:hAnsi="Aptos"/>
          </w:rPr>
          <w:t>(Dong </w:t>
        </w:r>
        <w:r>
          <w:rPr>
            <w:rFonts w:ascii="Aptos" w:eastAsia="Times New Roman" w:hAnsi="Aptos"/>
            <w:i/>
          </w:rPr>
          <w:t>et al.</w:t>
        </w:r>
        <w:r>
          <w:rPr>
            <w:rFonts w:ascii="Aptos" w:eastAsia="Times New Roman" w:hAnsi="Aptos"/>
          </w:rPr>
          <w:t>, 2023b)</w:t>
        </w:r>
      </w:hyperlink>
      <w:r>
        <w:rPr>
          <w:rFonts w:ascii="Aptos" w:eastAsia="Times New Roman" w:hAnsi="Aptos"/>
          <w:kern w:val="0"/>
          <w14:ligatures w14:val="none"/>
        </w:rPr>
        <w:t>; for example, while ST1.75 and ST1.6 are avirulent colonizers,</w:t>
      </w:r>
      <w:r>
        <w:rPr>
          <w:rFonts w:ascii="Aptos" w:eastAsia="Times New Roman" w:hAnsi="Aptos"/>
        </w:rPr>
        <w:t xml:space="preserve"> strains like ST1.2 and ST1.12 lead to severe weight loss, diarrhea and death in some cases (Figure 1C). </w:t>
      </w:r>
    </w:p>
    <w:p w14:paraId="417326AF" w14:textId="77777777" w:rsidR="003128FF" w:rsidRDefault="003128FF" w:rsidP="00D91D07">
      <w:pPr>
        <w:rPr>
          <w:rFonts w:ascii="Aptos" w:eastAsia="Times New Roman" w:hAnsi="Aptos"/>
        </w:rPr>
      </w:pPr>
      <w:r>
        <w:rPr>
          <w:rFonts w:ascii="Aptos" w:eastAsia="Times New Roman" w:hAnsi="Aptos"/>
        </w:rPr>
        <w:tab/>
        <w:t xml:space="preserve">To expand on the previous findings that low virulent strains such as ST1.75 confers protection against a virulent rechallenge </w:t>
      </w:r>
      <w:bookmarkStart w:id="0" w:name="OLE_LINK2"/>
      <w:r w:rsidRPr="00093A24">
        <w:rPr>
          <w:rFonts w:ascii="Aptos" w:eastAsia="Times New Roman" w:hAnsi="Aptos"/>
        </w:rPr>
        <w:t>(Dong et al. 2025)</w:t>
      </w:r>
      <w:bookmarkEnd w:id="0"/>
      <w:r>
        <w:rPr>
          <w:rFonts w:ascii="Aptos" w:eastAsia="Times New Roman" w:hAnsi="Aptos"/>
        </w:rPr>
        <w:t xml:space="preserve">, we performed the same infection protocol explained above but at the end of the 11 days of disease symptom observations, the surviving mice received the secondary rechallenge, which consisted of infecting them with 200-400 spores of </w:t>
      </w:r>
      <w:bookmarkStart w:id="1" w:name="OLE_LINK3"/>
      <w:r>
        <w:rPr>
          <w:rFonts w:ascii="Aptos" w:eastAsia="Times New Roman" w:hAnsi="Aptos"/>
        </w:rPr>
        <w:t>VPI</w:t>
      </w:r>
      <w:r w:rsidRPr="003D13CA">
        <w:rPr>
          <w:rFonts w:ascii="Aptos" w:eastAsia="Times New Roman" w:hAnsi="Aptos"/>
        </w:rPr>
        <w:t>10463</w:t>
      </w:r>
      <w:r>
        <w:rPr>
          <w:rFonts w:ascii="Aptos" w:eastAsia="Times New Roman" w:hAnsi="Aptos"/>
        </w:rPr>
        <w:t xml:space="preserve"> </w:t>
      </w:r>
      <w:bookmarkEnd w:id="1"/>
      <w:r>
        <w:rPr>
          <w:rFonts w:ascii="Aptos" w:eastAsia="Times New Roman" w:hAnsi="Aptos"/>
        </w:rPr>
        <w:t xml:space="preserve">strain through oral gavage following the </w:t>
      </w:r>
      <w:proofErr w:type="spellStart"/>
      <w:r>
        <w:rPr>
          <w:rFonts w:ascii="Aptos" w:eastAsia="Times New Roman" w:hAnsi="Aptos"/>
        </w:rPr>
        <w:t>the</w:t>
      </w:r>
      <w:proofErr w:type="spellEnd"/>
      <w:r>
        <w:rPr>
          <w:rFonts w:ascii="Aptos" w:eastAsia="Times New Roman" w:hAnsi="Aptos"/>
        </w:rPr>
        <w:t xml:space="preserve"> set antibiotic treatment. We saw, consistent with previous the previous </w:t>
      </w:r>
      <w:r w:rsidRPr="0033543B">
        <w:rPr>
          <w:rFonts w:ascii="Aptos" w:eastAsia="Times New Roman" w:hAnsi="Aptos"/>
        </w:rPr>
        <w:t>studies</w:t>
      </w:r>
      <w:hyperlink r:id="rId42" w:history="1">
        <w:r>
          <w:rPr>
            <w:rFonts w:ascii="Aptos" w:eastAsia="Times New Roman" w:hAnsi="Aptos"/>
          </w:rPr>
          <w:t>(Dong </w:t>
        </w:r>
        <w:r>
          <w:rPr>
            <w:rFonts w:ascii="Aptos" w:eastAsia="Times New Roman" w:hAnsi="Aptos"/>
            <w:i/>
          </w:rPr>
          <w:t>et al.</w:t>
        </w:r>
        <w:r>
          <w:rPr>
            <w:rFonts w:ascii="Aptos" w:eastAsia="Times New Roman" w:hAnsi="Aptos"/>
          </w:rPr>
          <w:t>, 2025)</w:t>
        </w:r>
      </w:hyperlink>
      <w:r w:rsidRPr="0033543B">
        <w:rPr>
          <w:rFonts w:ascii="Aptos" w:eastAsia="Times New Roman" w:hAnsi="Aptos"/>
        </w:rPr>
        <w:t xml:space="preserve"> </w:t>
      </w:r>
      <w:hyperlink r:id="rId43" w:history="1">
        <w:r>
          <w:rPr>
            <w:rFonts w:ascii="Aptos" w:eastAsia="Times New Roman" w:hAnsi="Aptos"/>
          </w:rPr>
          <w:t>(Shim </w:t>
        </w:r>
        <w:r>
          <w:rPr>
            <w:rFonts w:ascii="Aptos" w:eastAsia="Times New Roman" w:hAnsi="Aptos"/>
            <w:i/>
          </w:rPr>
          <w:t>et al.</w:t>
        </w:r>
        <w:r>
          <w:rPr>
            <w:rFonts w:ascii="Aptos" w:eastAsia="Times New Roman" w:hAnsi="Aptos"/>
          </w:rPr>
          <w:t>, 1998; Leslie </w:t>
        </w:r>
        <w:r>
          <w:rPr>
            <w:rFonts w:ascii="Aptos" w:eastAsia="Times New Roman" w:hAnsi="Aptos"/>
            <w:i/>
          </w:rPr>
          <w:t>et al.</w:t>
        </w:r>
        <w:r>
          <w:rPr>
            <w:rFonts w:ascii="Aptos" w:eastAsia="Times New Roman" w:hAnsi="Aptos"/>
          </w:rPr>
          <w:t>, 2021)</w:t>
        </w:r>
      </w:hyperlink>
      <w:r w:rsidRPr="0033543B">
        <w:rPr>
          <w:rFonts w:ascii="Aptos" w:eastAsia="Times New Roman" w:hAnsi="Aptos"/>
        </w:rPr>
        <w:t xml:space="preserve">, that </w:t>
      </w:r>
      <w:proofErr w:type="spellStart"/>
      <w:r w:rsidRPr="0033543B">
        <w:rPr>
          <w:rFonts w:ascii="Aptos" w:eastAsia="Times New Roman" w:hAnsi="Aptos"/>
        </w:rPr>
        <w:t>precolonization</w:t>
      </w:r>
      <w:proofErr w:type="spellEnd"/>
      <w:r w:rsidRPr="0033543B">
        <w:rPr>
          <w:rFonts w:ascii="Aptos" w:eastAsia="Times New Roman" w:hAnsi="Aptos"/>
        </w:rPr>
        <w:t xml:space="preserve"> </w:t>
      </w:r>
      <w:r>
        <w:rPr>
          <w:rFonts w:ascii="Aptos" w:eastAsia="Times New Roman" w:hAnsi="Aptos"/>
        </w:rPr>
        <w:t xml:space="preserve">by the avirulent strain ST1.75 </w:t>
      </w:r>
      <w:proofErr w:type="spellStart"/>
      <w:r>
        <w:rPr>
          <w:rFonts w:ascii="Aptos" w:eastAsia="Times New Roman" w:hAnsi="Aptos"/>
        </w:rPr>
        <w:t>confered</w:t>
      </w:r>
      <w:proofErr w:type="spellEnd"/>
      <w:r>
        <w:rPr>
          <w:rFonts w:ascii="Aptos" w:eastAsia="Times New Roman" w:hAnsi="Aptos"/>
        </w:rPr>
        <w:t xml:space="preserve"> protection </w:t>
      </w:r>
      <w:r w:rsidRPr="0033543B">
        <w:rPr>
          <w:rFonts w:ascii="Aptos" w:eastAsia="Times New Roman" w:hAnsi="Aptos"/>
        </w:rPr>
        <w:t xml:space="preserve">against </w:t>
      </w:r>
      <w:r>
        <w:rPr>
          <w:rFonts w:ascii="Aptos" w:eastAsia="Times New Roman" w:hAnsi="Aptos"/>
        </w:rPr>
        <w:t xml:space="preserve">the </w:t>
      </w:r>
      <w:r w:rsidRPr="0033543B">
        <w:rPr>
          <w:rFonts w:ascii="Aptos" w:eastAsia="Times New Roman" w:hAnsi="Aptos"/>
        </w:rPr>
        <w:t xml:space="preserve">secondary </w:t>
      </w:r>
      <w:r>
        <w:rPr>
          <w:rFonts w:ascii="Aptos" w:eastAsia="Times New Roman" w:hAnsi="Aptos"/>
        </w:rPr>
        <w:t>VPI</w:t>
      </w:r>
      <w:r w:rsidRPr="003D13CA">
        <w:rPr>
          <w:rFonts w:ascii="Aptos" w:eastAsia="Times New Roman" w:hAnsi="Aptos"/>
        </w:rPr>
        <w:t>10463</w:t>
      </w:r>
      <w:r>
        <w:rPr>
          <w:rFonts w:ascii="Aptos" w:eastAsia="Times New Roman" w:hAnsi="Aptos"/>
        </w:rPr>
        <w:t xml:space="preserve"> </w:t>
      </w:r>
      <w:r w:rsidRPr="0033543B">
        <w:rPr>
          <w:rFonts w:ascii="Aptos" w:eastAsia="Times New Roman" w:hAnsi="Aptos"/>
        </w:rPr>
        <w:t>infection</w:t>
      </w:r>
      <w:r>
        <w:rPr>
          <w:rFonts w:ascii="Aptos" w:eastAsia="Times New Roman" w:hAnsi="Aptos"/>
        </w:rPr>
        <w:t>, whereas the strain ST1.68 only offered partial protection (Figure 1D)</w:t>
      </w:r>
      <w:r w:rsidRPr="0033543B">
        <w:rPr>
          <w:rFonts w:ascii="Aptos" w:eastAsia="Times New Roman" w:hAnsi="Aptos"/>
        </w:rPr>
        <w:t xml:space="preserve">. </w:t>
      </w:r>
    </w:p>
    <w:p w14:paraId="799FCD7B" w14:textId="77777777" w:rsidR="003128FF" w:rsidRDefault="003128FF" w:rsidP="006217D1">
      <w:pPr>
        <w:rPr>
          <w:rFonts w:ascii="Aptos" w:eastAsia="Times New Roman" w:hAnsi="Aptos"/>
        </w:rPr>
      </w:pPr>
      <w:r>
        <w:rPr>
          <w:rFonts w:ascii="Aptos" w:eastAsia="Times New Roman" w:hAnsi="Aptos"/>
        </w:rPr>
        <w:tab/>
        <w:t>We also did co-infection experiments where we gave VPI10463 strain along with the ST1 strain. As observed before mice co-infected with strain ST1.75 survived the infection showing minimal disease symptom whereas mice co-infected with ST1.68 did not show such protection. This infection schedule allowed us to test whether the other 19 strains also offered protection against a challenge by VPI</w:t>
      </w:r>
      <w:r w:rsidRPr="003D13CA">
        <w:rPr>
          <w:rFonts w:ascii="Aptos" w:eastAsia="Times New Roman" w:hAnsi="Aptos"/>
        </w:rPr>
        <w:t>10463</w:t>
      </w:r>
      <w:r>
        <w:rPr>
          <w:rFonts w:ascii="Aptos" w:eastAsia="Times New Roman" w:hAnsi="Aptos"/>
        </w:rPr>
        <w:t xml:space="preserve">. </w:t>
      </w:r>
      <w:r w:rsidRPr="0033543B">
        <w:rPr>
          <w:rFonts w:ascii="Aptos" w:eastAsia="Times New Roman" w:hAnsi="Aptos"/>
        </w:rPr>
        <w:t>Also, perhaps expectedly, the</w:t>
      </w:r>
      <w:r>
        <w:rPr>
          <w:rFonts w:ascii="Aptos" w:eastAsia="Times New Roman" w:hAnsi="Aptos"/>
        </w:rPr>
        <w:t xml:space="preserve"> virulent</w:t>
      </w:r>
      <w:r w:rsidRPr="0033543B">
        <w:rPr>
          <w:rFonts w:ascii="Aptos" w:eastAsia="Times New Roman" w:hAnsi="Aptos"/>
        </w:rPr>
        <w:t xml:space="preserve"> strains that </w:t>
      </w:r>
      <w:r>
        <w:rPr>
          <w:rFonts w:ascii="Aptos" w:eastAsia="Times New Roman" w:hAnsi="Aptos"/>
        </w:rPr>
        <w:t>ST1</w:t>
      </w:r>
      <w:r w:rsidRPr="0033543B">
        <w:rPr>
          <w:rFonts w:ascii="Aptos" w:eastAsia="Times New Roman" w:hAnsi="Aptos"/>
        </w:rPr>
        <w:t>.2 and ST1.11</w:t>
      </w:r>
      <w:r>
        <w:rPr>
          <w:rFonts w:ascii="Aptos" w:eastAsia="Times New Roman" w:hAnsi="Aptos"/>
        </w:rPr>
        <w:t xml:space="preserve"> did not protect against the VPI10463 challenge. </w:t>
      </w:r>
      <w:r>
        <w:rPr>
          <w:rFonts w:ascii="Aptos" w:eastAsia="Times New Roman" w:hAnsi="Aptos"/>
          <w:kern w:val="0"/>
          <w14:ligatures w14:val="none"/>
        </w:rPr>
        <w:t>Interestingly, however, among those strains that showed intermediate virulence (like ST1.25, ST1.57),</w:t>
      </w:r>
      <w:r>
        <w:rPr>
          <w:rFonts w:ascii="Aptos" w:eastAsia="Times New Roman" w:hAnsi="Aptos"/>
        </w:rPr>
        <w:t xml:space="preserve"> some </w:t>
      </w:r>
      <w:r w:rsidRPr="00411A6F">
        <w:rPr>
          <w:rFonts w:ascii="Aptos" w:eastAsia="Times New Roman" w:hAnsi="Aptos"/>
        </w:rPr>
        <w:t xml:space="preserve">provided </w:t>
      </w:r>
      <w:r>
        <w:rPr>
          <w:rFonts w:ascii="Aptos" w:eastAsia="Times New Roman" w:hAnsi="Aptos"/>
        </w:rPr>
        <w:t>substantial</w:t>
      </w:r>
      <w:r w:rsidRPr="00411A6F">
        <w:rPr>
          <w:rFonts w:ascii="Aptos" w:eastAsia="Times New Roman" w:hAnsi="Aptos"/>
        </w:rPr>
        <w:t xml:space="preserve"> protection</w:t>
      </w:r>
      <w:r>
        <w:rPr>
          <w:rFonts w:ascii="Aptos" w:eastAsia="Times New Roman" w:hAnsi="Aptos"/>
        </w:rPr>
        <w:t xml:space="preserve"> against VPI</w:t>
      </w:r>
      <w:r w:rsidRPr="003D13CA">
        <w:rPr>
          <w:rFonts w:ascii="Aptos" w:eastAsia="Times New Roman" w:hAnsi="Aptos"/>
        </w:rPr>
        <w:t>10463</w:t>
      </w:r>
      <w:r>
        <w:rPr>
          <w:rFonts w:ascii="Aptos" w:eastAsia="Times New Roman" w:hAnsi="Aptos"/>
        </w:rPr>
        <w:t xml:space="preserve">, while </w:t>
      </w:r>
      <w:r w:rsidRPr="00411A6F">
        <w:rPr>
          <w:rFonts w:ascii="Aptos" w:eastAsia="Times New Roman" w:hAnsi="Aptos"/>
        </w:rPr>
        <w:t>others</w:t>
      </w:r>
      <w:r>
        <w:rPr>
          <w:rFonts w:ascii="Aptos" w:eastAsia="Times New Roman" w:hAnsi="Aptos"/>
        </w:rPr>
        <w:t xml:space="preserve"> (like ST1.53, ST1.67, ST1.68, ST1.19) did</w:t>
      </w:r>
      <w:r w:rsidRPr="00411A6F">
        <w:rPr>
          <w:rFonts w:ascii="Aptos" w:eastAsia="Times New Roman" w:hAnsi="Aptos"/>
        </w:rPr>
        <w:t xml:space="preserve"> not confer any protection at all</w:t>
      </w:r>
      <w:r>
        <w:rPr>
          <w:rFonts w:ascii="Aptos" w:eastAsia="Times New Roman" w:hAnsi="Aptos"/>
        </w:rPr>
        <w:t xml:space="preserve"> (Figure 1E-1F)</w:t>
      </w:r>
      <w:r w:rsidRPr="00411A6F">
        <w:rPr>
          <w:rFonts w:ascii="Aptos" w:eastAsia="Times New Roman" w:hAnsi="Aptos"/>
        </w:rPr>
        <w:t>.</w:t>
      </w:r>
    </w:p>
    <w:p w14:paraId="029AD396" w14:textId="77777777" w:rsidR="003128FF" w:rsidRDefault="003128FF" w:rsidP="00411A6F">
      <w:pPr>
        <w:rPr>
          <w:rFonts w:ascii="Aptos" w:eastAsia="Times New Roman" w:hAnsi="Aptos"/>
        </w:rPr>
      </w:pPr>
      <w:r>
        <w:rPr>
          <w:rFonts w:ascii="Aptos" w:eastAsia="Times New Roman" w:hAnsi="Aptos"/>
        </w:rPr>
        <w:tab/>
        <w:t xml:space="preserve">To quantify the extent of protection </w:t>
      </w:r>
      <w:proofErr w:type="spellStart"/>
      <w:r>
        <w:rPr>
          <w:rFonts w:ascii="Aptos" w:eastAsia="Times New Roman" w:hAnsi="Aptos"/>
        </w:rPr>
        <w:t>confered</w:t>
      </w:r>
      <w:proofErr w:type="spellEnd"/>
      <w:r>
        <w:rPr>
          <w:rFonts w:ascii="Aptos" w:eastAsia="Times New Roman" w:hAnsi="Aptos"/>
        </w:rPr>
        <w:t xml:space="preserve"> by each strain to VPI</w:t>
      </w:r>
      <w:r w:rsidRPr="003D13CA">
        <w:rPr>
          <w:rFonts w:ascii="Aptos" w:eastAsia="Times New Roman" w:hAnsi="Aptos"/>
        </w:rPr>
        <w:t>10463</w:t>
      </w:r>
      <w:r>
        <w:rPr>
          <w:rFonts w:ascii="Aptos" w:eastAsia="Times New Roman" w:hAnsi="Aptos"/>
        </w:rPr>
        <w:t>, we u</w:t>
      </w:r>
      <w:r w:rsidRPr="00411A6F">
        <w:rPr>
          <w:rFonts w:ascii="Aptos" w:eastAsia="Times New Roman" w:hAnsi="Aptos"/>
        </w:rPr>
        <w:t>se</w:t>
      </w:r>
      <w:r>
        <w:rPr>
          <w:rFonts w:ascii="Aptos" w:eastAsia="Times New Roman" w:hAnsi="Aptos"/>
        </w:rPr>
        <w:t>d</w:t>
      </w:r>
      <w:r w:rsidRPr="00411A6F">
        <w:rPr>
          <w:rFonts w:ascii="Aptos" w:eastAsia="Times New Roman" w:hAnsi="Aptos"/>
        </w:rPr>
        <w:t xml:space="preserve"> linear mixed effects models </w:t>
      </w:r>
      <w:r>
        <w:rPr>
          <w:rFonts w:ascii="Aptos" w:eastAsia="Times New Roman" w:hAnsi="Aptos"/>
        </w:rPr>
        <w:t>to model the time series of weight loss during the VPI</w:t>
      </w:r>
      <w:r w:rsidRPr="003D13CA">
        <w:rPr>
          <w:rFonts w:ascii="Aptos" w:eastAsia="Times New Roman" w:hAnsi="Aptos"/>
        </w:rPr>
        <w:t>10463</w:t>
      </w:r>
      <w:r>
        <w:rPr>
          <w:rFonts w:ascii="Aptos" w:eastAsia="Times New Roman" w:hAnsi="Aptos"/>
        </w:rPr>
        <w:t xml:space="preserve"> rechallenge:</w:t>
      </w:r>
    </w:p>
    <w:p w14:paraId="08B3C430" w14:textId="77777777" w:rsidR="003128FF" w:rsidRDefault="003128FF" w:rsidP="00411A6F">
      <w:pPr>
        <w:rPr>
          <w:rFonts w:ascii="Aptos" w:eastAsia="Times New Roman" w:hAnsi="Aptos"/>
        </w:rPr>
      </w:pPr>
      <m:oMathPara>
        <m:oMath>
          <m:r>
            <w:rPr>
              <w:rFonts w:ascii="Cambria Math" w:eastAsia="Times New Roman" w:hAnsi="Cambria Math"/>
            </w:rPr>
            <m:t>Relative Weight ~ Strain+</m:t>
          </m:r>
          <m:d>
            <m:dPr>
              <m:ctrlPr>
                <w:rPr>
                  <w:rFonts w:ascii="Cambria Math" w:eastAsia="Times New Roman" w:hAnsi="Cambria Math"/>
                  <w:i/>
                </w:rPr>
              </m:ctrlPr>
            </m:dPr>
            <m:e>
              <m:r>
                <w:rPr>
                  <w:rFonts w:ascii="Cambria Math" w:eastAsia="Times New Roman" w:hAnsi="Cambria Math"/>
                </w:rPr>
                <m:t>1</m:t>
              </m:r>
            </m:e>
            <m:e>
              <m:r>
                <w:rPr>
                  <w:rFonts w:ascii="Cambria Math" w:eastAsia="Times New Roman" w:hAnsi="Cambria Math"/>
                </w:rPr>
                <m:t>MouseID</m:t>
              </m:r>
            </m:e>
          </m:d>
          <m:r>
            <w:rPr>
              <w:rFonts w:ascii="Cambria Math" w:eastAsia="Times New Roman" w:hAnsi="Cambria Math"/>
            </w:rPr>
            <m:t xml:space="preserve">+(1|Day)  </m:t>
          </m:r>
        </m:oMath>
      </m:oMathPara>
    </w:p>
    <w:p w14:paraId="737A1CBC" w14:textId="77777777" w:rsidR="003128FF" w:rsidRDefault="003128FF" w:rsidP="00BB7990">
      <w:r w:rsidRPr="003934FE">
        <w:t xml:space="preserve">In this model, </w:t>
      </w:r>
      <w:r w:rsidRPr="00B05301">
        <w:rPr>
          <w:i/>
          <w:iCs/>
        </w:rPr>
        <w:t>Strain</w:t>
      </w:r>
      <w:r w:rsidRPr="003934FE">
        <w:t xml:space="preserve"> is a fixed effect to assess its impact on relative weight loss, with </w:t>
      </w:r>
      <w:proofErr w:type="spellStart"/>
      <w:r w:rsidRPr="00B05301">
        <w:rPr>
          <w:i/>
          <w:iCs/>
        </w:rPr>
        <w:t>MouseID</w:t>
      </w:r>
      <w:proofErr w:type="spellEnd"/>
      <w:r w:rsidRPr="003934FE">
        <w:t xml:space="preserve"> and </w:t>
      </w:r>
      <w:r w:rsidRPr="00B05301">
        <w:rPr>
          <w:i/>
          <w:iCs/>
        </w:rPr>
        <w:t>Day</w:t>
      </w:r>
      <w:r w:rsidRPr="003934FE">
        <w:t xml:space="preserve"> as random effects to account for repeated measures and day-to-day differences.</w:t>
      </w:r>
      <w:r>
        <w:t xml:space="preserve"> The model reference of </w:t>
      </w:r>
      <w:proofErr w:type="spellStart"/>
      <w:r>
        <w:t>comparision</w:t>
      </w:r>
      <w:proofErr w:type="spellEnd"/>
      <w:r>
        <w:t xml:space="preserve"> were the mice who received a sham infection by PBS instead of ST1 strain and therefore where not protected against the </w:t>
      </w:r>
      <w:r>
        <w:rPr>
          <w:rFonts w:ascii="Aptos" w:eastAsia="Times New Roman" w:hAnsi="Aptos"/>
        </w:rPr>
        <w:t>VPI</w:t>
      </w:r>
      <w:r w:rsidRPr="003D13CA">
        <w:rPr>
          <w:rFonts w:ascii="Aptos" w:eastAsia="Times New Roman" w:hAnsi="Aptos"/>
        </w:rPr>
        <w:t>10463</w:t>
      </w:r>
      <w:r>
        <w:rPr>
          <w:rFonts w:ascii="Aptos" w:eastAsia="Times New Roman" w:hAnsi="Aptos"/>
        </w:rPr>
        <w:t xml:space="preserve"> challenge. This means the effect size obtained by each strain captures the improvement in weight conferred by the strain’s protection.</w:t>
      </w:r>
      <w:r>
        <w:t xml:space="preserve"> We also used a variant of the model to quantify the virulence of the ST1 strains along with VPI10463 infected mice. The model reference of </w:t>
      </w:r>
      <w:proofErr w:type="spellStart"/>
      <w:r>
        <w:t>comparision</w:t>
      </w:r>
      <w:proofErr w:type="spellEnd"/>
      <w:r>
        <w:t xml:space="preserve"> were the mice who received a sham infection by PBS instead of ST1 strain and thus showed no disease symptoms</w:t>
      </w:r>
      <w:r>
        <w:rPr>
          <w:rFonts w:ascii="Aptos" w:eastAsia="Times New Roman" w:hAnsi="Aptos"/>
        </w:rPr>
        <w:t xml:space="preserve">. This means the effect size </w:t>
      </w:r>
      <w:r>
        <w:rPr>
          <w:rFonts w:ascii="Aptos" w:eastAsia="Times New Roman" w:hAnsi="Aptos"/>
        </w:rPr>
        <w:lastRenderedPageBreak/>
        <w:t>obtained by each strain captures the loss in weight conferred by the infection of that strain (Figure 1G).</w:t>
      </w:r>
    </w:p>
    <w:p w14:paraId="2EAD4B14" w14:textId="77777777" w:rsidR="003128FF" w:rsidRDefault="003128FF" w:rsidP="00E904FA">
      <w:pPr>
        <w:ind w:firstLine="720"/>
      </w:pPr>
      <w:r>
        <w:t xml:space="preserve">We did a linear fit of the effect size for the </w:t>
      </w:r>
      <w:r w:rsidRPr="00907DD2">
        <w:t>Virulence</w:t>
      </w:r>
      <w:r>
        <w:t xml:space="preserve"> vs the effect size for the Protection obtained through the two models described above (Figure 1H)</w:t>
      </w:r>
      <w:r>
        <w:rPr>
          <w:rFonts w:ascii="Aptos" w:eastAsia="Times New Roman" w:hAnsi="Aptos"/>
        </w:rPr>
        <w:t>.</w:t>
      </w:r>
      <w:r w:rsidRPr="003934FE">
        <w:t xml:space="preserve"> </w:t>
      </w:r>
      <w:r>
        <w:t>The fit produced</w:t>
      </w:r>
      <w:r w:rsidRPr="003934FE">
        <w:t xml:space="preserve"> negative and statistically significant </w:t>
      </w:r>
      <w:r>
        <w:t>relationship between virulence and protection effect sizes</w:t>
      </w:r>
      <w:r w:rsidRPr="003934FE">
        <w:t xml:space="preserve"> </w:t>
      </w:r>
      <w:r w:rsidRPr="00907DD2">
        <w:t>(</w:t>
      </w:r>
      <w:r>
        <w:t>R</w:t>
      </w:r>
      <w:r>
        <w:rPr>
          <w:vertAlign w:val="superscript"/>
        </w:rPr>
        <w:t xml:space="preserve">2 </w:t>
      </w:r>
      <w:r>
        <w:t>= 0.51, p-value = 0.00019</w:t>
      </w:r>
      <w:r w:rsidRPr="00907DD2">
        <w:t>).</w:t>
      </w:r>
      <w:r w:rsidRPr="003934FE">
        <w:t xml:space="preserve"> This suggests ST1 high virulence correlates with poorer protection against VPI10463. </w:t>
      </w:r>
      <w:r>
        <w:t>However, the model also showed that specific strain (ST1.68, ST1.19) disagree with the trend. These strain o</w:t>
      </w:r>
      <w:r w:rsidRPr="003934FE">
        <w:t xml:space="preserve">utliers </w:t>
      </w:r>
      <w:r>
        <w:t xml:space="preserve">fell all in the low virulence range but also showed low protection, suggesting </w:t>
      </w:r>
      <w:r w:rsidRPr="003934FE">
        <w:t xml:space="preserve">that </w:t>
      </w:r>
      <w:r>
        <w:t xml:space="preserve">low to </w:t>
      </w:r>
      <w:r w:rsidRPr="003934FE">
        <w:t xml:space="preserve">intermediate-virulence strains may involve additional factors </w:t>
      </w:r>
      <w:r>
        <w:t xml:space="preserve">besides virulence to explain </w:t>
      </w:r>
      <w:r w:rsidRPr="003934FE">
        <w:t>protection</w:t>
      </w:r>
      <w:r>
        <w:t xml:space="preserve"> against the </w:t>
      </w:r>
      <w:r>
        <w:rPr>
          <w:rFonts w:ascii="Aptos" w:eastAsia="Times New Roman" w:hAnsi="Aptos"/>
        </w:rPr>
        <w:t>VPI</w:t>
      </w:r>
      <w:r w:rsidRPr="003D13CA">
        <w:rPr>
          <w:rFonts w:ascii="Aptos" w:eastAsia="Times New Roman" w:hAnsi="Aptos"/>
        </w:rPr>
        <w:t>10463</w:t>
      </w:r>
      <w:r w:rsidRPr="003934FE">
        <w:t>.</w:t>
      </w:r>
      <w:r>
        <w:t xml:space="preserve"> These strains are especially important to help determine the factors determining why some strains protect while others don’t.</w:t>
      </w:r>
    </w:p>
    <w:p w14:paraId="4926134F" w14:textId="77777777" w:rsidR="003128FF" w:rsidRPr="00840E38" w:rsidRDefault="003128FF" w:rsidP="00840E38">
      <w:pPr>
        <w:pStyle w:val="Heading3"/>
      </w:pPr>
      <w:r>
        <w:t xml:space="preserve">Protection phenotype is independent of adaptive immunity </w:t>
      </w:r>
    </w:p>
    <w:p w14:paraId="54BF9DC2" w14:textId="77777777" w:rsidR="003128FF" w:rsidRDefault="003128FF" w:rsidP="00AF3D87">
      <w:pPr>
        <w:ind w:firstLine="720"/>
        <w:rPr>
          <w:rFonts w:ascii="Aptos" w:eastAsia="Times New Roman" w:hAnsi="Aptos"/>
        </w:rPr>
      </w:pPr>
      <w:r>
        <w:t xml:space="preserve">The observation that mice colonized by protective ST1.75 survived against </w:t>
      </w:r>
      <w:r>
        <w:rPr>
          <w:rFonts w:ascii="Aptos" w:eastAsia="Times New Roman" w:hAnsi="Aptos"/>
        </w:rPr>
        <w:t xml:space="preserve">VPI10463 </w:t>
      </w:r>
      <w:r>
        <w:t>raises the question of what mechanism besides the primary infection strain leads to mouse survival. One possibility is that there is changes in the h</w:t>
      </w:r>
      <w:r w:rsidRPr="001B309C">
        <w:t>ost</w:t>
      </w:r>
      <w:r>
        <w:t xml:space="preserve"> immunity </w:t>
      </w:r>
      <w:proofErr w:type="spellStart"/>
      <w:r>
        <w:t>illicitated</w:t>
      </w:r>
      <w:proofErr w:type="spellEnd"/>
      <w:r>
        <w:t xml:space="preserve"> by ST1.75, and that this could play a role in protecting the mice from the virulent rechallenge </w:t>
      </w:r>
      <w:hyperlink r:id="rId44" w:history="1">
        <w:r>
          <w:rPr>
            <w:rFonts w:ascii="Aptos" w:eastAsia="Times New Roman" w:hAnsi="Aptos"/>
          </w:rPr>
          <w:t>(Round and Mazmanian, 2009)</w:t>
        </w:r>
      </w:hyperlink>
      <w:r>
        <w:rPr>
          <w:rFonts w:ascii="Aptos" w:eastAsia="Times New Roman" w:hAnsi="Aptos"/>
        </w:rPr>
        <w:t>.</w:t>
      </w:r>
    </w:p>
    <w:p w14:paraId="5613F012" w14:textId="77777777" w:rsidR="003128FF" w:rsidRDefault="003128FF" w:rsidP="00AF3D87">
      <w:pPr>
        <w:ind w:firstLine="720"/>
        <w:rPr>
          <w:rFonts w:ascii="Aptos" w:eastAsia="Times New Roman" w:hAnsi="Aptos"/>
        </w:rPr>
      </w:pPr>
      <w:r w:rsidRPr="008B60EB">
        <w:rPr>
          <w:rFonts w:ascii="Aptos" w:eastAsia="Times New Roman" w:hAnsi="Aptos"/>
        </w:rPr>
        <w:t>We compared the immune cell composition of colon and mesenteric lymph nodes harvested from uninfected mice and from mice colonized with the avirulent, protective ST1.75 strain. We used a multi-parameter flow cytometry panel to quantify immune subsets including B cells, CD19</w:t>
      </w:r>
      <w:r w:rsidRPr="008B60EB">
        <w:rPr>
          <w:rFonts w:ascii="Cambria Math" w:eastAsia="Times New Roman" w:hAnsi="Cambria Math" w:cs="Cambria Math"/>
        </w:rPr>
        <w:t>⁻</w:t>
      </w:r>
      <w:r w:rsidRPr="008B60EB">
        <w:rPr>
          <w:rFonts w:ascii="Aptos" w:eastAsia="Times New Roman" w:hAnsi="Aptos"/>
        </w:rPr>
        <w:t>TCRβ</w:t>
      </w:r>
      <w:r w:rsidRPr="008B60EB">
        <w:rPr>
          <w:rFonts w:ascii="Cambria Math" w:eastAsia="Times New Roman" w:hAnsi="Cambria Math" w:cs="Cambria Math"/>
        </w:rPr>
        <w:t>⁻</w:t>
      </w:r>
      <w:r w:rsidRPr="008B60EB">
        <w:rPr>
          <w:rFonts w:ascii="Aptos" w:eastAsia="Times New Roman" w:hAnsi="Aptos"/>
        </w:rPr>
        <w:t xml:space="preserve"> cells, NK cells, CD4</w:t>
      </w:r>
      <w:r w:rsidRPr="008B60EB">
        <w:rPr>
          <w:rFonts w:ascii="Cambria Math" w:eastAsia="Times New Roman" w:hAnsi="Cambria Math" w:cs="Cambria Math"/>
        </w:rPr>
        <w:t>⁺</w:t>
      </w:r>
      <w:r w:rsidRPr="008B60EB">
        <w:rPr>
          <w:rFonts w:ascii="Aptos" w:eastAsia="Times New Roman" w:hAnsi="Aptos"/>
        </w:rPr>
        <w:t xml:space="preserve"> and CD8</w:t>
      </w:r>
      <w:r w:rsidRPr="008B60EB">
        <w:rPr>
          <w:rFonts w:ascii="Cambria Math" w:eastAsia="Times New Roman" w:hAnsi="Cambria Math" w:cs="Cambria Math"/>
        </w:rPr>
        <w:t>⁺</w:t>
      </w:r>
      <w:r w:rsidRPr="008B60EB">
        <w:rPr>
          <w:rFonts w:ascii="Aptos" w:eastAsia="Times New Roman" w:hAnsi="Aptos"/>
        </w:rPr>
        <w:t xml:space="preserve"> T cells, CD11b</w:t>
      </w:r>
      <w:r w:rsidRPr="008B60EB">
        <w:rPr>
          <w:rFonts w:ascii="Cambria Math" w:eastAsia="Times New Roman" w:hAnsi="Cambria Math" w:cs="Cambria Math"/>
        </w:rPr>
        <w:t>⁺</w:t>
      </w:r>
      <w:r w:rsidRPr="008B60EB">
        <w:rPr>
          <w:rFonts w:ascii="Aptos" w:eastAsia="Times New Roman" w:hAnsi="Aptos"/>
        </w:rPr>
        <w:t xml:space="preserve"> cells, macrophages, monocytes, neutrophils, dendritic cells (DCs), and further distinguished lymphoid DCs from myeloid DCs. No significant differences were observed in any of these cell types between uninfected and ST1.75-colonized mice (Wilcoxon rank-sum, n=3 per group, all p ≥ 0.1)</w:t>
      </w:r>
      <w:r>
        <w:rPr>
          <w:rFonts w:ascii="Aptos" w:eastAsia="Times New Roman" w:hAnsi="Aptos"/>
        </w:rPr>
        <w:t xml:space="preserve"> (Figure 2A-2B)</w:t>
      </w:r>
      <w:r w:rsidRPr="008B60EB">
        <w:rPr>
          <w:rFonts w:ascii="Aptos" w:eastAsia="Times New Roman" w:hAnsi="Aptos"/>
        </w:rPr>
        <w:t>. Taken together, these observations indicate that colonization with the avirulent ST1.75 strain does not substantially alter local innate immune activity.</w:t>
      </w:r>
    </w:p>
    <w:p w14:paraId="55EDBF26" w14:textId="77777777" w:rsidR="003128FF" w:rsidRDefault="003128FF" w:rsidP="00AF3D87">
      <w:pPr>
        <w:ind w:firstLine="720"/>
        <w:rPr>
          <w:rFonts w:ascii="Aptos" w:eastAsia="Times New Roman" w:hAnsi="Aptos"/>
        </w:rPr>
      </w:pPr>
      <w:r w:rsidRPr="004C0320">
        <w:rPr>
          <w:rFonts w:ascii="Aptos" w:eastAsia="Times New Roman" w:hAnsi="Aptos"/>
        </w:rPr>
        <w:t xml:space="preserve">To </w:t>
      </w:r>
      <w:r>
        <w:rPr>
          <w:rFonts w:ascii="Aptos" w:eastAsia="Times New Roman" w:hAnsi="Aptos"/>
        </w:rPr>
        <w:t xml:space="preserve">further test whether adaptive immunity might be involved, we </w:t>
      </w:r>
      <w:r w:rsidRPr="00594A2B">
        <w:rPr>
          <w:rFonts w:ascii="Aptos" w:eastAsia="Times New Roman" w:hAnsi="Aptos"/>
        </w:rPr>
        <w:t xml:space="preserve">repeated </w:t>
      </w:r>
      <w:r>
        <w:rPr>
          <w:rFonts w:ascii="Aptos" w:eastAsia="Times New Roman" w:hAnsi="Aptos"/>
        </w:rPr>
        <w:t>the ST1.75 protection</w:t>
      </w:r>
      <w:r w:rsidRPr="00594A2B">
        <w:rPr>
          <w:rFonts w:ascii="Aptos" w:eastAsia="Times New Roman" w:hAnsi="Aptos"/>
        </w:rPr>
        <w:t xml:space="preserve"> experiment in </w:t>
      </w:r>
      <w:r w:rsidRPr="000C4CFE">
        <w:rPr>
          <w:rFonts w:ascii="Aptos" w:eastAsia="Times New Roman" w:hAnsi="Aptos"/>
        </w:rPr>
        <w:t>Rag1</w:t>
      </w:r>
      <w:r w:rsidRPr="000C4CFE">
        <w:rPr>
          <w:rFonts w:ascii="Aptos" w:eastAsia="Times New Roman" w:hAnsi="Aptos"/>
          <w:vertAlign w:val="superscript"/>
        </w:rPr>
        <w:t>-/-</w:t>
      </w:r>
      <w:r>
        <w:rPr>
          <w:rFonts w:ascii="Aptos" w:eastAsia="Times New Roman" w:hAnsi="Aptos"/>
        </w:rPr>
        <w:t xml:space="preserve"> mice. </w:t>
      </w:r>
      <w:r w:rsidRPr="00B05301">
        <w:rPr>
          <w:rFonts w:ascii="Aptos" w:eastAsia="Times New Roman" w:hAnsi="Aptos"/>
          <w:i/>
          <w:iCs/>
        </w:rPr>
        <w:t>Rag1</w:t>
      </w:r>
      <w:r>
        <w:rPr>
          <w:rFonts w:ascii="Aptos" w:eastAsia="Times New Roman" w:hAnsi="Aptos"/>
        </w:rPr>
        <w:t xml:space="preserve"> </w:t>
      </w:r>
      <w:r w:rsidRPr="00594A2B">
        <w:rPr>
          <w:rFonts w:ascii="Aptos" w:eastAsia="Times New Roman" w:hAnsi="Aptos"/>
        </w:rPr>
        <w:t>encodes a protein that recognizes conserved DNA sequences flanking antibody heavy and light chains</w:t>
      </w:r>
      <w:r>
        <w:rPr>
          <w:rFonts w:ascii="Aptos" w:eastAsia="Times New Roman" w:hAnsi="Aptos"/>
        </w:rPr>
        <w:t>,</w:t>
      </w:r>
      <w:r w:rsidRPr="00594A2B">
        <w:rPr>
          <w:rFonts w:ascii="Aptos" w:eastAsia="Times New Roman" w:hAnsi="Aptos"/>
        </w:rPr>
        <w:t xml:space="preserve"> as well as T cell receptor alpha and beta chains. This makes RAG1 essential for the development of both T cells and B cells</w:t>
      </w:r>
      <w:r>
        <w:rPr>
          <w:rFonts w:ascii="Aptos" w:eastAsia="Times New Roman" w:hAnsi="Aptos"/>
        </w:rPr>
        <w:t xml:space="preserve">, and </w:t>
      </w:r>
      <w:r w:rsidRPr="00594A2B">
        <w:rPr>
          <w:rFonts w:ascii="Aptos" w:eastAsia="Times New Roman" w:hAnsi="Aptos"/>
        </w:rPr>
        <w:t>RAG1</w:t>
      </w:r>
      <w:r>
        <w:rPr>
          <w:rFonts w:ascii="Aptos" w:eastAsia="Times New Roman" w:hAnsi="Aptos"/>
          <w:vertAlign w:val="superscript"/>
        </w:rPr>
        <w:t>-/-</w:t>
      </w:r>
      <w:r w:rsidRPr="00594A2B">
        <w:rPr>
          <w:rFonts w:ascii="Aptos" w:eastAsia="Times New Roman" w:hAnsi="Aptos"/>
        </w:rPr>
        <w:t xml:space="preserve"> mice therefore lack the adaptive arm of the immune system</w:t>
      </w:r>
      <w:r>
        <w:rPr>
          <w:rFonts w:ascii="Aptos" w:eastAsia="Times New Roman" w:hAnsi="Aptos"/>
        </w:rPr>
        <w:t xml:space="preserve"> </w:t>
      </w:r>
      <w:hyperlink r:id="rId45" w:history="1">
        <w:r>
          <w:rPr>
            <w:rFonts w:ascii="Aptos" w:eastAsia="Times New Roman" w:hAnsi="Aptos"/>
          </w:rPr>
          <w:t>(</w:t>
        </w:r>
        <w:proofErr w:type="spellStart"/>
        <w:r>
          <w:rPr>
            <w:rFonts w:ascii="Aptos" w:eastAsia="Times New Roman" w:hAnsi="Aptos"/>
          </w:rPr>
          <w:t>Mombaerts</w:t>
        </w:r>
        <w:proofErr w:type="spellEnd"/>
        <w:r>
          <w:rPr>
            <w:rFonts w:ascii="Aptos" w:eastAsia="Times New Roman" w:hAnsi="Aptos"/>
          </w:rPr>
          <w:t> </w:t>
        </w:r>
        <w:r>
          <w:rPr>
            <w:rFonts w:ascii="Aptos" w:eastAsia="Times New Roman" w:hAnsi="Aptos"/>
            <w:i/>
          </w:rPr>
          <w:t>et al.</w:t>
        </w:r>
        <w:r>
          <w:rPr>
            <w:rFonts w:ascii="Aptos" w:eastAsia="Times New Roman" w:hAnsi="Aptos"/>
          </w:rPr>
          <w:t>, 1992)</w:t>
        </w:r>
      </w:hyperlink>
      <w:r w:rsidRPr="00594A2B">
        <w:rPr>
          <w:rFonts w:ascii="Aptos" w:eastAsia="Times New Roman" w:hAnsi="Aptos"/>
        </w:rPr>
        <w:t xml:space="preserve">. </w:t>
      </w:r>
      <w:r>
        <w:rPr>
          <w:rFonts w:ascii="Aptos" w:eastAsia="Times New Roman" w:hAnsi="Aptos"/>
        </w:rPr>
        <w:t>W</w:t>
      </w:r>
      <w:r w:rsidRPr="00594A2B">
        <w:rPr>
          <w:rFonts w:ascii="Aptos" w:eastAsia="Times New Roman" w:hAnsi="Aptos"/>
        </w:rPr>
        <w:t xml:space="preserve">e performed a three-arm experiment with </w:t>
      </w:r>
      <w:r>
        <w:rPr>
          <w:rFonts w:ascii="Aptos" w:eastAsia="Times New Roman" w:hAnsi="Aptos"/>
        </w:rPr>
        <w:t>10</w:t>
      </w:r>
      <w:r w:rsidRPr="00594A2B">
        <w:rPr>
          <w:rFonts w:ascii="Aptos" w:eastAsia="Times New Roman" w:hAnsi="Aptos"/>
        </w:rPr>
        <w:t xml:space="preserve"> mice per group. The first group consisted of B6 mice that received PBS as the primary infection. The second group, also B6 mice, received ST1.75 for the primary infection. The third group consisted of </w:t>
      </w:r>
      <w:r w:rsidRPr="00594A2B">
        <w:rPr>
          <w:rFonts w:ascii="Aptos" w:eastAsia="Times New Roman" w:hAnsi="Aptos"/>
        </w:rPr>
        <w:lastRenderedPageBreak/>
        <w:t>RAG1</w:t>
      </w:r>
      <w:r>
        <w:rPr>
          <w:rFonts w:ascii="Aptos" w:eastAsia="Times New Roman" w:hAnsi="Aptos"/>
          <w:vertAlign w:val="superscript"/>
        </w:rPr>
        <w:t>-/-</w:t>
      </w:r>
      <w:r w:rsidRPr="00594A2B">
        <w:rPr>
          <w:rFonts w:ascii="Aptos" w:eastAsia="Times New Roman" w:hAnsi="Aptos"/>
        </w:rPr>
        <w:t xml:space="preserve"> mice, which also received ST1.75 as the primary infection.</w:t>
      </w:r>
      <w:r>
        <w:rPr>
          <w:rFonts w:ascii="Aptos" w:eastAsia="Times New Roman" w:hAnsi="Aptos"/>
        </w:rPr>
        <w:t xml:space="preserve"> All the mice across these groups received VPI10463 </w:t>
      </w:r>
      <w:proofErr w:type="gramStart"/>
      <w:r>
        <w:rPr>
          <w:rFonts w:ascii="Aptos" w:eastAsia="Times New Roman" w:hAnsi="Aptos"/>
        </w:rPr>
        <w:t>spores</w:t>
      </w:r>
      <w:proofErr w:type="gramEnd"/>
      <w:r>
        <w:rPr>
          <w:rFonts w:ascii="Aptos" w:eastAsia="Times New Roman" w:hAnsi="Aptos"/>
        </w:rPr>
        <w:t xml:space="preserve"> oral gavage on day 16 post primary infection.</w:t>
      </w:r>
      <w:r w:rsidRPr="00594A2B">
        <w:rPr>
          <w:rFonts w:ascii="Aptos" w:eastAsia="Times New Roman" w:hAnsi="Aptos"/>
        </w:rPr>
        <w:t xml:space="preserve"> </w:t>
      </w:r>
      <w:r>
        <w:rPr>
          <w:rFonts w:ascii="Aptos" w:eastAsia="Times New Roman" w:hAnsi="Aptos"/>
        </w:rPr>
        <w:t>The results show that all</w:t>
      </w:r>
      <w:r w:rsidRPr="00594A2B">
        <w:rPr>
          <w:rFonts w:ascii="Aptos" w:eastAsia="Times New Roman" w:hAnsi="Aptos"/>
        </w:rPr>
        <w:t xml:space="preserve"> mice</w:t>
      </w:r>
      <w:r>
        <w:rPr>
          <w:rFonts w:ascii="Aptos" w:eastAsia="Times New Roman" w:hAnsi="Aptos"/>
        </w:rPr>
        <w:t xml:space="preserve"> </w:t>
      </w:r>
      <w:r w:rsidRPr="00594A2B">
        <w:rPr>
          <w:rFonts w:ascii="Aptos" w:eastAsia="Times New Roman" w:hAnsi="Aptos"/>
        </w:rPr>
        <w:t>pre-infected with ST1.75</w:t>
      </w:r>
      <w:r>
        <w:rPr>
          <w:rFonts w:ascii="Aptos" w:eastAsia="Times New Roman" w:hAnsi="Aptos"/>
        </w:rPr>
        <w:t xml:space="preserve">, </w:t>
      </w:r>
      <w:r w:rsidRPr="00594A2B">
        <w:rPr>
          <w:rFonts w:ascii="Aptos" w:eastAsia="Times New Roman" w:hAnsi="Aptos"/>
        </w:rPr>
        <w:t>both B6 and RAG1</w:t>
      </w:r>
      <w:r>
        <w:rPr>
          <w:rFonts w:ascii="Aptos" w:eastAsia="Times New Roman" w:hAnsi="Aptos"/>
          <w:vertAlign w:val="superscript"/>
        </w:rPr>
        <w:t>-/-</w:t>
      </w:r>
      <w:r>
        <w:rPr>
          <w:rFonts w:ascii="Aptos" w:eastAsia="Times New Roman" w:hAnsi="Aptos"/>
        </w:rPr>
        <w:t>,</w:t>
      </w:r>
      <w:r w:rsidRPr="00594A2B">
        <w:rPr>
          <w:rFonts w:ascii="Aptos" w:eastAsia="Times New Roman" w:hAnsi="Aptos"/>
        </w:rPr>
        <w:t xml:space="preserve"> were </w:t>
      </w:r>
      <w:r>
        <w:rPr>
          <w:rFonts w:ascii="Aptos" w:eastAsia="Times New Roman" w:hAnsi="Aptos"/>
        </w:rPr>
        <w:t>similarly</w:t>
      </w:r>
      <w:r w:rsidRPr="00594A2B">
        <w:rPr>
          <w:rFonts w:ascii="Aptos" w:eastAsia="Times New Roman" w:hAnsi="Aptos"/>
        </w:rPr>
        <w:t xml:space="preserve"> protected against the secondary </w:t>
      </w:r>
      <w:r>
        <w:rPr>
          <w:rFonts w:ascii="Aptos" w:eastAsia="Times New Roman" w:hAnsi="Aptos"/>
        </w:rPr>
        <w:t>VPI</w:t>
      </w:r>
      <w:r w:rsidRPr="003D13CA">
        <w:rPr>
          <w:rFonts w:ascii="Aptos" w:eastAsia="Times New Roman" w:hAnsi="Aptos"/>
        </w:rPr>
        <w:t>10463</w:t>
      </w:r>
      <w:r>
        <w:rPr>
          <w:rFonts w:ascii="Aptos" w:eastAsia="Times New Roman" w:hAnsi="Aptos"/>
        </w:rPr>
        <w:t xml:space="preserve"> </w:t>
      </w:r>
      <w:r w:rsidRPr="00594A2B">
        <w:rPr>
          <w:rFonts w:ascii="Aptos" w:eastAsia="Times New Roman" w:hAnsi="Aptos"/>
        </w:rPr>
        <w:t>challenge</w:t>
      </w:r>
      <w:r>
        <w:rPr>
          <w:rFonts w:ascii="Aptos" w:eastAsia="Times New Roman" w:hAnsi="Aptos"/>
        </w:rPr>
        <w:t xml:space="preserve">, whereas the mice that received the sham primary </w:t>
      </w:r>
      <w:proofErr w:type="spellStart"/>
      <w:r>
        <w:rPr>
          <w:rFonts w:ascii="Aptos" w:eastAsia="Times New Roman" w:hAnsi="Aptos"/>
        </w:rPr>
        <w:t>clonization</w:t>
      </w:r>
      <w:proofErr w:type="spellEnd"/>
      <w:r>
        <w:rPr>
          <w:rFonts w:ascii="Aptos" w:eastAsia="Times New Roman" w:hAnsi="Aptos"/>
        </w:rPr>
        <w:t xml:space="preserve"> with PBS succumbed to the VPI</w:t>
      </w:r>
      <w:r w:rsidRPr="003D13CA">
        <w:rPr>
          <w:rFonts w:ascii="Aptos" w:eastAsia="Times New Roman" w:hAnsi="Aptos"/>
        </w:rPr>
        <w:t>10463</w:t>
      </w:r>
      <w:r>
        <w:rPr>
          <w:rFonts w:ascii="Aptos" w:eastAsia="Times New Roman" w:hAnsi="Aptos"/>
        </w:rPr>
        <w:t xml:space="preserve"> infection</w:t>
      </w:r>
      <w:r w:rsidRPr="00594A2B">
        <w:rPr>
          <w:rFonts w:ascii="Aptos" w:eastAsia="Times New Roman" w:hAnsi="Aptos"/>
        </w:rPr>
        <w:t xml:space="preserve">. These results </w:t>
      </w:r>
      <w:r>
        <w:rPr>
          <w:rFonts w:ascii="Aptos" w:eastAsia="Times New Roman" w:hAnsi="Aptos"/>
        </w:rPr>
        <w:t>indicate that the protection by</w:t>
      </w:r>
      <w:r w:rsidRPr="00594A2B">
        <w:rPr>
          <w:rFonts w:ascii="Aptos" w:eastAsia="Times New Roman" w:hAnsi="Aptos"/>
        </w:rPr>
        <w:t xml:space="preserve"> the avirulent </w:t>
      </w:r>
      <w:r w:rsidRPr="006524D6">
        <w:rPr>
          <w:rFonts w:ascii="Aptos" w:eastAsia="Times New Roman" w:hAnsi="Aptos"/>
          <w:i/>
          <w:iCs/>
        </w:rPr>
        <w:t>C. difficile</w:t>
      </w:r>
      <w:r w:rsidRPr="00594A2B">
        <w:rPr>
          <w:rFonts w:ascii="Aptos" w:eastAsia="Times New Roman" w:hAnsi="Aptos"/>
        </w:rPr>
        <w:t xml:space="preserve"> strain ST1.75 </w:t>
      </w:r>
      <w:r>
        <w:rPr>
          <w:rFonts w:ascii="Aptos" w:eastAsia="Times New Roman" w:hAnsi="Aptos"/>
        </w:rPr>
        <w:t xml:space="preserve">is independent of </w:t>
      </w:r>
      <w:r w:rsidRPr="00594A2B">
        <w:rPr>
          <w:rFonts w:ascii="Aptos" w:eastAsia="Times New Roman" w:hAnsi="Aptos"/>
        </w:rPr>
        <w:t>adaptive immunity</w:t>
      </w:r>
      <w:r>
        <w:rPr>
          <w:rFonts w:ascii="Aptos" w:eastAsia="Times New Roman" w:hAnsi="Aptos"/>
        </w:rPr>
        <w:t xml:space="preserve"> (Figure 2C-2D)</w:t>
      </w:r>
      <w:r w:rsidRPr="00594A2B">
        <w:rPr>
          <w:rFonts w:ascii="Aptos" w:eastAsia="Times New Roman" w:hAnsi="Aptos"/>
        </w:rPr>
        <w:t>.</w:t>
      </w:r>
    </w:p>
    <w:p w14:paraId="1CCB0221" w14:textId="77777777" w:rsidR="003128FF" w:rsidRPr="00840E38" w:rsidRDefault="003128FF" w:rsidP="00312E4D">
      <w:pPr>
        <w:pStyle w:val="Heading3"/>
      </w:pPr>
      <w:r>
        <w:t>Pre-colonization with an avirulent ST1 strains has no impact on remnant microbiota</w:t>
      </w:r>
    </w:p>
    <w:p w14:paraId="331D5FFD" w14:textId="77777777" w:rsidR="003128FF" w:rsidRDefault="003128FF" w:rsidP="00F72EB6">
      <w:pPr>
        <w:ind w:firstLine="720"/>
        <w:rPr>
          <w:rFonts w:ascii="Aptos" w:eastAsia="Times New Roman" w:hAnsi="Aptos"/>
        </w:rPr>
      </w:pPr>
      <w:r>
        <w:rPr>
          <w:rFonts w:ascii="Aptos" w:eastAsia="Times New Roman" w:hAnsi="Aptos"/>
        </w:rPr>
        <w:t>D</w:t>
      </w:r>
      <w:r w:rsidRPr="001B309C">
        <w:rPr>
          <w:rFonts w:ascii="Aptos" w:eastAsia="Times New Roman" w:hAnsi="Aptos"/>
        </w:rPr>
        <w:t xml:space="preserve">ifferences in microbiome composition, or </w:t>
      </w:r>
      <w:r>
        <w:rPr>
          <w:rFonts w:ascii="Aptos" w:eastAsia="Times New Roman" w:hAnsi="Aptos"/>
        </w:rPr>
        <w:t>the</w:t>
      </w:r>
      <w:r w:rsidRPr="001B309C">
        <w:rPr>
          <w:rFonts w:ascii="Aptos" w:eastAsia="Times New Roman" w:hAnsi="Aptos"/>
        </w:rPr>
        <w:t xml:space="preserve"> changes in the microbiome </w:t>
      </w:r>
      <w:r>
        <w:rPr>
          <w:rFonts w:ascii="Aptos" w:eastAsia="Times New Roman" w:hAnsi="Aptos"/>
        </w:rPr>
        <w:t xml:space="preserve">composition </w:t>
      </w:r>
      <w:r w:rsidRPr="001B309C">
        <w:rPr>
          <w:rFonts w:ascii="Aptos" w:eastAsia="Times New Roman" w:hAnsi="Aptos"/>
        </w:rPr>
        <w:t xml:space="preserve">during </w:t>
      </w:r>
      <w:r>
        <w:rPr>
          <w:rFonts w:ascii="Aptos" w:eastAsia="Times New Roman" w:hAnsi="Aptos"/>
        </w:rPr>
        <w:t xml:space="preserve">the </w:t>
      </w:r>
      <w:r w:rsidRPr="001B309C">
        <w:rPr>
          <w:rFonts w:ascii="Aptos" w:eastAsia="Times New Roman" w:hAnsi="Aptos"/>
        </w:rPr>
        <w:t xml:space="preserve">primary infection, could </w:t>
      </w:r>
      <w:r>
        <w:rPr>
          <w:rFonts w:ascii="Aptos" w:eastAsia="Times New Roman" w:hAnsi="Aptos"/>
        </w:rPr>
        <w:t xml:space="preserve">also </w:t>
      </w:r>
      <w:r w:rsidRPr="001B309C">
        <w:rPr>
          <w:rFonts w:ascii="Aptos" w:eastAsia="Times New Roman" w:hAnsi="Aptos"/>
        </w:rPr>
        <w:t>play a critical role in mediating protection</w:t>
      </w:r>
      <w:r>
        <w:rPr>
          <w:rFonts w:ascii="Aptos" w:eastAsia="Times New Roman" w:hAnsi="Aptos"/>
        </w:rPr>
        <w:t xml:space="preserve"> indirectly through colonization resistance </w:t>
      </w:r>
      <w:hyperlink r:id="rId46" w:history="1">
        <w:r>
          <w:rPr>
            <w:rFonts w:ascii="Aptos" w:eastAsia="Times New Roman" w:hAnsi="Aptos"/>
          </w:rPr>
          <w:t>(Khan </w:t>
        </w:r>
        <w:r>
          <w:rPr>
            <w:rFonts w:ascii="Aptos" w:eastAsia="Times New Roman" w:hAnsi="Aptos"/>
            <w:i/>
          </w:rPr>
          <w:t>et al.</w:t>
        </w:r>
        <w:r>
          <w:rPr>
            <w:rFonts w:ascii="Aptos" w:eastAsia="Times New Roman" w:hAnsi="Aptos"/>
          </w:rPr>
          <w:t>, 2021)</w:t>
        </w:r>
      </w:hyperlink>
      <w:r w:rsidRPr="001B309C">
        <w:rPr>
          <w:rFonts w:ascii="Aptos" w:eastAsia="Times New Roman" w:hAnsi="Aptos"/>
        </w:rPr>
        <w:t xml:space="preserve">. </w:t>
      </w:r>
      <w:r>
        <w:rPr>
          <w:rFonts w:ascii="Aptos" w:eastAsia="Times New Roman" w:hAnsi="Aptos"/>
        </w:rPr>
        <w:t xml:space="preserve">A previous study already suggested that the protection phenotype might be independent of the microbiota using germ-free mice which lack a conventional microbiota </w:t>
      </w:r>
      <w:hyperlink r:id="rId47"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eastAsia="Times New Roman" w:hAnsi="Aptos"/>
        </w:rPr>
        <w:t>. They showed the same results of protection conferred by ST1.75 against the secondary virulent challenge by the highly virulent R20291 strain, indicating that the host microbiome may be dispensable for this protection phenotype.</w:t>
      </w:r>
    </w:p>
    <w:p w14:paraId="08F84900" w14:textId="77777777" w:rsidR="003128FF" w:rsidRDefault="003128FF" w:rsidP="006679F0">
      <w:pPr>
        <w:ind w:firstLine="720"/>
        <w:rPr>
          <w:rFonts w:ascii="Aptos" w:eastAsia="Times New Roman" w:hAnsi="Aptos"/>
        </w:rPr>
      </w:pPr>
      <w:r w:rsidRPr="00E376FB">
        <w:rPr>
          <w:rFonts w:ascii="Aptos" w:eastAsia="Times New Roman" w:hAnsi="Aptos"/>
        </w:rPr>
        <w:t>Here, we added to those findings by determining whether colonization by the protective strain ST1.75 or the non-protective strain ST1.12 impacted the remnant microbiota composition using 16</w:t>
      </w:r>
      <w:r>
        <w:rPr>
          <w:rFonts w:ascii="Aptos" w:eastAsia="Times New Roman" w:hAnsi="Aptos"/>
        </w:rPr>
        <w:t>s</w:t>
      </w:r>
      <w:r w:rsidRPr="00E376FB">
        <w:rPr>
          <w:rFonts w:ascii="Aptos" w:eastAsia="Times New Roman" w:hAnsi="Aptos"/>
        </w:rPr>
        <w:t xml:space="preserve"> amplicon sequencing of fecal samples. Samples were collected from mice colonized with ST1.75, ST1.12 and uninfected controls receiving a sham PBS inoculation, with longitudinal sampling from Day 0 to Day 7 post-colonization. To account for the longitudinal structure of the data, all diversity and distance analyses were performed within each sampling day separately. At Day 0, the three groups were compositionally indistinguishable, confirming that mice started from the same microbial baseline</w:t>
      </w:r>
      <w:r>
        <w:rPr>
          <w:rFonts w:ascii="Aptos" w:eastAsia="Times New Roman" w:hAnsi="Aptos"/>
        </w:rPr>
        <w:t xml:space="preserve"> (Figure 3A – 3B)</w:t>
      </w:r>
      <w:r w:rsidRPr="00E376FB">
        <w:rPr>
          <w:rFonts w:ascii="Aptos" w:eastAsia="Times New Roman" w:hAnsi="Aptos"/>
        </w:rPr>
        <w:t>. Alpha diversity did not differ significantly between ST1.75 and ST1.12 colonized mice at any post-colonization timepoint — Day 1 (Shannon p = 0.095), Day 2 (Shannon p = 0.063), or Day 7 (Shannon p = 0.310)</w:t>
      </w:r>
      <w:r>
        <w:rPr>
          <w:rFonts w:ascii="Aptos" w:eastAsia="Times New Roman" w:hAnsi="Aptos"/>
        </w:rPr>
        <w:t xml:space="preserve"> (Figure 3C)</w:t>
      </w:r>
      <w:r w:rsidRPr="00E376FB">
        <w:rPr>
          <w:rFonts w:ascii="Aptos" w:eastAsia="Times New Roman" w:hAnsi="Aptos"/>
        </w:rPr>
        <w:t>. Beta diversity analysis using Bray-</w:t>
      </w:r>
      <w:proofErr w:type="gramStart"/>
      <w:r w:rsidRPr="00E376FB">
        <w:rPr>
          <w:rFonts w:ascii="Aptos" w:eastAsia="Times New Roman" w:hAnsi="Aptos"/>
        </w:rPr>
        <w:t>Curtis</w:t>
      </w:r>
      <w:proofErr w:type="gramEnd"/>
      <w:r w:rsidRPr="00E376FB">
        <w:rPr>
          <w:rFonts w:ascii="Aptos" w:eastAsia="Times New Roman" w:hAnsi="Aptos"/>
        </w:rPr>
        <w:t xml:space="preserve"> ordination confirmed that microbial community composition was similarly indistinguishable between ST1.75 and ST1.12 colonized mice at all timepoints examined.</w:t>
      </w:r>
    </w:p>
    <w:p w14:paraId="3815418B" w14:textId="77777777" w:rsidR="003128FF" w:rsidRPr="00E376FB" w:rsidRDefault="003128FF" w:rsidP="006679F0">
      <w:pPr>
        <w:ind w:firstLine="720"/>
        <w:rPr>
          <w:rFonts w:ascii="Aptos" w:eastAsia="Times New Roman" w:hAnsi="Aptos"/>
        </w:rPr>
      </w:pPr>
      <w:r w:rsidRPr="006608D3">
        <w:rPr>
          <w:rFonts w:ascii="Aptos" w:eastAsia="Times New Roman" w:hAnsi="Aptos"/>
        </w:rPr>
        <w:t xml:space="preserve">Furthermore, the relative abundance of the </w:t>
      </w:r>
      <w:r w:rsidRPr="0091292B">
        <w:rPr>
          <w:rFonts w:ascii="Aptos" w:eastAsia="Times New Roman" w:hAnsi="Aptos"/>
          <w:i/>
          <w:iCs/>
        </w:rPr>
        <w:t>Clostridioides</w:t>
      </w:r>
      <w:r w:rsidRPr="0091292B">
        <w:rPr>
          <w:rFonts w:ascii="Aptos" w:eastAsia="Times New Roman" w:hAnsi="Aptos"/>
        </w:rPr>
        <w:t xml:space="preserve"> </w:t>
      </w:r>
      <w:r w:rsidRPr="006608D3">
        <w:rPr>
          <w:rFonts w:ascii="Aptos" w:eastAsia="Times New Roman" w:hAnsi="Aptos"/>
        </w:rPr>
        <w:t>genus within the microbiome remained very low across all groups and time points compared to other genera</w:t>
      </w:r>
      <w:r>
        <w:rPr>
          <w:rFonts w:ascii="Aptos" w:eastAsia="Times New Roman" w:hAnsi="Aptos"/>
        </w:rPr>
        <w:t xml:space="preserve">, which is consistent with previous studies showing that </w:t>
      </w:r>
      <w:r w:rsidRPr="00395F6D">
        <w:rPr>
          <w:rFonts w:ascii="Aptos" w:eastAsia="Times New Roman" w:hAnsi="Aptos"/>
          <w:i/>
          <w:iCs/>
        </w:rPr>
        <w:t>C. difficile</w:t>
      </w:r>
      <w:r>
        <w:rPr>
          <w:rFonts w:ascii="Aptos" w:eastAsia="Times New Roman" w:hAnsi="Aptos"/>
        </w:rPr>
        <w:t xml:space="preserve"> does not rise to become a major microbiota component </w:t>
      </w:r>
      <w:hyperlink r:id="rId48" w:history="1">
        <w:r>
          <w:rPr>
            <w:rFonts w:ascii="Aptos" w:eastAsia="Times New Roman" w:hAnsi="Aptos"/>
          </w:rPr>
          <w:t>(Stein </w:t>
        </w:r>
        <w:r>
          <w:rPr>
            <w:rFonts w:ascii="Aptos" w:eastAsia="Times New Roman" w:hAnsi="Aptos"/>
            <w:i/>
          </w:rPr>
          <w:t>et al.</w:t>
        </w:r>
        <w:r>
          <w:rPr>
            <w:rFonts w:ascii="Aptos" w:eastAsia="Times New Roman" w:hAnsi="Aptos"/>
          </w:rPr>
          <w:t>, 2013)</w:t>
        </w:r>
      </w:hyperlink>
      <w:r>
        <w:t xml:space="preserve"> (Figure 3D)</w:t>
      </w:r>
      <w:r w:rsidRPr="0091292B">
        <w:rPr>
          <w:rFonts w:ascii="Aptos" w:eastAsia="Times New Roman" w:hAnsi="Aptos"/>
        </w:rPr>
        <w:t xml:space="preserve">. </w:t>
      </w:r>
      <w:r w:rsidRPr="00E376FB">
        <w:rPr>
          <w:rFonts w:ascii="Aptos" w:eastAsia="Times New Roman" w:hAnsi="Aptos"/>
        </w:rPr>
        <w:t xml:space="preserve">Although ST1.12 showed numerically higher </w:t>
      </w:r>
      <w:r w:rsidRPr="008F3052">
        <w:rPr>
          <w:rFonts w:ascii="Aptos" w:eastAsia="Times New Roman" w:hAnsi="Aptos"/>
          <w:i/>
          <w:iCs/>
        </w:rPr>
        <w:t xml:space="preserve">Clostridioides </w:t>
      </w:r>
      <w:r w:rsidRPr="00E376FB">
        <w:rPr>
          <w:rFonts w:ascii="Aptos" w:eastAsia="Times New Roman" w:hAnsi="Aptos"/>
        </w:rPr>
        <w:t xml:space="preserve">abundance at Day 1 (ST1.12 mean 14.93% vs </w:t>
      </w:r>
      <w:r w:rsidRPr="00E376FB">
        <w:rPr>
          <w:rFonts w:ascii="Aptos" w:eastAsia="Times New Roman" w:hAnsi="Aptos"/>
        </w:rPr>
        <w:lastRenderedPageBreak/>
        <w:t xml:space="preserve">ST1.75 mean 3.87%), this difference did not reach statistical significance (p = 0.056), and no significant differences were observed at subsequent timepoints (Day 2: p = 0.413; Day 7: p = 0.310). The protection phenotype of ST1.75 cannot therefore be attributed to differences in colonization density between strains. Taken together, these results demonstrate that colonization with ST1.75 does not substantially remodel the remnant microbiota, and that the protection it confers is independent of microbiota composition or </w:t>
      </w:r>
      <w:r w:rsidRPr="00E376FB">
        <w:rPr>
          <w:rFonts w:ascii="Aptos" w:eastAsia="Times New Roman" w:hAnsi="Aptos"/>
          <w:i/>
          <w:iCs/>
        </w:rPr>
        <w:t>C. difficile</w:t>
      </w:r>
      <w:r w:rsidRPr="00E376FB">
        <w:rPr>
          <w:rFonts w:ascii="Aptos" w:eastAsia="Times New Roman" w:hAnsi="Aptos"/>
        </w:rPr>
        <w:t xml:space="preserve"> colonization level.</w:t>
      </w:r>
    </w:p>
    <w:p w14:paraId="22804259" w14:textId="77777777" w:rsidR="003128FF" w:rsidRDefault="003128FF" w:rsidP="006679F0">
      <w:pPr>
        <w:ind w:firstLine="720"/>
        <w:rPr>
          <w:rFonts w:ascii="Aptos" w:eastAsia="Times New Roman" w:hAnsi="Aptos"/>
        </w:rPr>
      </w:pPr>
      <w:r>
        <w:rPr>
          <w:rFonts w:ascii="Aptos" w:eastAsia="Times New Roman" w:hAnsi="Aptos"/>
        </w:rPr>
        <w:t xml:space="preserve">This also shows that even under the condition of gut dysbiosis, </w:t>
      </w:r>
      <w:r w:rsidRPr="0091292B">
        <w:rPr>
          <w:rFonts w:ascii="Aptos" w:eastAsia="Times New Roman" w:hAnsi="Aptos"/>
          <w:i/>
          <w:iCs/>
        </w:rPr>
        <w:t>C. difficile</w:t>
      </w:r>
      <w:r>
        <w:rPr>
          <w:rFonts w:ascii="Aptos" w:eastAsia="Times New Roman" w:hAnsi="Aptos"/>
        </w:rPr>
        <w:t xml:space="preserve"> doesn’t lead to domination and has a certain niche it occupies. We know some of the ways this niche is set as defined by presence of secondary bile acids required for spore germination, amino acids use for toxin production and growth etc. but more work needs to be done to have a systematic understanding of the same </w:t>
      </w:r>
      <w:hyperlink r:id="rId49" w:history="1">
        <w:r>
          <w:rPr>
            <w:rFonts w:ascii="Aptos" w:eastAsia="Times New Roman" w:hAnsi="Aptos"/>
          </w:rPr>
          <w:t>(Theriot, Bowman and Young, 2016)</w:t>
        </w:r>
      </w:hyperlink>
      <w:hyperlink r:id="rId50" w:history="1">
        <w:r>
          <w:rPr>
            <w:rFonts w:ascii="Aptos" w:eastAsia="Times New Roman" w:hAnsi="Aptos"/>
          </w:rPr>
          <w:t>(</w:t>
        </w:r>
        <w:proofErr w:type="spellStart"/>
        <w:r>
          <w:rPr>
            <w:rFonts w:ascii="Aptos" w:eastAsia="Times New Roman" w:hAnsi="Aptos"/>
          </w:rPr>
          <w:t>Jenior</w:t>
        </w:r>
        <w:proofErr w:type="spellEnd"/>
        <w:r>
          <w:rPr>
            <w:rFonts w:ascii="Aptos" w:eastAsia="Times New Roman" w:hAnsi="Aptos"/>
          </w:rPr>
          <w:t> </w:t>
        </w:r>
        <w:r>
          <w:rPr>
            <w:rFonts w:ascii="Aptos" w:eastAsia="Times New Roman" w:hAnsi="Aptos"/>
            <w:i/>
          </w:rPr>
          <w:t>et al.</w:t>
        </w:r>
        <w:r>
          <w:rPr>
            <w:rFonts w:ascii="Aptos" w:eastAsia="Times New Roman" w:hAnsi="Aptos"/>
          </w:rPr>
          <w:t>, 2017)</w:t>
        </w:r>
      </w:hyperlink>
      <w:r>
        <w:rPr>
          <w:rFonts w:ascii="Aptos" w:eastAsia="Times New Roman" w:hAnsi="Aptos"/>
        </w:rPr>
        <w:t>. T</w:t>
      </w:r>
      <w:r w:rsidRPr="006608D3">
        <w:rPr>
          <w:rFonts w:ascii="Aptos" w:eastAsia="Times New Roman" w:hAnsi="Aptos"/>
        </w:rPr>
        <w:t xml:space="preserve">hese results indicate that </w:t>
      </w:r>
      <w:r>
        <w:rPr>
          <w:rFonts w:ascii="Aptos" w:eastAsia="Times New Roman" w:hAnsi="Aptos"/>
        </w:rPr>
        <w:t xml:space="preserve">variations in the rest of the microbiota do not play a direct role in the </w:t>
      </w:r>
      <w:r w:rsidRPr="006608D3">
        <w:rPr>
          <w:rFonts w:ascii="Aptos" w:eastAsia="Times New Roman" w:hAnsi="Aptos"/>
        </w:rPr>
        <w:t>protecti</w:t>
      </w:r>
      <w:r>
        <w:rPr>
          <w:rFonts w:ascii="Aptos" w:eastAsia="Times New Roman" w:hAnsi="Aptos"/>
        </w:rPr>
        <w:t>on phenotype, since its compositional dynamics are the same in mice infected with protective ST1.75 and</w:t>
      </w:r>
      <w:r w:rsidRPr="006608D3">
        <w:rPr>
          <w:rFonts w:ascii="Aptos" w:eastAsia="Times New Roman" w:hAnsi="Aptos"/>
        </w:rPr>
        <w:t xml:space="preserve"> non-protective </w:t>
      </w:r>
      <w:r>
        <w:rPr>
          <w:rFonts w:ascii="Aptos" w:eastAsia="Times New Roman" w:hAnsi="Aptos"/>
        </w:rPr>
        <w:t>ST1.12 strains.</w:t>
      </w:r>
    </w:p>
    <w:p w14:paraId="2D7E036F" w14:textId="77777777" w:rsidR="003128FF" w:rsidRDefault="003128FF" w:rsidP="00E460DB">
      <w:pPr>
        <w:pStyle w:val="Heading3"/>
      </w:pPr>
      <w:r w:rsidRPr="00594A2B">
        <w:t xml:space="preserve">Genomic </w:t>
      </w:r>
      <w:r>
        <w:t>contributions to</w:t>
      </w:r>
      <w:r w:rsidRPr="00594A2B">
        <w:t xml:space="preserve"> the protection</w:t>
      </w:r>
      <w:r>
        <w:t xml:space="preserve"> score</w:t>
      </w:r>
    </w:p>
    <w:p w14:paraId="56568E84" w14:textId="77777777" w:rsidR="003128FF" w:rsidRDefault="003128FF" w:rsidP="004B18B6">
      <w:pPr>
        <w:ind w:firstLine="720"/>
        <w:rPr>
          <w:rFonts w:ascii="Aptos" w:eastAsia="Times New Roman" w:hAnsi="Aptos"/>
        </w:rPr>
      </w:pPr>
      <w:r w:rsidRPr="00A74333">
        <w:rPr>
          <w:rFonts w:ascii="Aptos" w:eastAsia="Times New Roman" w:hAnsi="Aptos"/>
        </w:rPr>
        <w:t xml:space="preserve">Previous research has shown that ST1.75 harbors a 69-bp deletion in the </w:t>
      </w:r>
      <w:proofErr w:type="spellStart"/>
      <w:r w:rsidRPr="00124CAF">
        <w:rPr>
          <w:rFonts w:ascii="Aptos" w:eastAsia="Times New Roman" w:hAnsi="Aptos"/>
          <w:i/>
          <w:iCs/>
        </w:rPr>
        <w:t>cdtR</w:t>
      </w:r>
      <w:proofErr w:type="spellEnd"/>
      <w:r w:rsidRPr="00A74333">
        <w:rPr>
          <w:rFonts w:ascii="Aptos" w:eastAsia="Times New Roman" w:hAnsi="Aptos"/>
        </w:rPr>
        <w:t xml:space="preserve"> gene, which encodes a regulator of CDT toxin, toxin A, and toxin B gene expression, and that introducing this mutation into </w:t>
      </w:r>
      <w:r>
        <w:rPr>
          <w:rFonts w:ascii="Aptos" w:eastAsia="Times New Roman" w:hAnsi="Aptos"/>
        </w:rPr>
        <w:t xml:space="preserve">virulent </w:t>
      </w:r>
      <w:r w:rsidRPr="00A74333">
        <w:rPr>
          <w:rFonts w:ascii="Aptos" w:eastAsia="Times New Roman" w:hAnsi="Aptos"/>
        </w:rPr>
        <w:t xml:space="preserve">R20291 </w:t>
      </w:r>
      <w:r>
        <w:rPr>
          <w:rFonts w:ascii="Aptos" w:eastAsia="Times New Roman" w:hAnsi="Aptos"/>
        </w:rPr>
        <w:t xml:space="preserve">strain </w:t>
      </w:r>
      <w:r w:rsidRPr="00A74333">
        <w:rPr>
          <w:rFonts w:ascii="Aptos" w:eastAsia="Times New Roman" w:hAnsi="Aptos"/>
        </w:rPr>
        <w:t>was sufficient to render it avirulent</w:t>
      </w:r>
      <w:r>
        <w:rPr>
          <w:rFonts w:ascii="Aptos" w:eastAsia="Times New Roman" w:hAnsi="Aptos"/>
        </w:rPr>
        <w:t xml:space="preserve"> </w:t>
      </w:r>
      <w:hyperlink r:id="rId51" w:history="1">
        <w:r>
          <w:rPr>
            <w:rFonts w:ascii="Aptos" w:eastAsia="Times New Roman" w:hAnsi="Aptos"/>
          </w:rPr>
          <w:t>(Dong </w:t>
        </w:r>
        <w:r>
          <w:rPr>
            <w:rFonts w:ascii="Aptos" w:eastAsia="Times New Roman" w:hAnsi="Aptos"/>
            <w:i/>
          </w:rPr>
          <w:t>et al.</w:t>
        </w:r>
        <w:r>
          <w:rPr>
            <w:rFonts w:ascii="Aptos" w:eastAsia="Times New Roman" w:hAnsi="Aptos"/>
          </w:rPr>
          <w:t>, 2023b)</w:t>
        </w:r>
      </w:hyperlink>
      <w:r w:rsidRPr="0082499D">
        <w:rPr>
          <w:rFonts w:ascii="Aptos" w:eastAsia="Times New Roman" w:hAnsi="Aptos"/>
        </w:rPr>
        <w:t xml:space="preserve">. </w:t>
      </w:r>
      <w:r>
        <w:rPr>
          <w:rFonts w:ascii="Aptos" w:eastAsia="Times New Roman" w:hAnsi="Aptos"/>
        </w:rPr>
        <w:t xml:space="preserve">However, this </w:t>
      </w:r>
      <w:r w:rsidRPr="0082499D">
        <w:rPr>
          <w:rFonts w:ascii="Aptos" w:eastAsia="Times New Roman" w:hAnsi="Aptos"/>
        </w:rPr>
        <w:t xml:space="preserve">69-bp deletion in the </w:t>
      </w:r>
      <w:proofErr w:type="spellStart"/>
      <w:r w:rsidRPr="0082499D">
        <w:rPr>
          <w:rFonts w:ascii="Aptos" w:eastAsia="Times New Roman" w:hAnsi="Aptos"/>
          <w:i/>
          <w:iCs/>
        </w:rPr>
        <w:t>cdtR</w:t>
      </w:r>
      <w:proofErr w:type="spellEnd"/>
      <w:r w:rsidRPr="0082499D">
        <w:rPr>
          <w:rFonts w:ascii="Aptos" w:eastAsia="Times New Roman" w:hAnsi="Aptos"/>
        </w:rPr>
        <w:t xml:space="preserve"> gene</w:t>
      </w:r>
      <w:r>
        <w:rPr>
          <w:rFonts w:ascii="Aptos" w:eastAsia="Times New Roman" w:hAnsi="Aptos"/>
        </w:rPr>
        <w:t xml:space="preserve"> is insufficient to fully explain variation in the virulence </w:t>
      </w:r>
      <w:hyperlink r:id="rId52" w:history="1">
        <w:r>
          <w:rPr>
            <w:rFonts w:ascii="Aptos" w:eastAsia="Times New Roman" w:hAnsi="Aptos"/>
          </w:rPr>
          <w:t>(Dong </w:t>
        </w:r>
        <w:r>
          <w:rPr>
            <w:rFonts w:ascii="Aptos" w:eastAsia="Times New Roman" w:hAnsi="Aptos"/>
            <w:i/>
          </w:rPr>
          <w:t>et al.</w:t>
        </w:r>
        <w:r>
          <w:rPr>
            <w:rFonts w:ascii="Aptos" w:eastAsia="Times New Roman" w:hAnsi="Aptos"/>
          </w:rPr>
          <w:t>, 2023b)</w:t>
        </w:r>
      </w:hyperlink>
      <w:r>
        <w:t xml:space="preserve">. </w:t>
      </w:r>
      <w:r w:rsidRPr="0082499D">
        <w:rPr>
          <w:rFonts w:ascii="Aptos" w:eastAsia="Times New Roman" w:hAnsi="Aptos"/>
        </w:rPr>
        <w:t xml:space="preserve">To test the impact of the </w:t>
      </w:r>
      <w:proofErr w:type="spellStart"/>
      <w:r w:rsidRPr="0082499D">
        <w:rPr>
          <w:rFonts w:ascii="Aptos" w:eastAsia="Times New Roman" w:hAnsi="Aptos"/>
          <w:i/>
          <w:iCs/>
        </w:rPr>
        <w:t>cdtR</w:t>
      </w:r>
      <w:proofErr w:type="spellEnd"/>
      <w:r w:rsidRPr="0082499D">
        <w:rPr>
          <w:rFonts w:ascii="Aptos" w:eastAsia="Times New Roman" w:hAnsi="Aptos"/>
        </w:rPr>
        <w:t xml:space="preserve"> mutation on the protective ability of ST1.75, </w:t>
      </w:r>
      <w:r>
        <w:rPr>
          <w:rFonts w:ascii="Aptos" w:eastAsia="Times New Roman" w:hAnsi="Aptos"/>
        </w:rPr>
        <w:t xml:space="preserve">Dong et al. </w:t>
      </w:r>
      <w:r w:rsidRPr="0082499D">
        <w:rPr>
          <w:rFonts w:ascii="Aptos" w:eastAsia="Times New Roman" w:hAnsi="Aptos"/>
        </w:rPr>
        <w:t xml:space="preserve">co-infected </w:t>
      </w:r>
      <w:r>
        <w:rPr>
          <w:rFonts w:ascii="Aptos" w:eastAsia="Times New Roman" w:hAnsi="Aptos"/>
        </w:rPr>
        <w:t xml:space="preserve">mice </w:t>
      </w:r>
      <w:r w:rsidRPr="0082499D">
        <w:rPr>
          <w:rFonts w:ascii="Aptos" w:eastAsia="Times New Roman" w:hAnsi="Aptos"/>
        </w:rPr>
        <w:t xml:space="preserve">with avirulent R20291 </w:t>
      </w:r>
      <w:proofErr w:type="spellStart"/>
      <w:r w:rsidRPr="0082499D">
        <w:rPr>
          <w:rFonts w:ascii="Aptos" w:eastAsia="Times New Roman" w:hAnsi="Aptos"/>
          <w:i/>
          <w:iCs/>
        </w:rPr>
        <w:t>cdtR</w:t>
      </w:r>
      <w:proofErr w:type="spellEnd"/>
      <w:r w:rsidRPr="0082499D">
        <w:rPr>
          <w:rFonts w:ascii="Aptos" w:eastAsia="Times New Roman" w:hAnsi="Aptos"/>
          <w:i/>
          <w:iCs/>
        </w:rPr>
        <w:t>*</w:t>
      </w:r>
      <w:r w:rsidRPr="0082499D">
        <w:rPr>
          <w:rFonts w:ascii="Aptos" w:eastAsia="Times New Roman" w:hAnsi="Aptos"/>
        </w:rPr>
        <w:t xml:space="preserve"> and virulent R20291 and found that coinfection resulted in similar weight loss as infection with R20291 alone</w:t>
      </w:r>
      <w:r>
        <w:rPr>
          <w:rFonts w:ascii="Aptos" w:eastAsia="Times New Roman" w:hAnsi="Aptos"/>
        </w:rPr>
        <w:t xml:space="preserve"> </w:t>
      </w:r>
      <w:hyperlink r:id="rId53" w:history="1">
        <w:r>
          <w:rPr>
            <w:rFonts w:ascii="Aptos" w:eastAsia="Times New Roman" w:hAnsi="Aptos"/>
          </w:rPr>
          <w:t>(Dong </w:t>
        </w:r>
        <w:r>
          <w:rPr>
            <w:rFonts w:ascii="Aptos" w:eastAsia="Times New Roman" w:hAnsi="Aptos"/>
            <w:i/>
          </w:rPr>
          <w:t>et al.</w:t>
        </w:r>
        <w:r>
          <w:rPr>
            <w:rFonts w:ascii="Aptos" w:eastAsia="Times New Roman" w:hAnsi="Aptos"/>
          </w:rPr>
          <w:t>, 2025)</w:t>
        </w:r>
      </w:hyperlink>
      <w:r w:rsidRPr="0082499D">
        <w:rPr>
          <w:rFonts w:ascii="Aptos" w:eastAsia="Times New Roman" w:hAnsi="Aptos"/>
        </w:rPr>
        <w:t>. The</w:t>
      </w:r>
      <w:r>
        <w:rPr>
          <w:rFonts w:ascii="Aptos" w:eastAsia="Times New Roman" w:hAnsi="Aptos"/>
        </w:rPr>
        <w:t xml:space="preserve"> same previous study also</w:t>
      </w:r>
      <w:r w:rsidRPr="0082499D">
        <w:rPr>
          <w:rFonts w:ascii="Aptos" w:eastAsia="Times New Roman" w:hAnsi="Aptos"/>
        </w:rPr>
        <w:t xml:space="preserve"> </w:t>
      </w:r>
      <w:r>
        <w:rPr>
          <w:rFonts w:ascii="Aptos" w:eastAsia="Times New Roman" w:hAnsi="Aptos"/>
        </w:rPr>
        <w:t>ruled out</w:t>
      </w:r>
      <w:r w:rsidRPr="0082499D">
        <w:rPr>
          <w:rFonts w:ascii="Aptos" w:eastAsia="Times New Roman" w:hAnsi="Aptos"/>
        </w:rPr>
        <w:t xml:space="preserve"> the two unique prophages harbored by ST1.75, phiCD75-2 and phiCD75-3, as mice infected with lysogenized R20291 still developed </w:t>
      </w:r>
      <w:r>
        <w:rPr>
          <w:rFonts w:ascii="Aptos" w:eastAsia="Times New Roman" w:hAnsi="Aptos"/>
        </w:rPr>
        <w:t xml:space="preserve">the </w:t>
      </w:r>
      <w:r w:rsidRPr="0082499D">
        <w:rPr>
          <w:rFonts w:ascii="Aptos" w:eastAsia="Times New Roman" w:hAnsi="Aptos"/>
        </w:rPr>
        <w:t>disease and were outcompeted by ST1.75 with similar kinetics to the parental R20291 strain</w:t>
      </w:r>
      <w:r>
        <w:rPr>
          <w:rFonts w:ascii="Aptos" w:eastAsia="Times New Roman" w:hAnsi="Aptos"/>
        </w:rPr>
        <w:t xml:space="preserve"> </w:t>
      </w:r>
      <w:hyperlink r:id="rId54"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eastAsia="Times New Roman" w:hAnsi="Aptos"/>
        </w:rPr>
        <w:t xml:space="preserve">. </w:t>
      </w:r>
      <w:r w:rsidRPr="0082499D">
        <w:rPr>
          <w:rFonts w:ascii="Aptos" w:eastAsia="Times New Roman" w:hAnsi="Aptos"/>
        </w:rPr>
        <w:t>Together, these results indicate that these two distinct genomic features of ST1.75 contribute minimally to its protective phenotype.</w:t>
      </w:r>
    </w:p>
    <w:p w14:paraId="51A64BF2" w14:textId="77777777" w:rsidR="003128FF" w:rsidRDefault="003128FF" w:rsidP="00C731D2">
      <w:pPr>
        <w:ind w:firstLine="720"/>
        <w:rPr>
          <w:rFonts w:ascii="Aptos" w:eastAsia="Times New Roman" w:hAnsi="Aptos"/>
        </w:rPr>
      </w:pPr>
      <w:r>
        <w:rPr>
          <w:rFonts w:ascii="Aptos" w:eastAsia="Times New Roman" w:hAnsi="Aptos"/>
        </w:rPr>
        <w:t>W</w:t>
      </w:r>
      <w:r w:rsidRPr="00840E38">
        <w:rPr>
          <w:rFonts w:ascii="Aptos" w:eastAsia="Times New Roman" w:hAnsi="Aptos"/>
        </w:rPr>
        <w:t xml:space="preserve">e </w:t>
      </w:r>
      <w:r>
        <w:rPr>
          <w:rFonts w:ascii="Aptos" w:eastAsia="Times New Roman" w:hAnsi="Aptos"/>
        </w:rPr>
        <w:t>therefore asked which</w:t>
      </w:r>
      <w:r w:rsidRPr="00840E38">
        <w:rPr>
          <w:rFonts w:ascii="Aptos" w:eastAsia="Times New Roman" w:hAnsi="Aptos"/>
        </w:rPr>
        <w:t xml:space="preserve"> </w:t>
      </w:r>
      <w:r>
        <w:rPr>
          <w:rFonts w:ascii="Aptos" w:eastAsia="Times New Roman" w:hAnsi="Aptos"/>
        </w:rPr>
        <w:t xml:space="preserve">accessory gene </w:t>
      </w:r>
      <w:r w:rsidRPr="00840E38">
        <w:rPr>
          <w:rFonts w:ascii="Aptos" w:eastAsia="Times New Roman" w:hAnsi="Aptos"/>
        </w:rPr>
        <w:t xml:space="preserve">differences among </w:t>
      </w:r>
      <w:r>
        <w:rPr>
          <w:rFonts w:ascii="Aptos" w:eastAsia="Times New Roman" w:hAnsi="Aptos"/>
        </w:rPr>
        <w:t>the ST1 strains</w:t>
      </w:r>
      <w:r w:rsidRPr="00840E38">
        <w:rPr>
          <w:rFonts w:ascii="Aptos" w:eastAsia="Times New Roman" w:hAnsi="Aptos"/>
        </w:rPr>
        <w:t xml:space="preserve">, specifically in terms of gene presence or absence, </w:t>
      </w:r>
      <w:r>
        <w:rPr>
          <w:rFonts w:ascii="Aptos" w:eastAsia="Times New Roman" w:hAnsi="Aptos"/>
        </w:rPr>
        <w:t>correlated</w:t>
      </w:r>
      <w:r w:rsidRPr="00840E38">
        <w:rPr>
          <w:rFonts w:ascii="Aptos" w:eastAsia="Times New Roman" w:hAnsi="Aptos"/>
        </w:rPr>
        <w:t xml:space="preserve"> with their protective capacity. We </w:t>
      </w:r>
      <w:r>
        <w:rPr>
          <w:rFonts w:ascii="Aptos" w:eastAsia="Times New Roman" w:hAnsi="Aptos"/>
        </w:rPr>
        <w:t xml:space="preserve">reannotated the assembled </w:t>
      </w:r>
      <w:r w:rsidRPr="00840E38">
        <w:rPr>
          <w:rFonts w:ascii="Aptos" w:eastAsia="Times New Roman" w:hAnsi="Aptos"/>
        </w:rPr>
        <w:t xml:space="preserve">whole genome sequences </w:t>
      </w:r>
      <w:r>
        <w:rPr>
          <w:rFonts w:ascii="Aptos" w:eastAsia="Times New Roman" w:hAnsi="Aptos"/>
        </w:rPr>
        <w:t xml:space="preserve">using </w:t>
      </w:r>
      <w:proofErr w:type="spellStart"/>
      <w:r>
        <w:rPr>
          <w:rFonts w:ascii="Aptos" w:eastAsia="Times New Roman" w:hAnsi="Aptos"/>
        </w:rPr>
        <w:t>Prokka</w:t>
      </w:r>
      <w:proofErr w:type="spellEnd"/>
      <w:r>
        <w:rPr>
          <w:rFonts w:ascii="Aptos" w:eastAsia="Times New Roman" w:hAnsi="Aptos"/>
        </w:rPr>
        <w:t xml:space="preserve"> </w:t>
      </w:r>
      <w:hyperlink r:id="rId55" w:history="1">
        <w:r>
          <w:rPr>
            <w:rFonts w:ascii="Aptos" w:eastAsia="Times New Roman" w:hAnsi="Aptos"/>
          </w:rPr>
          <w:t>(Seemann, 2014)</w:t>
        </w:r>
      </w:hyperlink>
      <w:r>
        <w:rPr>
          <w:rFonts w:ascii="Aptos" w:eastAsia="Times New Roman" w:hAnsi="Aptos"/>
        </w:rPr>
        <w:t xml:space="preserve"> and then performed the pan-genome analysis with the latest version of</w:t>
      </w:r>
      <w:r w:rsidRPr="00840E38">
        <w:rPr>
          <w:rFonts w:ascii="Aptos" w:eastAsia="Times New Roman" w:hAnsi="Aptos"/>
        </w:rPr>
        <w:t xml:space="preserve"> Roary</w:t>
      </w:r>
      <w:r>
        <w:rPr>
          <w:rFonts w:ascii="Aptos" w:eastAsia="Times New Roman" w:hAnsi="Aptos"/>
        </w:rPr>
        <w:t xml:space="preserve"> </w:t>
      </w:r>
      <w:hyperlink r:id="rId56" w:history="1">
        <w:r>
          <w:rPr>
            <w:rFonts w:ascii="Aptos" w:eastAsia="Times New Roman" w:hAnsi="Aptos"/>
          </w:rPr>
          <w:t>(Page </w:t>
        </w:r>
        <w:r>
          <w:rPr>
            <w:rFonts w:ascii="Aptos" w:eastAsia="Times New Roman" w:hAnsi="Aptos"/>
            <w:i/>
          </w:rPr>
          <w:t>et al.</w:t>
        </w:r>
        <w:r>
          <w:rPr>
            <w:rFonts w:ascii="Aptos" w:eastAsia="Times New Roman" w:hAnsi="Aptos"/>
          </w:rPr>
          <w:t>, 2015)</w:t>
        </w:r>
      </w:hyperlink>
      <w:r w:rsidRPr="00840E38">
        <w:rPr>
          <w:rFonts w:ascii="Aptos" w:eastAsia="Times New Roman" w:hAnsi="Aptos"/>
        </w:rPr>
        <w:t xml:space="preserve">. </w:t>
      </w:r>
      <w:r w:rsidRPr="00594A2B">
        <w:rPr>
          <w:rFonts w:ascii="Aptos" w:eastAsia="Times New Roman" w:hAnsi="Aptos"/>
        </w:rPr>
        <w:t xml:space="preserve">Our analysis revealed that </w:t>
      </w:r>
      <w:r>
        <w:rPr>
          <w:rFonts w:ascii="Aptos" w:eastAsia="Times New Roman" w:hAnsi="Aptos"/>
        </w:rPr>
        <w:t>66.6</w:t>
      </w:r>
      <w:r w:rsidRPr="00594A2B">
        <w:rPr>
          <w:rFonts w:ascii="Aptos" w:eastAsia="Times New Roman" w:hAnsi="Aptos"/>
        </w:rPr>
        <w:t xml:space="preserve">% of the </w:t>
      </w:r>
      <w:r>
        <w:rPr>
          <w:rFonts w:ascii="Aptos" w:eastAsia="Times New Roman" w:hAnsi="Aptos"/>
        </w:rPr>
        <w:t>5,109</w:t>
      </w:r>
      <w:r w:rsidRPr="00594A2B">
        <w:rPr>
          <w:rFonts w:ascii="Aptos" w:eastAsia="Times New Roman" w:hAnsi="Aptos"/>
        </w:rPr>
        <w:t xml:space="preserve"> coding sequences (CDS) belonged to </w:t>
      </w:r>
      <w:r>
        <w:rPr>
          <w:rFonts w:ascii="Aptos" w:eastAsia="Times New Roman" w:hAnsi="Aptos"/>
        </w:rPr>
        <w:t>a</w:t>
      </w:r>
      <w:r w:rsidRPr="00594A2B">
        <w:rPr>
          <w:rFonts w:ascii="Aptos" w:eastAsia="Times New Roman" w:hAnsi="Aptos"/>
        </w:rPr>
        <w:t xml:space="preserve"> core genome shared across all 21 ST1 strains, while </w:t>
      </w:r>
      <w:r>
        <w:rPr>
          <w:rFonts w:ascii="Aptos" w:eastAsia="Times New Roman" w:hAnsi="Aptos"/>
        </w:rPr>
        <w:t>33.4</w:t>
      </w:r>
      <w:r w:rsidRPr="00594A2B">
        <w:rPr>
          <w:rFonts w:ascii="Aptos" w:eastAsia="Times New Roman" w:hAnsi="Aptos"/>
        </w:rPr>
        <w:t>% comprised the accessory genome, present in only one or a few strains.</w:t>
      </w:r>
      <w:r>
        <w:rPr>
          <w:rFonts w:ascii="Aptos" w:eastAsia="Times New Roman" w:hAnsi="Aptos"/>
        </w:rPr>
        <w:t xml:space="preserve"> </w:t>
      </w:r>
      <w:r w:rsidRPr="00594A2B">
        <w:rPr>
          <w:rFonts w:ascii="Aptos" w:eastAsia="Times New Roman" w:hAnsi="Aptos"/>
        </w:rPr>
        <w:t>Phylogenetic analysis</w:t>
      </w:r>
      <w:r>
        <w:rPr>
          <w:rFonts w:ascii="Aptos" w:eastAsia="Times New Roman" w:hAnsi="Aptos"/>
        </w:rPr>
        <w:t xml:space="preserve"> </w:t>
      </w:r>
      <w:r w:rsidRPr="00594A2B">
        <w:rPr>
          <w:rFonts w:ascii="Aptos" w:eastAsia="Times New Roman" w:hAnsi="Aptos"/>
        </w:rPr>
        <w:t xml:space="preserve">based on differences in </w:t>
      </w:r>
      <w:r w:rsidRPr="00594A2B">
        <w:rPr>
          <w:rFonts w:ascii="Aptos" w:eastAsia="Times New Roman" w:hAnsi="Aptos"/>
        </w:rPr>
        <w:lastRenderedPageBreak/>
        <w:t xml:space="preserve">core </w:t>
      </w:r>
      <w:r>
        <w:rPr>
          <w:rFonts w:ascii="Aptos" w:eastAsia="Times New Roman" w:hAnsi="Aptos"/>
        </w:rPr>
        <w:t xml:space="preserve">genome showed no </w:t>
      </w:r>
      <w:r w:rsidRPr="00594A2B">
        <w:rPr>
          <w:rFonts w:ascii="Aptos" w:eastAsia="Times New Roman" w:hAnsi="Aptos"/>
        </w:rPr>
        <w:t>distinct phylogenetic clustering that separated protective from non-protective strains</w:t>
      </w:r>
      <w:r>
        <w:rPr>
          <w:rFonts w:ascii="Aptos" w:eastAsia="Times New Roman" w:hAnsi="Aptos"/>
        </w:rPr>
        <w:t xml:space="preserve"> (Figure 4A)</w:t>
      </w:r>
      <w:r w:rsidRPr="00594A2B">
        <w:rPr>
          <w:rFonts w:ascii="Aptos" w:eastAsia="Times New Roman" w:hAnsi="Aptos"/>
        </w:rPr>
        <w:t>.</w:t>
      </w:r>
      <w:r>
        <w:rPr>
          <w:rFonts w:ascii="Aptos" w:eastAsia="Times New Roman" w:hAnsi="Aptos"/>
        </w:rPr>
        <w:t xml:space="preserve"> </w:t>
      </w:r>
      <w:r w:rsidRPr="00594A2B">
        <w:rPr>
          <w:rFonts w:ascii="Aptos" w:eastAsia="Times New Roman" w:hAnsi="Aptos"/>
        </w:rPr>
        <w:t>In addition, principal component analysis</w:t>
      </w:r>
      <w:r>
        <w:rPr>
          <w:rFonts w:ascii="Aptos" w:eastAsia="Times New Roman" w:hAnsi="Aptos"/>
        </w:rPr>
        <w:t xml:space="preserve"> (PCA)</w:t>
      </w:r>
      <w:r w:rsidRPr="00594A2B">
        <w:rPr>
          <w:rFonts w:ascii="Aptos" w:eastAsia="Times New Roman" w:hAnsi="Aptos"/>
        </w:rPr>
        <w:t xml:space="preserve"> of the </w:t>
      </w:r>
      <w:r>
        <w:rPr>
          <w:rFonts w:ascii="Aptos" w:eastAsia="Times New Roman" w:hAnsi="Aptos"/>
        </w:rPr>
        <w:t xml:space="preserve">accessory </w:t>
      </w:r>
      <w:r w:rsidRPr="00594A2B">
        <w:rPr>
          <w:rFonts w:ascii="Aptos" w:eastAsia="Times New Roman" w:hAnsi="Aptos"/>
        </w:rPr>
        <w:t xml:space="preserve">gene presence/absence </w:t>
      </w:r>
      <w:r>
        <w:rPr>
          <w:rFonts w:ascii="Aptos" w:eastAsia="Times New Roman" w:hAnsi="Aptos"/>
        </w:rPr>
        <w:t xml:space="preserve">matrix </w:t>
      </w:r>
      <w:r w:rsidRPr="00594A2B">
        <w:rPr>
          <w:rFonts w:ascii="Aptos" w:eastAsia="Times New Roman" w:hAnsi="Aptos"/>
        </w:rPr>
        <w:t>did not reveal any clear clustering or separation between protective and non-protective strains</w:t>
      </w:r>
      <w:r>
        <w:rPr>
          <w:rFonts w:ascii="Aptos" w:eastAsia="Times New Roman" w:hAnsi="Aptos"/>
        </w:rPr>
        <w:t xml:space="preserve"> (Figure 4B)</w:t>
      </w:r>
      <w:r w:rsidRPr="00594A2B">
        <w:rPr>
          <w:rFonts w:ascii="Aptos" w:eastAsia="Times New Roman" w:hAnsi="Aptos"/>
        </w:rPr>
        <w:t>. Thus, neither core genome nor accessory gene content could account for the observed differences in protection scores among these ST1 strains.</w:t>
      </w:r>
      <w:r>
        <w:rPr>
          <w:rFonts w:ascii="Aptos" w:eastAsia="Times New Roman" w:hAnsi="Aptos"/>
        </w:rPr>
        <w:t xml:space="preserve"> </w:t>
      </w:r>
    </w:p>
    <w:p w14:paraId="73BC75A0" w14:textId="77777777" w:rsidR="003128FF" w:rsidRDefault="003128FF" w:rsidP="004306B9">
      <w:pPr>
        <w:ind w:firstLine="720"/>
        <w:rPr>
          <w:rFonts w:ascii="Aptos" w:eastAsia="Times New Roman" w:hAnsi="Aptos"/>
        </w:rPr>
      </w:pPr>
      <w:proofErr w:type="gramStart"/>
      <w:r>
        <w:rPr>
          <w:rFonts w:ascii="Aptos" w:eastAsia="Times New Roman" w:hAnsi="Aptos"/>
        </w:rPr>
        <w:t>A large number of</w:t>
      </w:r>
      <w:proofErr w:type="gramEnd"/>
      <w:r>
        <w:rPr>
          <w:rFonts w:ascii="Aptos" w:eastAsia="Times New Roman" w:hAnsi="Aptos"/>
        </w:rPr>
        <w:t xml:space="preserve"> </w:t>
      </w:r>
      <w:r w:rsidRPr="006524D6">
        <w:rPr>
          <w:rFonts w:ascii="Aptos" w:eastAsia="Times New Roman" w:hAnsi="Aptos"/>
          <w:i/>
          <w:iCs/>
        </w:rPr>
        <w:t>C. difficile</w:t>
      </w:r>
      <w:r w:rsidRPr="0082499D">
        <w:rPr>
          <w:rFonts w:ascii="Aptos" w:eastAsia="Times New Roman" w:hAnsi="Aptos"/>
        </w:rPr>
        <w:t xml:space="preserve"> </w:t>
      </w:r>
      <w:r>
        <w:rPr>
          <w:rFonts w:ascii="Aptos" w:eastAsia="Times New Roman" w:hAnsi="Aptos"/>
        </w:rPr>
        <w:t>open reading frames remain</w:t>
      </w:r>
      <w:r w:rsidRPr="0082499D">
        <w:rPr>
          <w:rFonts w:ascii="Aptos" w:eastAsia="Times New Roman" w:hAnsi="Aptos"/>
        </w:rPr>
        <w:t xml:space="preserve"> unannotated</w:t>
      </w:r>
      <w:r>
        <w:rPr>
          <w:rFonts w:ascii="Aptos" w:eastAsia="Times New Roman" w:hAnsi="Aptos"/>
        </w:rPr>
        <w:t>, making is hard to assess the contribution of putative genes to the</w:t>
      </w:r>
      <w:r w:rsidRPr="0082499D">
        <w:rPr>
          <w:rFonts w:ascii="Aptos" w:eastAsia="Times New Roman" w:hAnsi="Aptos"/>
        </w:rPr>
        <w:t xml:space="preserve"> protection phenotype.</w:t>
      </w:r>
      <w:r>
        <w:rPr>
          <w:rFonts w:ascii="Aptos" w:eastAsia="Times New Roman" w:hAnsi="Aptos"/>
        </w:rPr>
        <w:t xml:space="preserve"> </w:t>
      </w:r>
      <w:r>
        <w:rPr>
          <w:rFonts w:ascii="Aptos" w:eastAsia="Times New Roman" w:hAnsi="Aptos"/>
          <w:kern w:val="0"/>
          <w14:ligatures w14:val="none"/>
        </w:rPr>
        <w:t>Nevertheless, we tried to understand the implications of the presence or absence of certain genes using genome-scale</w:t>
      </w:r>
      <w:r>
        <w:rPr>
          <w:rFonts w:ascii="Aptos" w:eastAsia="Times New Roman" w:hAnsi="Aptos"/>
        </w:rPr>
        <w:t xml:space="preserve"> metabolic models (GSMM). W</w:t>
      </w:r>
      <w:r w:rsidRPr="0082499D">
        <w:rPr>
          <w:rFonts w:ascii="Aptos" w:eastAsia="Times New Roman" w:hAnsi="Aptos"/>
        </w:rPr>
        <w:t xml:space="preserve">e </w:t>
      </w:r>
      <w:r>
        <w:rPr>
          <w:rFonts w:ascii="Aptos" w:eastAsia="Times New Roman" w:hAnsi="Aptos"/>
        </w:rPr>
        <w:t xml:space="preserve">developed draft genomes of our ST1 strains by creating a draft metagenome model of </w:t>
      </w:r>
      <w:r w:rsidRPr="004306B9">
        <w:rPr>
          <w:rFonts w:ascii="Aptos" w:eastAsia="Times New Roman" w:hAnsi="Aptos"/>
          <w:i/>
          <w:iCs/>
        </w:rPr>
        <w:t>C. difficile</w:t>
      </w:r>
      <w:r>
        <w:rPr>
          <w:rFonts w:ascii="Aptos" w:eastAsia="Times New Roman" w:hAnsi="Aptos"/>
          <w:i/>
          <w:iCs/>
        </w:rPr>
        <w:t xml:space="preserve"> </w:t>
      </w:r>
      <w:r>
        <w:rPr>
          <w:rFonts w:ascii="Aptos" w:eastAsia="Times New Roman" w:hAnsi="Aptos"/>
        </w:rPr>
        <w:t xml:space="preserve">using already published GSMMs for 35 </w:t>
      </w:r>
      <w:r w:rsidRPr="004306B9">
        <w:rPr>
          <w:rFonts w:ascii="Aptos" w:eastAsia="Times New Roman" w:hAnsi="Aptos"/>
          <w:i/>
          <w:iCs/>
        </w:rPr>
        <w:t>C. difficile</w:t>
      </w:r>
      <w:r>
        <w:rPr>
          <w:rFonts w:ascii="Aptos" w:eastAsia="Times New Roman" w:hAnsi="Aptos"/>
        </w:rPr>
        <w:t xml:space="preserve"> strains which served as the parent </w:t>
      </w:r>
      <w:r w:rsidRPr="004306B9">
        <w:rPr>
          <w:rFonts w:ascii="Aptos" w:eastAsia="Times New Roman" w:hAnsi="Aptos"/>
          <w:i/>
          <w:iCs/>
        </w:rPr>
        <w:t>C. difficile</w:t>
      </w:r>
      <w:r>
        <w:rPr>
          <w:rFonts w:ascii="Aptos" w:eastAsia="Times New Roman" w:hAnsi="Aptos"/>
        </w:rPr>
        <w:t xml:space="preserve"> genome scale metabolic model </w:t>
      </w:r>
      <w:hyperlink r:id="rId57" w:history="1">
        <w:r>
          <w:rPr>
            <w:rFonts w:ascii="Aptos" w:eastAsia="Times New Roman" w:hAnsi="Aptos"/>
          </w:rPr>
          <w:t>(Norsigian </w:t>
        </w:r>
        <w:r>
          <w:rPr>
            <w:rFonts w:ascii="Aptos" w:eastAsia="Times New Roman" w:hAnsi="Aptos"/>
            <w:i/>
          </w:rPr>
          <w:t>et al.</w:t>
        </w:r>
        <w:r>
          <w:rPr>
            <w:rFonts w:ascii="Aptos" w:eastAsia="Times New Roman" w:hAnsi="Aptos"/>
          </w:rPr>
          <w:t>, 2022)</w:t>
        </w:r>
      </w:hyperlink>
      <w:r>
        <w:rPr>
          <w:rFonts w:ascii="Aptos" w:eastAsia="Times New Roman" w:hAnsi="Aptos"/>
        </w:rPr>
        <w:t xml:space="preserve">. </w:t>
      </w:r>
      <w:r w:rsidRPr="00124CAF">
        <w:rPr>
          <w:rFonts w:ascii="Aptos" w:eastAsia="Times New Roman" w:hAnsi="Aptos"/>
        </w:rPr>
        <w:t xml:space="preserve">Strain-specific models were then generated by deleting all genes absent in each strain's genome, ensuring that the biomass reaction remained uncompromised. A gap-filling approach was applied to enable growth on defined media compositions including </w:t>
      </w:r>
      <w:r w:rsidRPr="00124CAF">
        <w:rPr>
          <w:rFonts w:ascii="Aptos" w:eastAsia="Times New Roman" w:hAnsi="Aptos"/>
          <w:i/>
          <w:iCs/>
        </w:rPr>
        <w:t>C. difficile</w:t>
      </w:r>
      <w:r w:rsidRPr="00124CAF">
        <w:rPr>
          <w:rFonts w:ascii="Aptos" w:eastAsia="Times New Roman" w:hAnsi="Aptos"/>
        </w:rPr>
        <w:t xml:space="preserve"> minimal media (CDMM) and BHIS</w:t>
      </w:r>
      <w:r>
        <w:rPr>
          <w:rFonts w:ascii="Aptos" w:eastAsia="Times New Roman" w:hAnsi="Aptos"/>
        </w:rPr>
        <w:t xml:space="preserve"> media</w:t>
      </w:r>
      <w:r w:rsidRPr="00124CAF">
        <w:rPr>
          <w:rFonts w:ascii="Aptos" w:eastAsia="Times New Roman" w:hAnsi="Aptos"/>
        </w:rPr>
        <w:t xml:space="preserve">. These models demonstrated appropriate growth when optimizing the biomass </w:t>
      </w:r>
      <w:proofErr w:type="gramStart"/>
      <w:r w:rsidRPr="00124CAF">
        <w:rPr>
          <w:rFonts w:ascii="Aptos" w:eastAsia="Times New Roman" w:hAnsi="Aptos"/>
        </w:rPr>
        <w:t>reaction, but</w:t>
      </w:r>
      <w:proofErr w:type="gramEnd"/>
      <w:r w:rsidRPr="00124CAF">
        <w:rPr>
          <w:rFonts w:ascii="Aptos" w:eastAsia="Times New Roman" w:hAnsi="Aptos"/>
        </w:rPr>
        <w:t xml:space="preserve"> did not reveal metabolic differences between protective and non-protective strains</w:t>
      </w:r>
      <w:r>
        <w:rPr>
          <w:rFonts w:ascii="Aptos" w:eastAsia="Times New Roman" w:hAnsi="Aptos"/>
        </w:rPr>
        <w:t>,</w:t>
      </w:r>
      <w:r w:rsidRPr="00124CAF">
        <w:rPr>
          <w:rFonts w:ascii="Aptos" w:eastAsia="Times New Roman" w:hAnsi="Aptos"/>
        </w:rPr>
        <w:t xml:space="preserve"> the models were nearly identical in both their reactions and gene content. This is because the key genomic differences among strains remain largely unannotated and lack functional characterization, limiting the ability of GSMM to detect subtle differences </w:t>
      </w:r>
      <w:r>
        <w:rPr>
          <w:rFonts w:ascii="Aptos" w:eastAsia="Times New Roman" w:hAnsi="Aptos"/>
        </w:rPr>
        <w:t>among closely related strains</w:t>
      </w:r>
      <w:r w:rsidRPr="00124CAF">
        <w:rPr>
          <w:rFonts w:ascii="Aptos" w:eastAsia="Times New Roman" w:hAnsi="Aptos"/>
        </w:rPr>
        <w:t xml:space="preserve">. Furthermore, </w:t>
      </w:r>
      <w:r>
        <w:rPr>
          <w:rFonts w:ascii="Aptos" w:eastAsia="Times New Roman" w:hAnsi="Aptos"/>
        </w:rPr>
        <w:t xml:space="preserve">the </w:t>
      </w:r>
      <w:r w:rsidRPr="00124CAF">
        <w:rPr>
          <w:rFonts w:ascii="Aptos" w:eastAsia="Times New Roman" w:hAnsi="Aptos"/>
        </w:rPr>
        <w:t>differences</w:t>
      </w:r>
      <w:r>
        <w:rPr>
          <w:rFonts w:ascii="Aptos" w:eastAsia="Times New Roman" w:hAnsi="Aptos"/>
        </w:rPr>
        <w:t xml:space="preserve"> in regulatory mechanisms </w:t>
      </w:r>
      <w:r w:rsidRPr="00124CAF">
        <w:rPr>
          <w:rFonts w:ascii="Aptos" w:eastAsia="Times New Roman" w:hAnsi="Aptos"/>
        </w:rPr>
        <w:t>are not captured by this modeling approach, representing a fundamental limitation of the metho</w:t>
      </w:r>
      <w:r>
        <w:rPr>
          <w:rFonts w:ascii="Aptos" w:eastAsia="Times New Roman" w:hAnsi="Aptos"/>
        </w:rPr>
        <w:t>d</w:t>
      </w:r>
      <w:r w:rsidRPr="00827DBE">
        <w:rPr>
          <w:rFonts w:ascii="Aptos" w:eastAsia="Times New Roman" w:hAnsi="Aptos"/>
        </w:rPr>
        <w:t xml:space="preserve">. </w:t>
      </w:r>
    </w:p>
    <w:p w14:paraId="1FF97EDA" w14:textId="77777777" w:rsidR="003128FF" w:rsidRDefault="003128FF" w:rsidP="00B05301">
      <w:pPr>
        <w:rPr>
          <w:rFonts w:ascii="Aptos" w:eastAsia="Times New Roman" w:hAnsi="Aptos"/>
        </w:rPr>
      </w:pPr>
      <w:r w:rsidRPr="00124CAF">
        <w:rPr>
          <w:rFonts w:ascii="Aptos" w:eastAsia="Times New Roman" w:hAnsi="Aptos"/>
        </w:rPr>
        <w:t xml:space="preserve">We also performed variant calling using </w:t>
      </w:r>
      <w:proofErr w:type="spellStart"/>
      <w:r w:rsidRPr="00124CAF">
        <w:rPr>
          <w:rFonts w:ascii="Aptos" w:eastAsia="Times New Roman" w:hAnsi="Aptos"/>
        </w:rPr>
        <w:t>breseq</w:t>
      </w:r>
      <w:proofErr w:type="spellEnd"/>
      <w:r w:rsidRPr="00124CAF">
        <w:rPr>
          <w:rFonts w:ascii="Aptos" w:eastAsia="Times New Roman" w:hAnsi="Aptos"/>
        </w:rPr>
        <w:t xml:space="preserve"> with VPI10463 as the reference genome. As with the pan-genome analysis, no substantial associations emerged between annotated coding sequence (CDS) variants and the protection phenotype, as the number of small differences across strains was too large to assess quantitatively. </w:t>
      </w:r>
    </w:p>
    <w:p w14:paraId="4184311C" w14:textId="77777777" w:rsidR="003128FF" w:rsidRDefault="003128FF" w:rsidP="00B05301">
      <w:pPr>
        <w:rPr>
          <w:rFonts w:ascii="Aptos" w:eastAsia="Times New Roman" w:hAnsi="Aptos"/>
        </w:rPr>
      </w:pPr>
      <w:r w:rsidRPr="00124CAF">
        <w:rPr>
          <w:rFonts w:ascii="Aptos" w:eastAsia="Times New Roman" w:hAnsi="Aptos"/>
        </w:rPr>
        <w:t>Despite the overall lack of discriminating genomic features, two notable differences emerged. First, pan-genome analysis revealed that clcA1, encoding an H</w:t>
      </w:r>
      <w:r w:rsidRPr="00124CAF">
        <w:rPr>
          <w:rFonts w:ascii="Cambria Math" w:eastAsia="Times New Roman" w:hAnsi="Cambria Math" w:cs="Cambria Math"/>
        </w:rPr>
        <w:t>⁺</w:t>
      </w:r>
      <w:r w:rsidRPr="00124CAF">
        <w:rPr>
          <w:rFonts w:ascii="Aptos" w:eastAsia="Times New Roman" w:hAnsi="Aptos"/>
        </w:rPr>
        <w:t>/Cl</w:t>
      </w:r>
      <w:r w:rsidRPr="00124CAF">
        <w:rPr>
          <w:rFonts w:ascii="Cambria Math" w:eastAsia="Times New Roman" w:hAnsi="Cambria Math" w:cs="Cambria Math"/>
        </w:rPr>
        <w:t>⁻</w:t>
      </w:r>
      <w:r w:rsidRPr="00124CAF">
        <w:rPr>
          <w:rFonts w:ascii="Aptos" w:eastAsia="Times New Roman" w:hAnsi="Aptos"/>
        </w:rPr>
        <w:t xml:space="preserve"> exchange transporter involved in pH homeostasis, was exclusively present in the two most protective strains, ST1.75 and ST1.6, suggesting that enhanced pH homeostasis capacity may contribute to its fitness in the gut environment. Second, </w:t>
      </w:r>
      <w:proofErr w:type="spellStart"/>
      <w:r w:rsidRPr="00124CAF">
        <w:rPr>
          <w:rFonts w:ascii="Aptos" w:eastAsia="Times New Roman" w:hAnsi="Aptos"/>
        </w:rPr>
        <w:t>breseq</w:t>
      </w:r>
      <w:proofErr w:type="spellEnd"/>
      <w:r w:rsidRPr="00124CAF">
        <w:rPr>
          <w:rFonts w:ascii="Aptos" w:eastAsia="Times New Roman" w:hAnsi="Aptos"/>
        </w:rPr>
        <w:t xml:space="preserve"> variant calling identified two mutations in the intergenic region approximately 1,115–1,118 bp upstream of </w:t>
      </w:r>
      <w:proofErr w:type="spellStart"/>
      <w:r w:rsidRPr="00124CAF">
        <w:rPr>
          <w:rFonts w:ascii="Aptos" w:eastAsia="Times New Roman" w:hAnsi="Aptos"/>
        </w:rPr>
        <w:t>queG</w:t>
      </w:r>
      <w:proofErr w:type="spellEnd"/>
      <w:r w:rsidRPr="00124CAF">
        <w:rPr>
          <w:rFonts w:ascii="Aptos" w:eastAsia="Times New Roman" w:hAnsi="Aptos"/>
        </w:rPr>
        <w:t xml:space="preserve">, present </w:t>
      </w:r>
      <w:proofErr w:type="spellStart"/>
      <w:r w:rsidRPr="00124CAF">
        <w:rPr>
          <w:rFonts w:ascii="Aptos" w:eastAsia="Times New Roman" w:hAnsi="Aptos"/>
        </w:rPr>
        <w:t>in</w:t>
      </w:r>
      <w:r>
        <w:rPr>
          <w:rFonts w:ascii="Aptos" w:eastAsia="Times New Roman" w:hAnsi="Aptos"/>
        </w:rPr>
        <w:t>top</w:t>
      </w:r>
      <w:proofErr w:type="spellEnd"/>
      <w:r>
        <w:rPr>
          <w:rFonts w:ascii="Aptos" w:eastAsia="Times New Roman" w:hAnsi="Aptos"/>
        </w:rPr>
        <w:t xml:space="preserve"> three </w:t>
      </w:r>
      <w:r w:rsidRPr="00124CAF">
        <w:rPr>
          <w:rFonts w:ascii="Aptos" w:eastAsia="Times New Roman" w:hAnsi="Aptos"/>
        </w:rPr>
        <w:t xml:space="preserve"> protective strains (ST1.75, ST1.6, ST1.25) and absent in </w:t>
      </w:r>
      <w:r>
        <w:rPr>
          <w:rFonts w:ascii="Aptos" w:eastAsia="Times New Roman" w:hAnsi="Aptos"/>
        </w:rPr>
        <w:t xml:space="preserve">top three </w:t>
      </w:r>
      <w:r w:rsidRPr="00124CAF">
        <w:rPr>
          <w:rFonts w:ascii="Aptos" w:eastAsia="Times New Roman" w:hAnsi="Aptos"/>
        </w:rPr>
        <w:t xml:space="preserve">non-protective strains (ST1.68, ST1.19, ST1.58). The first is a </w:t>
      </w:r>
      <w:proofErr w:type="spellStart"/>
      <w:r w:rsidRPr="00124CAF">
        <w:rPr>
          <w:rFonts w:ascii="Aptos" w:eastAsia="Times New Roman" w:hAnsi="Aptos"/>
        </w:rPr>
        <w:t>homopolymeric</w:t>
      </w:r>
      <w:proofErr w:type="spellEnd"/>
      <w:r w:rsidRPr="00124CAF">
        <w:rPr>
          <w:rFonts w:ascii="Aptos" w:eastAsia="Times New Roman" w:hAnsi="Aptos"/>
        </w:rPr>
        <w:t xml:space="preserve"> adenine repeat </w:t>
      </w:r>
      <w:r w:rsidRPr="00124CAF">
        <w:rPr>
          <w:rFonts w:ascii="Aptos" w:eastAsia="Times New Roman" w:hAnsi="Aptos"/>
        </w:rPr>
        <w:lastRenderedPageBreak/>
        <w:t xml:space="preserve">expansion [(A)₅→(A)₆] and the second is a dinucleotide substitution (2 bp → CG), both suggesting potential regulatory divergence in Fe-S cluster metabolism and electron transfer capacity between protective and non-protective lineages. </w:t>
      </w:r>
    </w:p>
    <w:p w14:paraId="075CD6B1" w14:textId="77777777" w:rsidR="003128FF" w:rsidRDefault="003128FF" w:rsidP="00B05301">
      <w:pPr>
        <w:rPr>
          <w:rFonts w:ascii="Aptos" w:eastAsia="Times New Roman" w:hAnsi="Aptos"/>
        </w:rPr>
      </w:pPr>
      <w:r w:rsidRPr="00124CAF">
        <w:rPr>
          <w:rFonts w:ascii="Aptos" w:eastAsia="Times New Roman" w:hAnsi="Aptos"/>
        </w:rPr>
        <w:t>Taken together, this multi-layered genomic analysis indicates that the genetic basis of the protection phenotype is complex and cannot be attributed to any single gene or genomic feature. As a result, even among closely related ST1 strains, identifying the individual genetic determinants responsible for the protection phenotype remains challenging.</w:t>
      </w:r>
    </w:p>
    <w:p w14:paraId="0FA4FDC6" w14:textId="77777777" w:rsidR="003128FF" w:rsidRPr="00DE0720" w:rsidRDefault="003128FF" w:rsidP="00B05301">
      <w:r w:rsidRPr="00DE0720">
        <w:rPr>
          <w:rFonts w:eastAsiaTheme="majorEastAsia" w:cstheme="majorBidi"/>
          <w:i/>
          <w:iCs/>
          <w:color w:val="0F4761" w:themeColor="accent1" w:themeShade="BF"/>
          <w:sz w:val="28"/>
          <w:szCs w:val="28"/>
        </w:rPr>
        <w:t>C. difficile</w:t>
      </w:r>
      <w:r w:rsidRPr="00B05301">
        <w:rPr>
          <w:rFonts w:eastAsiaTheme="majorEastAsia" w:cstheme="majorBidi"/>
          <w:color w:val="0F4761" w:themeColor="accent1" w:themeShade="BF"/>
          <w:sz w:val="28"/>
          <w:szCs w:val="28"/>
        </w:rPr>
        <w:t xml:space="preserve"> </w:t>
      </w:r>
      <w:r>
        <w:rPr>
          <w:rFonts w:eastAsiaTheme="majorEastAsia" w:cstheme="majorBidi"/>
          <w:color w:val="0F4761" w:themeColor="accent1" w:themeShade="BF"/>
          <w:sz w:val="28"/>
          <w:szCs w:val="28"/>
        </w:rPr>
        <w:t>ST1</w:t>
      </w:r>
      <w:r w:rsidRPr="00DE0720">
        <w:rPr>
          <w:rFonts w:eastAsiaTheme="majorEastAsia" w:cstheme="majorBidi"/>
          <w:color w:val="0F4761" w:themeColor="accent1" w:themeShade="BF"/>
          <w:sz w:val="28"/>
          <w:szCs w:val="28"/>
        </w:rPr>
        <w:t xml:space="preserve"> </w:t>
      </w:r>
      <w:r>
        <w:rPr>
          <w:rFonts w:eastAsiaTheme="majorEastAsia" w:cstheme="majorBidi"/>
          <w:color w:val="0F4761" w:themeColor="accent1" w:themeShade="BF"/>
          <w:sz w:val="28"/>
          <w:szCs w:val="28"/>
        </w:rPr>
        <w:t xml:space="preserve">strains </w:t>
      </w:r>
      <w:r w:rsidRPr="00DE0720">
        <w:rPr>
          <w:rFonts w:eastAsiaTheme="majorEastAsia" w:cstheme="majorBidi"/>
          <w:color w:val="0F4761" w:themeColor="accent1" w:themeShade="BF"/>
          <w:sz w:val="28"/>
          <w:szCs w:val="28"/>
        </w:rPr>
        <w:t>have diverse metaboli</w:t>
      </w:r>
      <w:r>
        <w:rPr>
          <w:rFonts w:eastAsiaTheme="majorEastAsia" w:cstheme="majorBidi"/>
          <w:color w:val="0F4761" w:themeColor="accent1" w:themeShade="BF"/>
          <w:sz w:val="28"/>
          <w:szCs w:val="28"/>
        </w:rPr>
        <w:t>c traits</w:t>
      </w:r>
    </w:p>
    <w:p w14:paraId="47A8549E" w14:textId="77777777" w:rsidR="003128FF" w:rsidRPr="00760AF0" w:rsidRDefault="003128FF" w:rsidP="00760AF0">
      <w:pPr>
        <w:rPr>
          <w:rFonts w:ascii="Menlo" w:eastAsia="Times New Roman" w:hAnsi="Menlo" w:cs="Menlo"/>
          <w:kern w:val="0"/>
          <w:sz w:val="18"/>
          <w:szCs w:val="18"/>
          <w14:ligatures w14:val="none"/>
        </w:rPr>
      </w:pPr>
      <w:r>
        <w:rPr>
          <w:rFonts w:ascii="Aptos" w:eastAsia="Times New Roman" w:hAnsi="Aptos"/>
        </w:rPr>
        <w:t>Previous work suggests that c</w:t>
      </w:r>
      <w:r w:rsidRPr="001B309C">
        <w:rPr>
          <w:rFonts w:ascii="Aptos" w:eastAsia="Times New Roman" w:hAnsi="Aptos"/>
        </w:rPr>
        <w:t xml:space="preserve">ompetition for nutrients </w:t>
      </w:r>
      <w:r>
        <w:rPr>
          <w:rFonts w:ascii="Aptos" w:eastAsia="Times New Roman" w:hAnsi="Aptos"/>
        </w:rPr>
        <w:t xml:space="preserve">and metabolic differences </w:t>
      </w:r>
      <w:r w:rsidRPr="001B309C">
        <w:rPr>
          <w:rFonts w:ascii="Aptos" w:eastAsia="Times New Roman" w:hAnsi="Aptos"/>
        </w:rPr>
        <w:t xml:space="preserve">may </w:t>
      </w:r>
      <w:r>
        <w:rPr>
          <w:rFonts w:ascii="Aptos" w:eastAsia="Times New Roman" w:hAnsi="Aptos"/>
        </w:rPr>
        <w:t xml:space="preserve">explain the protection of ST1.75 </w:t>
      </w:r>
      <w:hyperlink r:id="rId58"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eastAsia="Times New Roman" w:hAnsi="Aptos"/>
        </w:rPr>
        <w:t xml:space="preserve">. We therefore asked whether a diversity of metabolic traits among our ST1 strain collection could explain the variation in protection that we observed. </w:t>
      </w:r>
      <w:r>
        <w:rPr>
          <w:rFonts w:ascii="Aptos" w:eastAsia="Times New Roman" w:hAnsi="Aptos"/>
          <w:kern w:val="0"/>
          <w14:ligatures w14:val="none"/>
        </w:rPr>
        <w:t>We used the BIOLOG Phenotype Microarray PM1 to score each strain's ability to grow on 95 distinct carbon sources</w:t>
      </w:r>
      <w:r>
        <w:rPr>
          <w:rFonts w:ascii="Aptos" w:eastAsia="Times New Roman" w:hAnsi="Aptos"/>
        </w:rPr>
        <w:t>. Then, we developed a mixed effects model to</w:t>
      </w:r>
      <w:r w:rsidRPr="000C3DF6">
        <w:rPr>
          <w:rFonts w:ascii="Aptos" w:eastAsia="Times New Roman" w:hAnsi="Aptos"/>
        </w:rPr>
        <w:t xml:space="preserve"> determine </w:t>
      </w:r>
      <w:r>
        <w:rPr>
          <w:rFonts w:ascii="Aptos" w:eastAsia="Times New Roman" w:hAnsi="Aptos"/>
        </w:rPr>
        <w:t xml:space="preserve">whether each </w:t>
      </w:r>
      <w:r w:rsidRPr="000C3DF6">
        <w:rPr>
          <w:rFonts w:ascii="Aptos" w:eastAsia="Times New Roman" w:hAnsi="Aptos"/>
        </w:rPr>
        <w:t xml:space="preserve">strain </w:t>
      </w:r>
      <w:r>
        <w:rPr>
          <w:rFonts w:ascii="Aptos" w:eastAsia="Times New Roman" w:hAnsi="Aptos"/>
        </w:rPr>
        <w:t xml:space="preserve">grew on each metabolite by comparing it the </w:t>
      </w:r>
      <w:proofErr w:type="spellStart"/>
      <w:r>
        <w:rPr>
          <w:rFonts w:ascii="Aptos" w:eastAsia="Times New Roman" w:hAnsi="Aptos"/>
        </w:rPr>
        <w:t>the</w:t>
      </w:r>
      <w:proofErr w:type="spellEnd"/>
      <w:r w:rsidRPr="000C3DF6">
        <w:rPr>
          <w:rFonts w:ascii="Aptos" w:eastAsia="Times New Roman" w:hAnsi="Aptos"/>
        </w:rPr>
        <w:t xml:space="preserve"> negative control</w:t>
      </w:r>
      <w:r>
        <w:rPr>
          <w:rFonts w:ascii="Aptos" w:eastAsia="Times New Roman" w:hAnsi="Aptos"/>
        </w:rPr>
        <w:t xml:space="preserve"> present in the first well of PM1 plate</w:t>
      </w:r>
      <w:r w:rsidRPr="000C3DF6">
        <w:rPr>
          <w:rFonts w:ascii="Aptos" w:eastAsia="Times New Roman" w:hAnsi="Aptos"/>
        </w:rPr>
        <w:t>.</w:t>
      </w:r>
      <w:r w:rsidRPr="00760AF0">
        <w:rPr>
          <w:rFonts w:ascii="Menlo" w:hAnsi="Menlo" w:cs="Menlo"/>
          <w:color w:val="A709F5"/>
          <w:sz w:val="18"/>
          <w:szCs w:val="18"/>
        </w:rPr>
        <w:t xml:space="preserve"> </w:t>
      </w:r>
    </w:p>
    <w:p w14:paraId="1FC31A60" w14:textId="77777777" w:rsidR="003128FF" w:rsidRDefault="003128FF" w:rsidP="00A3258C">
      <w:pPr>
        <w:ind w:firstLine="720"/>
        <w:rPr>
          <w:rFonts w:ascii="Aptos" w:eastAsia="Times New Roman" w:hAnsi="Aptos"/>
        </w:rPr>
      </w:pPr>
      <m:oMathPara>
        <m:oMath>
          <m:r>
            <w:rPr>
              <w:rFonts w:ascii="Cambria Math" w:eastAsia="Times New Roman" w:hAnsi="Cambria Math"/>
            </w:rPr>
            <m:t xml:space="preserve">Absorbance ~ Metabolite*Time+(Time|Metabolite) </m:t>
          </m:r>
        </m:oMath>
      </m:oMathPara>
    </w:p>
    <w:p w14:paraId="1AD79AB6" w14:textId="77777777" w:rsidR="003128FF" w:rsidRDefault="003128FF" w:rsidP="00A3258C">
      <w:pPr>
        <w:ind w:firstLine="720"/>
        <w:rPr>
          <w:rFonts w:ascii="Aptos" w:eastAsia="Times New Roman" w:hAnsi="Aptos"/>
        </w:rPr>
      </w:pPr>
      <w:r w:rsidRPr="000C3DF6">
        <w:rPr>
          <w:rFonts w:ascii="Aptos" w:eastAsia="Times New Roman" w:hAnsi="Aptos"/>
        </w:rPr>
        <w:t xml:space="preserve"> </w:t>
      </w:r>
      <w:r>
        <w:rPr>
          <w:rFonts w:ascii="Aptos" w:eastAsia="Times New Roman" w:hAnsi="Aptos"/>
        </w:rPr>
        <w:t>Growth was decided based on</w:t>
      </w:r>
      <w:r w:rsidRPr="000C3DF6">
        <w:rPr>
          <w:rFonts w:ascii="Aptos" w:eastAsia="Times New Roman" w:hAnsi="Aptos"/>
        </w:rPr>
        <w:t xml:space="preserve"> the increase in absorbance </w:t>
      </w:r>
      <w:r>
        <w:rPr>
          <w:rFonts w:ascii="Aptos" w:eastAsia="Times New Roman" w:hAnsi="Aptos"/>
        </w:rPr>
        <w:t xml:space="preserve">being </w:t>
      </w:r>
      <w:r w:rsidRPr="000C3DF6">
        <w:rPr>
          <w:rFonts w:ascii="Aptos" w:eastAsia="Times New Roman" w:hAnsi="Aptos"/>
        </w:rPr>
        <w:t xml:space="preserve">statistically significant </w:t>
      </w:r>
      <w:r>
        <w:rPr>
          <w:rFonts w:ascii="Aptos" w:eastAsia="Times New Roman" w:hAnsi="Aptos"/>
        </w:rPr>
        <w:t>above the</w:t>
      </w:r>
      <w:r w:rsidRPr="000C3DF6">
        <w:rPr>
          <w:rFonts w:ascii="Aptos" w:eastAsia="Times New Roman" w:hAnsi="Aptos"/>
        </w:rPr>
        <w:t xml:space="preserve"> </w:t>
      </w:r>
      <w:r>
        <w:rPr>
          <w:rFonts w:ascii="Aptos" w:eastAsia="Times New Roman" w:hAnsi="Aptos"/>
        </w:rPr>
        <w:t>negative</w:t>
      </w:r>
      <w:r w:rsidRPr="000C3DF6">
        <w:rPr>
          <w:rFonts w:ascii="Aptos" w:eastAsia="Times New Roman" w:hAnsi="Aptos"/>
        </w:rPr>
        <w:t xml:space="preserve"> control.</w:t>
      </w:r>
      <w:r>
        <w:rPr>
          <w:rFonts w:ascii="Aptos" w:eastAsia="Times New Roman" w:hAnsi="Aptos"/>
        </w:rPr>
        <w:t xml:space="preserve"> At the end of the assay we had profiled a total of 2090, strain x metabolite (22 x 95) conditions (Figure 5A). The results revealed a wide range of metabolic traits across the ST1</w:t>
      </w:r>
      <w:r w:rsidRPr="000C3DF6">
        <w:rPr>
          <w:rFonts w:ascii="Aptos" w:eastAsia="Times New Roman" w:hAnsi="Aptos"/>
        </w:rPr>
        <w:t xml:space="preserve"> strains. </w:t>
      </w:r>
      <w:r>
        <w:rPr>
          <w:rFonts w:ascii="Aptos" w:eastAsia="Times New Roman" w:hAnsi="Aptos"/>
        </w:rPr>
        <w:t>Some nutrients could be utilized by all the strains (a-D-Glucose) some could be utilized by only 5 strains at most (Sucrose). Other nutrients showed a strong diversity revealing</w:t>
      </w:r>
      <w:r w:rsidRPr="000C3DF6">
        <w:rPr>
          <w:rFonts w:ascii="Aptos" w:eastAsia="Times New Roman" w:hAnsi="Aptos"/>
        </w:rPr>
        <w:t xml:space="preserve"> unique metabolic </w:t>
      </w:r>
      <w:r>
        <w:rPr>
          <w:rFonts w:ascii="Aptos" w:eastAsia="Times New Roman" w:hAnsi="Aptos"/>
        </w:rPr>
        <w:t>traits</w:t>
      </w:r>
      <w:r w:rsidRPr="000C3DF6">
        <w:rPr>
          <w:rFonts w:ascii="Aptos" w:eastAsia="Times New Roman" w:hAnsi="Aptos"/>
        </w:rPr>
        <w:t xml:space="preserve"> within our </w:t>
      </w:r>
      <w:r>
        <w:rPr>
          <w:rFonts w:ascii="Aptos" w:eastAsia="Times New Roman" w:hAnsi="Aptos"/>
        </w:rPr>
        <w:t>collection</w:t>
      </w:r>
      <w:r w:rsidRPr="000C3DF6">
        <w:rPr>
          <w:rFonts w:ascii="Aptos" w:eastAsia="Times New Roman" w:hAnsi="Aptos"/>
        </w:rPr>
        <w:t xml:space="preserve">. </w:t>
      </w:r>
      <w:r>
        <w:rPr>
          <w:rFonts w:ascii="Aptos" w:eastAsia="Times New Roman" w:hAnsi="Aptos"/>
        </w:rPr>
        <w:t>Notably, even</w:t>
      </w:r>
      <w:r w:rsidRPr="000C3DF6">
        <w:rPr>
          <w:rFonts w:ascii="Aptos" w:eastAsia="Times New Roman" w:hAnsi="Aptos"/>
        </w:rPr>
        <w:t xml:space="preserve"> for </w:t>
      </w:r>
      <w:r>
        <w:rPr>
          <w:rFonts w:ascii="Aptos" w:eastAsia="Times New Roman" w:hAnsi="Aptos"/>
        </w:rPr>
        <w:t>nutrients</w:t>
      </w:r>
      <w:r w:rsidRPr="000C3DF6">
        <w:rPr>
          <w:rFonts w:ascii="Aptos" w:eastAsia="Times New Roman" w:hAnsi="Aptos"/>
        </w:rPr>
        <w:t xml:space="preserve"> that </w:t>
      </w:r>
      <w:r>
        <w:rPr>
          <w:rFonts w:ascii="Aptos" w:eastAsia="Times New Roman" w:hAnsi="Aptos"/>
        </w:rPr>
        <w:t xml:space="preserve">most </w:t>
      </w:r>
      <w:r w:rsidRPr="000C3DF6">
        <w:rPr>
          <w:rFonts w:ascii="Aptos" w:eastAsia="Times New Roman" w:hAnsi="Aptos"/>
        </w:rPr>
        <w:t xml:space="preserve">strains could use, </w:t>
      </w:r>
      <w:r>
        <w:rPr>
          <w:rFonts w:ascii="Aptos" w:eastAsia="Times New Roman" w:hAnsi="Aptos"/>
        </w:rPr>
        <w:t xml:space="preserve">there was wide variability </w:t>
      </w:r>
      <w:r w:rsidRPr="000C3DF6">
        <w:rPr>
          <w:rFonts w:ascii="Aptos" w:eastAsia="Times New Roman" w:hAnsi="Aptos"/>
        </w:rPr>
        <w:t xml:space="preserve">in lag times. </w:t>
      </w:r>
    </w:p>
    <w:p w14:paraId="5C56F6AE" w14:textId="77777777" w:rsidR="003128FF" w:rsidRDefault="003128FF" w:rsidP="00CC42FA">
      <w:pPr>
        <w:ind w:firstLine="720"/>
        <w:rPr>
          <w:rFonts w:ascii="Aptos" w:eastAsia="Times New Roman" w:hAnsi="Aptos"/>
        </w:rPr>
      </w:pPr>
      <w:r>
        <w:rPr>
          <w:rFonts w:ascii="Aptos" w:eastAsia="Times New Roman" w:hAnsi="Aptos"/>
        </w:rPr>
        <w:t>The</w:t>
      </w:r>
      <w:r w:rsidRPr="00A3258C">
        <w:rPr>
          <w:rFonts w:ascii="Aptos" w:eastAsia="Times New Roman" w:hAnsi="Aptos"/>
        </w:rPr>
        <w:t xml:space="preserve"> linear mixed effects model </w:t>
      </w:r>
      <w:r>
        <w:rPr>
          <w:rFonts w:ascii="Aptos" w:eastAsia="Times New Roman" w:hAnsi="Aptos"/>
        </w:rPr>
        <w:t xml:space="preserve">used here </w:t>
      </w:r>
      <w:r w:rsidRPr="00A3258C">
        <w:rPr>
          <w:rFonts w:ascii="Aptos" w:eastAsia="Times New Roman" w:hAnsi="Aptos"/>
        </w:rPr>
        <w:t xml:space="preserve">to </w:t>
      </w:r>
      <w:r>
        <w:rPr>
          <w:rFonts w:ascii="Aptos" w:eastAsia="Times New Roman" w:hAnsi="Aptos"/>
        </w:rPr>
        <w:t>quantify the</w:t>
      </w:r>
      <w:r w:rsidRPr="00A3258C">
        <w:rPr>
          <w:rFonts w:ascii="Aptos" w:eastAsia="Times New Roman" w:hAnsi="Aptos"/>
        </w:rPr>
        <w:t xml:space="preserve"> changes in absorbance over time for each metabolite, </w:t>
      </w:r>
      <w:r>
        <w:rPr>
          <w:rFonts w:ascii="Aptos" w:eastAsia="Times New Roman" w:hAnsi="Aptos"/>
        </w:rPr>
        <w:t xml:space="preserve">accounts </w:t>
      </w:r>
      <w:r w:rsidRPr="00A3258C">
        <w:rPr>
          <w:rFonts w:ascii="Aptos" w:eastAsia="Times New Roman" w:hAnsi="Aptos"/>
        </w:rPr>
        <w:t>for measurement variability across different time points</w:t>
      </w:r>
      <w:r>
        <w:rPr>
          <w:rFonts w:ascii="Aptos" w:eastAsia="Times New Roman" w:hAnsi="Aptos"/>
        </w:rPr>
        <w:t xml:space="preserve"> and wells</w:t>
      </w:r>
      <w:r w:rsidRPr="00A3258C">
        <w:rPr>
          <w:rFonts w:ascii="Aptos" w:eastAsia="Times New Roman" w:hAnsi="Aptos"/>
        </w:rPr>
        <w:t xml:space="preserve">. This approach, however, is subject to two important limitations. First, the minimal medium formulated for </w:t>
      </w:r>
      <w:r w:rsidRPr="00A3258C">
        <w:rPr>
          <w:rFonts w:ascii="Aptos" w:eastAsia="Times New Roman" w:hAnsi="Aptos"/>
          <w:i/>
          <w:iCs/>
        </w:rPr>
        <w:t>C. difficile</w:t>
      </w:r>
      <w:r w:rsidRPr="00A3258C">
        <w:rPr>
          <w:rFonts w:ascii="Aptos" w:eastAsia="Times New Roman" w:hAnsi="Aptos"/>
        </w:rPr>
        <w:t xml:space="preserve"> is inherently complex and contains numerous amino acids, some of which could potentially serve as alternative carbon </w:t>
      </w:r>
      <w:proofErr w:type="gramStart"/>
      <w:r w:rsidRPr="00A3258C">
        <w:rPr>
          <w:rFonts w:ascii="Aptos" w:eastAsia="Times New Roman" w:hAnsi="Aptos"/>
        </w:rPr>
        <w:t>sources, but</w:t>
      </w:r>
      <w:proofErr w:type="gramEnd"/>
      <w:r w:rsidRPr="00A3258C">
        <w:rPr>
          <w:rFonts w:ascii="Aptos" w:eastAsia="Times New Roman" w:hAnsi="Aptos"/>
        </w:rPr>
        <w:t xml:space="preserve"> are nonetheless essential for maintaining basal growth. Second, </w:t>
      </w:r>
      <w:r>
        <w:rPr>
          <w:rFonts w:ascii="Aptos" w:eastAsia="Times New Roman" w:hAnsi="Aptos"/>
        </w:rPr>
        <w:t>the</w:t>
      </w:r>
      <w:r w:rsidRPr="00A3258C">
        <w:rPr>
          <w:rFonts w:ascii="Aptos" w:eastAsia="Times New Roman" w:hAnsi="Aptos"/>
        </w:rPr>
        <w:t xml:space="preserve"> variability among biological replicates of the same strain. This inconsistency is particularly </w:t>
      </w:r>
      <w:r>
        <w:rPr>
          <w:rFonts w:ascii="Aptos" w:eastAsia="Times New Roman" w:hAnsi="Aptos"/>
        </w:rPr>
        <w:t>observed</w:t>
      </w:r>
      <w:r w:rsidRPr="00A3258C">
        <w:rPr>
          <w:rFonts w:ascii="Aptos" w:eastAsia="Times New Roman" w:hAnsi="Aptos"/>
        </w:rPr>
        <w:t xml:space="preserve"> among clinical isolates, which are often less predictable under laboratory conditions than established laboratory strains.</w:t>
      </w:r>
      <w:r>
        <w:rPr>
          <w:rFonts w:ascii="Aptos" w:eastAsia="Times New Roman" w:hAnsi="Aptos"/>
        </w:rPr>
        <w:t xml:space="preserve"> </w:t>
      </w:r>
    </w:p>
    <w:p w14:paraId="0F4264C1" w14:textId="77777777" w:rsidR="003128FF" w:rsidRDefault="003128FF" w:rsidP="00CC42FA">
      <w:pPr>
        <w:ind w:firstLine="720"/>
        <w:rPr>
          <w:rFonts w:ascii="Aptos" w:eastAsia="Times New Roman" w:hAnsi="Aptos"/>
        </w:rPr>
      </w:pPr>
      <w:r>
        <w:rPr>
          <w:rFonts w:ascii="Aptos" w:eastAsia="Times New Roman" w:hAnsi="Aptos"/>
        </w:rPr>
        <w:t xml:space="preserve">Based on the growth/on 95 different metabolites on PM1 BIOLOG plate, we asked whether the ability to grow on specific nutrients might be associated with the protection </w:t>
      </w:r>
      <w:r>
        <w:rPr>
          <w:rFonts w:ascii="Aptos" w:eastAsia="Times New Roman" w:hAnsi="Aptos"/>
        </w:rPr>
        <w:lastRenderedPageBreak/>
        <w:t xml:space="preserve">phenotype. </w:t>
      </w:r>
      <w:r w:rsidRPr="00F15D43">
        <w:rPr>
          <w:rFonts w:ascii="Aptos" w:eastAsia="Times New Roman" w:hAnsi="Aptos"/>
        </w:rPr>
        <w:t xml:space="preserve">For each metabolite, protection scores were compared between growers and non-growers using Wilcoxon rank-sum </w:t>
      </w:r>
      <w:proofErr w:type="gramStart"/>
      <w:r w:rsidRPr="00F15D43">
        <w:rPr>
          <w:rFonts w:ascii="Aptos" w:eastAsia="Times New Roman" w:hAnsi="Aptos"/>
        </w:rPr>
        <w:t>tests</w:t>
      </w:r>
      <w:proofErr w:type="gramEnd"/>
      <w:r>
        <w:rPr>
          <w:rFonts w:ascii="Aptos" w:eastAsia="Times New Roman" w:hAnsi="Aptos"/>
        </w:rPr>
        <w:t xml:space="preserve"> but no singular metabolite </w:t>
      </w:r>
      <w:r w:rsidRPr="00F15D43">
        <w:rPr>
          <w:rFonts w:ascii="Aptos" w:eastAsia="Times New Roman" w:hAnsi="Aptos"/>
        </w:rPr>
        <w:t>survived Bonferroni correction</w:t>
      </w:r>
      <w:r>
        <w:rPr>
          <w:rFonts w:ascii="Aptos" w:eastAsia="Times New Roman" w:hAnsi="Aptos"/>
        </w:rPr>
        <w:t xml:space="preserve"> for multiple hypothesis testing. </w:t>
      </w:r>
      <w:r w:rsidRPr="009E4DBD">
        <w:rPr>
          <w:rFonts w:ascii="Aptos" w:eastAsia="Times New Roman" w:hAnsi="Aptos"/>
        </w:rPr>
        <w:t>To ask whether any combination of growth phenotypes predicted protection, we trained a Random Forest classifier and performed Lasso regression for feature selection</w:t>
      </w:r>
      <w:r>
        <w:rPr>
          <w:rFonts w:ascii="Aptos" w:eastAsia="Times New Roman" w:hAnsi="Aptos"/>
        </w:rPr>
        <w:t xml:space="preserve">. </w:t>
      </w:r>
      <w:r w:rsidRPr="000C3AA3">
        <w:rPr>
          <w:rFonts w:ascii="Aptos" w:eastAsia="Times New Roman" w:hAnsi="Aptos"/>
        </w:rPr>
        <w:t>The Random Forest classifier achieved 57% accuracy under leave-one-out cross-validation, while Lasso regression identified 8 metabolites with non-zero coefficients; both analyses are limited by the small sample size (n=21) relative to the feature space (95 metabolites)</w:t>
      </w:r>
      <w:r>
        <w:rPr>
          <w:rFonts w:ascii="Aptos" w:eastAsia="Times New Roman" w:hAnsi="Aptos"/>
        </w:rPr>
        <w:t>. B</w:t>
      </w:r>
      <w:r w:rsidRPr="009E4DBD">
        <w:rPr>
          <w:rFonts w:ascii="Aptos" w:eastAsia="Times New Roman" w:hAnsi="Aptos"/>
        </w:rPr>
        <w:t xml:space="preserve">oth consistently identified growth on glyoxylic acid as the single most informative feature. Notably, glyoxylic acid was the only metabolite out of 95 for which all high-protection strains </w:t>
      </w:r>
      <w:proofErr w:type="gramStart"/>
      <w:r w:rsidRPr="009E4DBD">
        <w:rPr>
          <w:rFonts w:ascii="Aptos" w:eastAsia="Times New Roman" w:hAnsi="Aptos"/>
        </w:rPr>
        <w:t>grew</w:t>
      </w:r>
      <w:proofErr w:type="gramEnd"/>
      <w:r w:rsidRPr="009E4DBD">
        <w:rPr>
          <w:rFonts w:ascii="Aptos" w:eastAsia="Times New Roman" w:hAnsi="Aptos"/>
        </w:rPr>
        <w:t xml:space="preserve"> and no low-protection strain did</w:t>
      </w:r>
      <w:r>
        <w:rPr>
          <w:rFonts w:ascii="Aptos" w:eastAsia="Times New Roman" w:hAnsi="Aptos"/>
        </w:rPr>
        <w:t xml:space="preserve">, </w:t>
      </w:r>
      <w:r w:rsidRPr="009E4DBD">
        <w:rPr>
          <w:rFonts w:ascii="Aptos" w:eastAsia="Times New Roman" w:hAnsi="Aptos"/>
        </w:rPr>
        <w:t>though some medium-protection strains also utilized this carbon source</w:t>
      </w:r>
      <w:r>
        <w:rPr>
          <w:rFonts w:ascii="Aptos" w:eastAsia="Times New Roman" w:hAnsi="Aptos"/>
        </w:rPr>
        <w:t xml:space="preserve">. </w:t>
      </w:r>
      <w:r w:rsidRPr="00F15D43">
        <w:rPr>
          <w:rFonts w:ascii="Aptos" w:eastAsia="Times New Roman" w:hAnsi="Aptos"/>
        </w:rPr>
        <w:t xml:space="preserve">Together, </w:t>
      </w:r>
      <w:r>
        <w:rPr>
          <w:rFonts w:ascii="Aptos" w:eastAsia="Times New Roman" w:hAnsi="Aptos"/>
        </w:rPr>
        <w:t>these</w:t>
      </w:r>
      <w:r w:rsidRPr="00F15D43">
        <w:rPr>
          <w:rFonts w:ascii="Aptos" w:eastAsia="Times New Roman" w:hAnsi="Aptos"/>
        </w:rPr>
        <w:t xml:space="preserve"> analyses confirm that no single metabolite alone is sufficient to classify protection status.</w:t>
      </w:r>
      <w:r>
        <w:rPr>
          <w:rFonts w:ascii="Aptos" w:eastAsia="Times New Roman" w:hAnsi="Aptos"/>
        </w:rPr>
        <w:t xml:space="preserve"> But interestingly, classifying all 95 metabolites into their respective chemical category, we find that protection is positively </w:t>
      </w:r>
      <w:proofErr w:type="spellStart"/>
      <w:r>
        <w:rPr>
          <w:rFonts w:ascii="Aptos" w:eastAsia="Times New Roman" w:hAnsi="Aptos"/>
        </w:rPr>
        <w:t>correlted</w:t>
      </w:r>
      <w:proofErr w:type="spellEnd"/>
      <w:r>
        <w:rPr>
          <w:rFonts w:ascii="Aptos" w:eastAsia="Times New Roman" w:hAnsi="Aptos"/>
        </w:rPr>
        <w:t xml:space="preserve"> with growth on amino acids (</w:t>
      </w:r>
      <w:r>
        <w:rPr>
          <w:rFonts w:ascii="Aptos" w:eastAsia="Times New Roman" w:hAnsi="Aptos"/>
        </w:rPr>
        <w:sym w:font="Symbol" w:char="F072"/>
      </w:r>
      <w:r>
        <w:rPr>
          <w:rFonts w:ascii="Aptos" w:eastAsia="Times New Roman" w:hAnsi="Aptos"/>
        </w:rPr>
        <w:t xml:space="preserve"> = 0.6, p-value = 0.0034). </w:t>
      </w:r>
    </w:p>
    <w:p w14:paraId="011FF70A" w14:textId="77777777" w:rsidR="003128FF" w:rsidRDefault="003128FF" w:rsidP="00CC42FA">
      <w:pPr>
        <w:ind w:firstLine="720"/>
        <w:rPr>
          <w:rFonts w:ascii="Aptos" w:eastAsia="Times New Roman" w:hAnsi="Aptos"/>
        </w:rPr>
      </w:pPr>
      <w:r w:rsidRPr="00827DBE">
        <w:rPr>
          <w:rFonts w:ascii="Aptos" w:eastAsia="Times New Roman" w:hAnsi="Aptos"/>
        </w:rPr>
        <w:t>One another interesting observation to report is that the most protective strains such as ST1.75, ST1.6 and ST1.25 had much diverse metabolic growth capabilities whereas the least protective strains such as ST1.68, ST1.19 and ST1.58 has limited such metabolic growth capabilities</w:t>
      </w:r>
      <w:r>
        <w:rPr>
          <w:rFonts w:ascii="Aptos" w:eastAsia="Times New Roman" w:hAnsi="Aptos"/>
        </w:rPr>
        <w:t xml:space="preserve">, </w:t>
      </w:r>
      <w:r w:rsidRPr="00827DBE">
        <w:rPr>
          <w:rFonts w:ascii="Aptos" w:eastAsia="Times New Roman" w:hAnsi="Aptos"/>
        </w:rPr>
        <w:t xml:space="preserve">further attesting to the metabolic differences among these two distinct group </w:t>
      </w:r>
      <w:r>
        <w:rPr>
          <w:rFonts w:ascii="Aptos" w:eastAsia="Times New Roman" w:hAnsi="Aptos"/>
        </w:rPr>
        <w:t>of</w:t>
      </w:r>
      <w:r w:rsidRPr="00827DBE">
        <w:rPr>
          <w:rFonts w:ascii="Aptos" w:eastAsia="Times New Roman" w:hAnsi="Aptos"/>
        </w:rPr>
        <w:t xml:space="preserve"> strains.</w:t>
      </w:r>
      <w:r>
        <w:rPr>
          <w:rFonts w:ascii="Aptos" w:eastAsia="Times New Roman" w:hAnsi="Aptos"/>
        </w:rPr>
        <w:t xml:space="preserve"> The breadth of metabolic niche is also positively </w:t>
      </w:r>
      <w:proofErr w:type="spellStart"/>
      <w:r>
        <w:rPr>
          <w:rFonts w:ascii="Aptos" w:eastAsia="Times New Roman" w:hAnsi="Aptos"/>
        </w:rPr>
        <w:t>correltated</w:t>
      </w:r>
      <w:proofErr w:type="spellEnd"/>
      <w:r>
        <w:rPr>
          <w:rFonts w:ascii="Aptos" w:eastAsia="Times New Roman" w:hAnsi="Aptos"/>
        </w:rPr>
        <w:t xml:space="preserve"> with the protective ability as shown in Figure 5C. </w:t>
      </w:r>
      <w:r w:rsidRPr="00343950">
        <w:rPr>
          <w:rFonts w:ascii="Aptos" w:eastAsia="Times New Roman" w:hAnsi="Aptos"/>
        </w:rPr>
        <w:t xml:space="preserve">These metabolic differences in growth capabilities between protective and non-protective strains </w:t>
      </w:r>
      <w:r>
        <w:rPr>
          <w:rFonts w:ascii="Aptos" w:eastAsia="Times New Roman" w:hAnsi="Aptos"/>
        </w:rPr>
        <w:t>show</w:t>
      </w:r>
      <w:r w:rsidRPr="00343950">
        <w:rPr>
          <w:rFonts w:ascii="Aptos" w:eastAsia="Times New Roman" w:hAnsi="Aptos"/>
        </w:rPr>
        <w:t xml:space="preserve"> how genetically closely related strains can diverge significantly in their functional metabolic phenotypes. Such </w:t>
      </w:r>
      <w:r>
        <w:rPr>
          <w:rFonts w:ascii="Aptos" w:eastAsia="Times New Roman" w:hAnsi="Aptos"/>
        </w:rPr>
        <w:t>differences</w:t>
      </w:r>
      <w:r w:rsidRPr="00343950">
        <w:rPr>
          <w:rFonts w:ascii="Aptos" w:eastAsia="Times New Roman" w:hAnsi="Aptos"/>
        </w:rPr>
        <w:t xml:space="preserve"> can ultimately determine whether a strain is able to grow, expand, and persist within the complex gut environment, where intense competition for limited resources shapes microbial community dynamics.</w:t>
      </w:r>
      <w:r>
        <w:rPr>
          <w:rFonts w:ascii="Aptos" w:eastAsia="Times New Roman" w:hAnsi="Aptos"/>
        </w:rPr>
        <w:t xml:space="preserve"> </w:t>
      </w:r>
    </w:p>
    <w:p w14:paraId="4254F394" w14:textId="77777777" w:rsidR="003128FF" w:rsidRPr="00AE4F57" w:rsidRDefault="003128FF" w:rsidP="00AE4F57">
      <w:r>
        <w:rPr>
          <w:rFonts w:eastAsiaTheme="majorEastAsia" w:cstheme="majorBidi"/>
          <w:color w:val="0F4761" w:themeColor="accent1" w:themeShade="BF"/>
          <w:sz w:val="28"/>
          <w:szCs w:val="28"/>
        </w:rPr>
        <w:t>Protective strains compete for nutrients better than non-protective strains</w:t>
      </w:r>
    </w:p>
    <w:p w14:paraId="50115067" w14:textId="77777777" w:rsidR="003128FF" w:rsidRDefault="003128FF" w:rsidP="00CC42FA">
      <w:pPr>
        <w:ind w:firstLine="720"/>
        <w:rPr>
          <w:rFonts w:ascii="Aptos" w:eastAsia="Times New Roman" w:hAnsi="Aptos"/>
        </w:rPr>
      </w:pPr>
      <w:r>
        <w:rPr>
          <w:rFonts w:ascii="Aptos" w:eastAsia="Times New Roman" w:hAnsi="Aptos"/>
        </w:rPr>
        <w:t>A previous study showed that ST1.75 protects the mice against the secondary virulent infection by VPI</w:t>
      </w:r>
      <w:r w:rsidRPr="003D13CA">
        <w:rPr>
          <w:rFonts w:ascii="Aptos" w:eastAsia="Times New Roman" w:hAnsi="Aptos"/>
        </w:rPr>
        <w:t>10463</w:t>
      </w:r>
      <w:r>
        <w:rPr>
          <w:rFonts w:ascii="Aptos" w:eastAsia="Times New Roman" w:hAnsi="Aptos"/>
        </w:rPr>
        <w:t xml:space="preserve"> or R20291 strain is attributed to the ability to outcompete these virulent strains </w:t>
      </w:r>
      <w:r>
        <w:rPr>
          <w:rFonts w:ascii="Aptos" w:eastAsia="Times New Roman" w:hAnsi="Aptos"/>
          <w:i/>
          <w:iCs/>
        </w:rPr>
        <w:t xml:space="preserve">in vivo </w:t>
      </w:r>
      <w:r>
        <w:rPr>
          <w:rFonts w:ascii="Aptos" w:eastAsia="Times New Roman" w:hAnsi="Aptos"/>
        </w:rPr>
        <w:t xml:space="preserve">by consuming available amino-acids better </w:t>
      </w:r>
      <w:hyperlink r:id="rId59"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eastAsia="Times New Roman" w:hAnsi="Aptos"/>
        </w:rPr>
        <w:t xml:space="preserve">. Several studies in the field have also implicated specific amino acids in promoting </w:t>
      </w:r>
      <w:r w:rsidRPr="00F56D08">
        <w:rPr>
          <w:rFonts w:ascii="Aptos" w:eastAsia="Times New Roman" w:hAnsi="Aptos"/>
          <w:i/>
          <w:iCs/>
        </w:rPr>
        <w:t>C. difficile</w:t>
      </w:r>
      <w:r>
        <w:rPr>
          <w:rFonts w:ascii="Aptos" w:eastAsia="Times New Roman" w:hAnsi="Aptos"/>
        </w:rPr>
        <w:t xml:space="preserve"> colonization in the gut, which is consistent with the observation that CDI patients have higher levels of amino acids than non-CDI patients </w:t>
      </w:r>
      <w:hyperlink r:id="rId60" w:history="1">
        <w:r>
          <w:rPr>
            <w:rFonts w:ascii="Aptos" w:eastAsia="Times New Roman" w:hAnsi="Aptos"/>
          </w:rPr>
          <w:t>(</w:t>
        </w:r>
        <w:proofErr w:type="spellStart"/>
        <w:r>
          <w:rPr>
            <w:rFonts w:ascii="Aptos" w:eastAsia="Times New Roman" w:hAnsi="Aptos"/>
          </w:rPr>
          <w:t>Battaglioli</w:t>
        </w:r>
        <w:proofErr w:type="spellEnd"/>
        <w:r>
          <w:rPr>
            <w:rFonts w:ascii="Aptos" w:eastAsia="Times New Roman" w:hAnsi="Aptos"/>
          </w:rPr>
          <w:t> </w:t>
        </w:r>
        <w:r>
          <w:rPr>
            <w:rFonts w:ascii="Aptos" w:eastAsia="Times New Roman" w:hAnsi="Aptos"/>
            <w:i/>
          </w:rPr>
          <w:t>et al.</w:t>
        </w:r>
        <w:r>
          <w:rPr>
            <w:rFonts w:ascii="Aptos" w:eastAsia="Times New Roman" w:hAnsi="Aptos"/>
          </w:rPr>
          <w:t>, 2018)</w:t>
        </w:r>
      </w:hyperlink>
      <w:r>
        <w:rPr>
          <w:rFonts w:ascii="Aptos" w:eastAsia="Times New Roman" w:hAnsi="Aptos"/>
        </w:rPr>
        <w:t>.</w:t>
      </w:r>
    </w:p>
    <w:p w14:paraId="43466A57" w14:textId="77777777" w:rsidR="003128FF" w:rsidRDefault="003128FF" w:rsidP="00971C4A">
      <w:pPr>
        <w:ind w:firstLine="720"/>
        <w:rPr>
          <w:rFonts w:ascii="Aptos" w:eastAsia="Times New Roman" w:hAnsi="Aptos"/>
        </w:rPr>
      </w:pPr>
      <w:r w:rsidRPr="00637613">
        <w:rPr>
          <w:rFonts w:ascii="Aptos" w:eastAsia="Times New Roman" w:hAnsi="Aptos"/>
        </w:rPr>
        <w:t>To characterize the metabolic activity of protective, non-protective, and virulent strains during early log phase, we grew ST1</w:t>
      </w:r>
      <w:r>
        <w:rPr>
          <w:rFonts w:ascii="Aptos" w:eastAsia="Times New Roman" w:hAnsi="Aptos"/>
        </w:rPr>
        <w:t>.</w:t>
      </w:r>
      <w:r w:rsidRPr="00637613">
        <w:rPr>
          <w:rFonts w:ascii="Aptos" w:eastAsia="Times New Roman" w:hAnsi="Aptos"/>
        </w:rPr>
        <w:t>75, ST1</w:t>
      </w:r>
      <w:r>
        <w:rPr>
          <w:rFonts w:ascii="Aptos" w:eastAsia="Times New Roman" w:hAnsi="Aptos"/>
        </w:rPr>
        <w:t>.</w:t>
      </w:r>
      <w:r w:rsidRPr="00637613">
        <w:rPr>
          <w:rFonts w:ascii="Aptos" w:eastAsia="Times New Roman" w:hAnsi="Aptos"/>
        </w:rPr>
        <w:t xml:space="preserve">68, and VPI10463 in CDMM for six hours and processed cell pellets and spent media separately by GC-MS following TMS </w:t>
      </w:r>
      <w:r w:rsidRPr="00637613">
        <w:rPr>
          <w:rFonts w:ascii="Aptos" w:eastAsia="Times New Roman" w:hAnsi="Aptos"/>
        </w:rPr>
        <w:lastRenderedPageBreak/>
        <w:t>derivatization, with plain CDMM serving as the reference control. Raw ion counts were TIC-normalized, zero-imputed using half the minimum non-zero value per metabolite, and log₂-transformed prior to analysis. Since all strains reached comparable biomass at this timepoint, differences in metabolite pools reflect per-cell metabolic activity rather than differences in growth. Extracellularly, ST1</w:t>
      </w:r>
      <w:r>
        <w:rPr>
          <w:rFonts w:ascii="Aptos" w:eastAsia="Times New Roman" w:hAnsi="Aptos"/>
        </w:rPr>
        <w:t>.</w:t>
      </w:r>
      <w:r w:rsidRPr="00637613">
        <w:rPr>
          <w:rFonts w:ascii="Aptos" w:eastAsia="Times New Roman" w:hAnsi="Aptos"/>
        </w:rPr>
        <w:t xml:space="preserve">75 showed significantly higher accumulation of alanine, </w:t>
      </w:r>
      <w:proofErr w:type="spellStart"/>
      <w:r w:rsidRPr="00637613">
        <w:rPr>
          <w:rFonts w:ascii="Aptos" w:eastAsia="Times New Roman" w:hAnsi="Aptos"/>
        </w:rPr>
        <w:t>oxoproline</w:t>
      </w:r>
      <w:proofErr w:type="spellEnd"/>
      <w:r w:rsidRPr="00637613">
        <w:rPr>
          <w:rFonts w:ascii="Aptos" w:eastAsia="Times New Roman" w:hAnsi="Aptos"/>
        </w:rPr>
        <w:t>, and lysine relative to VPI10463, and significantly higher retention of glutamate. Intracellularly, ST1</w:t>
      </w:r>
      <w:r>
        <w:rPr>
          <w:rFonts w:ascii="Aptos" w:eastAsia="Times New Roman" w:hAnsi="Aptos"/>
        </w:rPr>
        <w:t>.</w:t>
      </w:r>
      <w:r w:rsidRPr="00637613">
        <w:rPr>
          <w:rFonts w:ascii="Aptos" w:eastAsia="Times New Roman" w:hAnsi="Aptos"/>
        </w:rPr>
        <w:t>75 accumulated significantly more lactate, alanine, methionine, and tyrosine than VPI10463, and depleted serine and threonine to a greater extent. ST1</w:t>
      </w:r>
      <w:r>
        <w:rPr>
          <w:rFonts w:ascii="Aptos" w:eastAsia="Times New Roman" w:hAnsi="Aptos"/>
        </w:rPr>
        <w:t>.</w:t>
      </w:r>
      <w:r w:rsidRPr="00637613">
        <w:rPr>
          <w:rFonts w:ascii="Aptos" w:eastAsia="Times New Roman" w:hAnsi="Aptos"/>
        </w:rPr>
        <w:t>68 showed fewer differences from VPI10463 overall. Intracellularly, ST1</w:t>
      </w:r>
      <w:r>
        <w:rPr>
          <w:rFonts w:ascii="Aptos" w:eastAsia="Times New Roman" w:hAnsi="Aptos"/>
        </w:rPr>
        <w:t>.</w:t>
      </w:r>
      <w:r w:rsidRPr="00637613">
        <w:rPr>
          <w:rFonts w:ascii="Aptos" w:eastAsia="Times New Roman" w:hAnsi="Aptos"/>
        </w:rPr>
        <w:t>68 differed from VPI10463 in tryptophan, aspartate, serine, and threonine, but showed no consistent extracellular divergence. Together, these results show that ST1</w:t>
      </w:r>
      <w:r>
        <w:rPr>
          <w:rFonts w:ascii="Aptos" w:eastAsia="Times New Roman" w:hAnsi="Aptos"/>
        </w:rPr>
        <w:t>.</w:t>
      </w:r>
      <w:r w:rsidRPr="00637613">
        <w:rPr>
          <w:rFonts w:ascii="Aptos" w:eastAsia="Times New Roman" w:hAnsi="Aptos"/>
        </w:rPr>
        <w:t>75 has a broader and more distinct metabolic profile relative to VPI10463 than ST1</w:t>
      </w:r>
      <w:r>
        <w:rPr>
          <w:rFonts w:ascii="Aptos" w:eastAsia="Times New Roman" w:hAnsi="Aptos"/>
        </w:rPr>
        <w:t>.</w:t>
      </w:r>
      <w:r w:rsidRPr="00637613">
        <w:rPr>
          <w:rFonts w:ascii="Aptos" w:eastAsia="Times New Roman" w:hAnsi="Aptos"/>
        </w:rPr>
        <w:t>68.</w:t>
      </w:r>
    </w:p>
    <w:p w14:paraId="7F6A6D29" w14:textId="77777777" w:rsidR="003128FF" w:rsidRDefault="003128FF" w:rsidP="00971C4A">
      <w:pPr>
        <w:ind w:firstLine="720"/>
        <w:rPr>
          <w:rFonts w:ascii="Aptos" w:eastAsia="Times New Roman" w:hAnsi="Aptos"/>
        </w:rPr>
      </w:pPr>
      <w:r w:rsidRPr="00530EA1">
        <w:rPr>
          <w:rFonts w:ascii="Aptos" w:eastAsia="Times New Roman" w:hAnsi="Aptos"/>
        </w:rPr>
        <w:t>To test whether these metabolic differences translated into a direct growth advantage, we performed a targeted competition assay using Cerillo Duet Co-Culture plates, which allow real-time measurement of growth dynamics between two physically separated populations</w:t>
      </w:r>
      <w:r>
        <w:rPr>
          <w:rFonts w:ascii="Aptos" w:eastAsia="Times New Roman" w:hAnsi="Aptos"/>
        </w:rPr>
        <w:t xml:space="preserve"> by </w:t>
      </w:r>
      <w:proofErr w:type="gramStart"/>
      <w:r>
        <w:rPr>
          <w:rFonts w:ascii="Aptos" w:eastAsia="Times New Roman" w:hAnsi="Aptos"/>
        </w:rPr>
        <w:t>0.2 micron</w:t>
      </w:r>
      <w:proofErr w:type="gramEnd"/>
      <w:r>
        <w:rPr>
          <w:rFonts w:ascii="Aptos" w:eastAsia="Times New Roman" w:hAnsi="Aptos"/>
        </w:rPr>
        <w:t xml:space="preserve"> filter between the two wells allowing for nutrients to be exchanged between the wells while keeping the microbial populations separated</w:t>
      </w:r>
      <w:r w:rsidRPr="00530EA1">
        <w:rPr>
          <w:rFonts w:ascii="Aptos" w:eastAsia="Times New Roman" w:hAnsi="Aptos"/>
        </w:rPr>
        <w:t>. We evaluated ST1</w:t>
      </w:r>
      <w:r>
        <w:rPr>
          <w:rFonts w:ascii="Aptos" w:eastAsia="Times New Roman" w:hAnsi="Aptos"/>
        </w:rPr>
        <w:t>.</w:t>
      </w:r>
      <w:r w:rsidRPr="00530EA1">
        <w:rPr>
          <w:rFonts w:ascii="Aptos" w:eastAsia="Times New Roman" w:hAnsi="Aptos"/>
        </w:rPr>
        <w:t>75 and ST1</w:t>
      </w:r>
      <w:r>
        <w:rPr>
          <w:rFonts w:ascii="Aptos" w:eastAsia="Times New Roman" w:hAnsi="Aptos"/>
        </w:rPr>
        <w:t>.</w:t>
      </w:r>
      <w:r w:rsidRPr="00530EA1">
        <w:rPr>
          <w:rFonts w:ascii="Aptos" w:eastAsia="Times New Roman" w:hAnsi="Aptos"/>
        </w:rPr>
        <w:t xml:space="preserve">68 against VPI10463 in </w:t>
      </w:r>
      <w:r w:rsidRPr="00696101">
        <w:rPr>
          <w:rFonts w:ascii="Aptos" w:eastAsia="Times New Roman" w:hAnsi="Aptos"/>
          <w:i/>
          <w:iCs/>
        </w:rPr>
        <w:t>C. difficile</w:t>
      </w:r>
      <w:r w:rsidRPr="00530EA1">
        <w:rPr>
          <w:rFonts w:ascii="Aptos" w:eastAsia="Times New Roman" w:hAnsi="Aptos"/>
        </w:rPr>
        <w:t xml:space="preserve"> minimal media supplemented with alanine</w:t>
      </w:r>
      <w:r>
        <w:rPr>
          <w:rFonts w:ascii="Aptos" w:eastAsia="Times New Roman" w:hAnsi="Aptos"/>
        </w:rPr>
        <w:t xml:space="preserve"> or glycine as these amino acids are used by this pathogen for its growth</w:t>
      </w:r>
      <w:r w:rsidRPr="00530EA1">
        <w:rPr>
          <w:rFonts w:ascii="Aptos" w:eastAsia="Times New Roman" w:hAnsi="Aptos"/>
        </w:rPr>
        <w:t>, inoculating both strains at equal starting densities (OD = 0.01). Neither ST1</w:t>
      </w:r>
      <w:r>
        <w:rPr>
          <w:rFonts w:ascii="Aptos" w:eastAsia="Times New Roman" w:hAnsi="Aptos"/>
        </w:rPr>
        <w:t>.</w:t>
      </w:r>
      <w:r w:rsidRPr="00530EA1">
        <w:rPr>
          <w:rFonts w:ascii="Aptos" w:eastAsia="Times New Roman" w:hAnsi="Aptos"/>
        </w:rPr>
        <w:t>75 nor ST1</w:t>
      </w:r>
      <w:r>
        <w:rPr>
          <w:rFonts w:ascii="Aptos" w:eastAsia="Times New Roman" w:hAnsi="Aptos"/>
        </w:rPr>
        <w:t>.</w:t>
      </w:r>
      <w:r w:rsidRPr="00530EA1">
        <w:rPr>
          <w:rFonts w:ascii="Aptos" w:eastAsia="Times New Roman" w:hAnsi="Aptos"/>
        </w:rPr>
        <w:t>68 showed a consistent competitive advantage over VPI10463 across any amino acid condition, with maximum OD and growth trajectories remaining comparable and variable across replicates</w:t>
      </w:r>
      <w:r>
        <w:rPr>
          <w:rFonts w:ascii="Aptos" w:eastAsia="Times New Roman" w:hAnsi="Aptos"/>
        </w:rPr>
        <w:t xml:space="preserve"> (Figure 6D – 6H)</w:t>
      </w:r>
      <w:r w:rsidRPr="00530EA1">
        <w:rPr>
          <w:rFonts w:ascii="Aptos" w:eastAsia="Times New Roman" w:hAnsi="Aptos"/>
        </w:rPr>
        <w:t xml:space="preserve">. </w:t>
      </w:r>
    </w:p>
    <w:p w14:paraId="30EAAAC4" w14:textId="77777777" w:rsidR="003128FF" w:rsidRDefault="003128FF" w:rsidP="00971C4A">
      <w:pPr>
        <w:ind w:firstLine="720"/>
        <w:rPr>
          <w:rFonts w:ascii="Aptos" w:eastAsia="Times New Roman" w:hAnsi="Aptos"/>
        </w:rPr>
      </w:pPr>
      <w:r w:rsidRPr="00530EA1">
        <w:rPr>
          <w:rFonts w:ascii="Aptos" w:eastAsia="Times New Roman" w:hAnsi="Aptos"/>
        </w:rPr>
        <w:t>To further rule out active antagonism as the mechanism of protection, we tested whether ST1 spent media could suppress VPI10463 growth through bacteriocin production or targeted inhibition. VPI10463 was inoculated into six-hour and twenty-four-hour spent media collected from protective</w:t>
      </w:r>
      <w:r>
        <w:rPr>
          <w:rFonts w:ascii="Aptos" w:eastAsia="Times New Roman" w:hAnsi="Aptos"/>
        </w:rPr>
        <w:t xml:space="preserve"> (ST1.75, ST1.6)</w:t>
      </w:r>
      <w:r w:rsidRPr="00530EA1">
        <w:rPr>
          <w:rFonts w:ascii="Aptos" w:eastAsia="Times New Roman" w:hAnsi="Aptos"/>
        </w:rPr>
        <w:t xml:space="preserve"> and non-protective ST1</w:t>
      </w:r>
      <w:r>
        <w:rPr>
          <w:rFonts w:ascii="Aptos" w:eastAsia="Times New Roman" w:hAnsi="Aptos"/>
        </w:rPr>
        <w:t xml:space="preserve"> (ST1.68, ST1.19)</w:t>
      </w:r>
      <w:r w:rsidRPr="00530EA1">
        <w:rPr>
          <w:rFonts w:ascii="Aptos" w:eastAsia="Times New Roman" w:hAnsi="Aptos"/>
        </w:rPr>
        <w:t xml:space="preserve"> strains and growth was monitored relative to a BHIS positive control. VPI10463 failed to grow in spent media from all ST1 strain</w:t>
      </w:r>
      <w:r>
        <w:rPr>
          <w:rFonts w:ascii="Aptos" w:eastAsia="Times New Roman" w:hAnsi="Aptos"/>
        </w:rPr>
        <w:t>s</w:t>
      </w:r>
      <w:r w:rsidRPr="00530EA1">
        <w:rPr>
          <w:rFonts w:ascii="Aptos" w:eastAsia="Times New Roman" w:hAnsi="Aptos"/>
        </w:rPr>
        <w:t xml:space="preserve"> while robust growth was observed in the positive control. This universal growth suppression is most parsimoniously explained by nutrient depletion in the spent media rather than specific bacteriocin production, since the inhibitory effect was not restricted to the protective strain ST1</w:t>
      </w:r>
      <w:r>
        <w:rPr>
          <w:rFonts w:ascii="Aptos" w:eastAsia="Times New Roman" w:hAnsi="Aptos"/>
        </w:rPr>
        <w:t>.</w:t>
      </w:r>
      <w:r w:rsidRPr="00530EA1">
        <w:rPr>
          <w:rFonts w:ascii="Aptos" w:eastAsia="Times New Roman" w:hAnsi="Aptos"/>
        </w:rPr>
        <w:t xml:space="preserve">75. </w:t>
      </w:r>
    </w:p>
    <w:p w14:paraId="35A5F832" w14:textId="77777777" w:rsidR="003128FF" w:rsidRDefault="003128FF">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 xml:space="preserve">Protective strain ST1.75 outcompetes virulent strain VPI10463 strain in mice </w:t>
      </w:r>
    </w:p>
    <w:p w14:paraId="3B2F6B95" w14:textId="77777777" w:rsidR="003128FF" w:rsidRDefault="003128FF" w:rsidP="00993354">
      <w:pPr>
        <w:ind w:firstLine="720"/>
        <w:rPr>
          <w:rFonts w:ascii="Aptos" w:eastAsia="Times New Roman" w:hAnsi="Aptos"/>
        </w:rPr>
      </w:pPr>
      <w:r w:rsidRPr="004A1FD0">
        <w:rPr>
          <w:rFonts w:ascii="Aptos" w:eastAsia="Times New Roman" w:hAnsi="Aptos"/>
        </w:rPr>
        <w:t>To quantify strain proportions in the gut during co-infection and to assess whether a higher inoculum of the virulent strain VPI10463 could overcome the protection conferred by ST1</w:t>
      </w:r>
      <w:r>
        <w:rPr>
          <w:rFonts w:ascii="Aptos" w:eastAsia="Times New Roman" w:hAnsi="Aptos"/>
        </w:rPr>
        <w:t>.</w:t>
      </w:r>
      <w:r w:rsidRPr="004A1FD0">
        <w:rPr>
          <w:rFonts w:ascii="Aptos" w:eastAsia="Times New Roman" w:hAnsi="Aptos"/>
        </w:rPr>
        <w:t xml:space="preserve">75, we conducted an in vivo experiment in three mice receiving a 5-fold higher dose </w:t>
      </w:r>
      <w:r w:rsidRPr="004A1FD0">
        <w:rPr>
          <w:rFonts w:ascii="Aptos" w:eastAsia="Times New Roman" w:hAnsi="Aptos"/>
        </w:rPr>
        <w:lastRenderedPageBreak/>
        <w:t>of VPI10463 relative to ST1</w:t>
      </w:r>
      <w:r>
        <w:rPr>
          <w:rFonts w:ascii="Aptos" w:eastAsia="Times New Roman" w:hAnsi="Aptos"/>
        </w:rPr>
        <w:t>.</w:t>
      </w:r>
      <w:r w:rsidRPr="004A1FD0">
        <w:rPr>
          <w:rFonts w:ascii="Aptos" w:eastAsia="Times New Roman" w:hAnsi="Aptos"/>
        </w:rPr>
        <w:t xml:space="preserve">75 at the time of co-inoculation. Despite this inoculum disadvantage, mice remained protected against VPI10463 challenge, as evidenced by weight trajectories. Fecal samples collected at 0.5, </w:t>
      </w:r>
      <w:proofErr w:type="gramStart"/>
      <w:r w:rsidRPr="004A1FD0">
        <w:rPr>
          <w:rFonts w:ascii="Aptos" w:eastAsia="Times New Roman" w:hAnsi="Aptos"/>
        </w:rPr>
        <w:t>1, and 3 days</w:t>
      </w:r>
      <w:proofErr w:type="gramEnd"/>
      <w:r w:rsidRPr="004A1FD0">
        <w:rPr>
          <w:rFonts w:ascii="Aptos" w:eastAsia="Times New Roman" w:hAnsi="Aptos"/>
        </w:rPr>
        <w:t xml:space="preserve"> post-infection and quantified using strain-specific primers revealed that ST1</w:t>
      </w:r>
      <w:r>
        <w:rPr>
          <w:rFonts w:ascii="Aptos" w:eastAsia="Times New Roman" w:hAnsi="Aptos"/>
        </w:rPr>
        <w:t>.</w:t>
      </w:r>
      <w:r w:rsidRPr="004A1FD0">
        <w:rPr>
          <w:rFonts w:ascii="Aptos" w:eastAsia="Times New Roman" w:hAnsi="Aptos"/>
        </w:rPr>
        <w:t xml:space="preserve">75 progressively outcompeted VPI10463, achieving complete competitive exclusion by Day 3. This result demonstrates a robust </w:t>
      </w:r>
      <w:r w:rsidRPr="00696101">
        <w:rPr>
          <w:rFonts w:ascii="Aptos" w:eastAsia="Times New Roman" w:hAnsi="Aptos"/>
          <w:i/>
          <w:iCs/>
        </w:rPr>
        <w:t>in vivo</w:t>
      </w:r>
      <w:r w:rsidRPr="004A1FD0">
        <w:rPr>
          <w:rFonts w:ascii="Aptos" w:eastAsia="Times New Roman" w:hAnsi="Aptos"/>
        </w:rPr>
        <w:t xml:space="preserve"> competitive advantage for ST1</w:t>
      </w:r>
      <w:r>
        <w:rPr>
          <w:rFonts w:ascii="Aptos" w:eastAsia="Times New Roman" w:hAnsi="Aptos"/>
        </w:rPr>
        <w:t>.</w:t>
      </w:r>
      <w:r w:rsidRPr="004A1FD0">
        <w:rPr>
          <w:rFonts w:ascii="Aptos" w:eastAsia="Times New Roman" w:hAnsi="Aptos"/>
        </w:rPr>
        <w:t>75 that persists even when VPI10463 is introduced at a 5-fold excess</w:t>
      </w:r>
      <w:r>
        <w:rPr>
          <w:rFonts w:ascii="Aptos" w:eastAsia="Times New Roman" w:hAnsi="Aptos"/>
        </w:rPr>
        <w:t xml:space="preserve"> (Figure 6A – 6C). </w:t>
      </w:r>
    </w:p>
    <w:p w14:paraId="253F0FAB" w14:textId="77777777" w:rsidR="003128FF" w:rsidRPr="001E073A" w:rsidRDefault="003128FF" w:rsidP="00B41EAA">
      <w:pPr>
        <w:pStyle w:val="FirstParagraph"/>
        <w:spacing w:line="276" w:lineRule="auto"/>
        <w:rPr>
          <w:rFonts w:ascii="Aptos" w:hAnsi="Aptos"/>
        </w:rPr>
      </w:pPr>
      <w:r>
        <w:rPr>
          <w:rFonts w:ascii="Aptos" w:eastAsia="Times New Roman" w:hAnsi="Aptos" w:cs="Times New Roman"/>
        </w:rPr>
        <w:tab/>
      </w:r>
      <w:r w:rsidRPr="001E073A">
        <w:rPr>
          <w:rFonts w:ascii="Aptos" w:hAnsi="Aptos"/>
        </w:rPr>
        <w:t xml:space="preserve">To formally characterize the competitive dynamics underlying these in vivo observations, we developed a consumer-resource model of pairwise </w:t>
      </w:r>
      <w:proofErr w:type="spellStart"/>
      <w:r w:rsidRPr="001E073A">
        <w:rPr>
          <w:rFonts w:ascii="Aptos" w:hAnsi="Aptos"/>
        </w:rPr>
        <w:t>interstrain</w:t>
      </w:r>
      <w:proofErr w:type="spellEnd"/>
      <w:r w:rsidRPr="001E073A">
        <w:rPr>
          <w:rFonts w:ascii="Aptos" w:hAnsi="Aptos"/>
        </w:rPr>
        <w:t xml:space="preserve"> competition in a continuous-flow gut environment. We model two competing strains growing on three classes of carbon sources</w:t>
      </w:r>
      <w:r>
        <w:rPr>
          <w:rFonts w:ascii="Aptos" w:hAnsi="Aptos"/>
        </w:rPr>
        <w:t>,</w:t>
      </w:r>
      <w:r w:rsidRPr="001E073A">
        <w:rPr>
          <w:rFonts w:ascii="Aptos" w:hAnsi="Aptos"/>
        </w:rPr>
        <w:t xml:space="preserve"> a shared resource pool used by both strains (size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1E073A">
        <w:rPr>
          <w:rFonts w:ascii="Aptos" w:hAnsi="Aptos"/>
        </w:rPr>
        <w:t>), and private resource pools accessible exclusively to each strain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1E073A">
        <w:rPr>
          <w:rFonts w:ascii="Aptos" w:hAnsi="Aptos"/>
        </w:rP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1E073A">
        <w:rPr>
          <w:rFonts w:ascii="Aptos" w:hAnsi="Aptos"/>
        </w:rPr>
        <w:t>), with all three quantities derived from PM1 B</w:t>
      </w:r>
      <w:r>
        <w:rPr>
          <w:rFonts w:ascii="Aptos" w:hAnsi="Aptos"/>
        </w:rPr>
        <w:t>IOLOG assay</w:t>
      </w:r>
      <w:r w:rsidRPr="001E073A">
        <w:rPr>
          <w:rFonts w:ascii="Aptos" w:hAnsi="Aptos"/>
        </w:rPr>
        <w:t xml:space="preserve">. The system tracks population densities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1E073A">
        <w:rPr>
          <w:rFonts w:ascii="Aptos" w:hAnsi="Aptos"/>
        </w:rP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1E073A">
        <w:rPr>
          <w:rFonts w:ascii="Aptos" w:hAnsi="Aptos"/>
        </w:rPr>
        <w:t xml:space="preserve"> alongside resource concentrations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1E073A">
        <w:rPr>
          <w:rFonts w:ascii="Aptos" w:hAnsi="Aptos"/>
        </w:rPr>
        <w:t xml:space="preserve"> (shared),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1E073A">
        <w:rPr>
          <w:rFonts w:ascii="Aptos" w:hAnsi="Aptos"/>
        </w:rPr>
        <w:t xml:space="preserve"> (private to strain 1), 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1E073A">
        <w:rPr>
          <w:rFonts w:ascii="Aptos" w:hAnsi="Aptos"/>
        </w:rPr>
        <w:t xml:space="preserve"> (private to strain 2) in a chemostat-like environment with continuous resource inflow and washout. The population dynamics are governed by growth on available resources minus death and dilution:</w:t>
      </w:r>
    </w:p>
    <w:p w14:paraId="7F48D31B" w14:textId="77777777" w:rsidR="003128FF" w:rsidRPr="001E073A" w:rsidRDefault="003128FF" w:rsidP="00B41EAA">
      <w:pPr>
        <w:pStyle w:val="BodyText"/>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1</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e>
          </m:d>
        </m:oMath>
      </m:oMathPara>
    </w:p>
    <w:p w14:paraId="27D7B7A9" w14:textId="77777777" w:rsidR="003128FF" w:rsidRPr="001E073A" w:rsidRDefault="003128FF" w:rsidP="00B41EAA">
      <w:pPr>
        <w:pStyle w:val="FirstParagraph"/>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2</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e>
          </m:d>
        </m:oMath>
      </m:oMathPara>
    </w:p>
    <w:p w14:paraId="19AD83D2" w14:textId="77777777" w:rsidR="003128FF" w:rsidRPr="001E073A" w:rsidRDefault="003128FF" w:rsidP="00B41EAA">
      <w:pPr>
        <w:pStyle w:val="FirstParagraph"/>
        <w:spacing w:line="276" w:lineRule="auto"/>
        <w:rPr>
          <w:rFonts w:ascii="Aptos" w:hAnsi="Aptos"/>
        </w:rPr>
      </w:pPr>
      <w:r w:rsidRPr="001E073A">
        <w:rPr>
          <w:rFonts w:ascii="Aptos" w:hAnsi="Aptos"/>
        </w:rPr>
        <w:t xml:space="preserve">where </w:t>
      </w:r>
      <m:oMath>
        <m:r>
          <w:rPr>
            <w:rFonts w:ascii="Cambria Math" w:hAnsi="Cambria Math"/>
          </w:rPr>
          <m:t>e</m:t>
        </m:r>
      </m:oMath>
      <w:r w:rsidRPr="001E073A">
        <w:rPr>
          <w:rFonts w:ascii="Aptos" w:hAnsi="Aptos"/>
        </w:rPr>
        <w:t xml:space="preserve"> is the biomass conversion efficiency, </w:t>
      </w:r>
      <m:oMath>
        <m:sSub>
          <m:sSubPr>
            <m:ctrlPr>
              <w:rPr>
                <w:rFonts w:ascii="Cambria Math" w:hAnsi="Cambria Math"/>
              </w:rPr>
            </m:ctrlPr>
          </m:sSubPr>
          <m:e>
            <m:r>
              <w:rPr>
                <w:rFonts w:ascii="Cambria Math" w:hAnsi="Cambria Math"/>
              </w:rPr>
              <m:t>u</m:t>
            </m:r>
          </m:e>
          <m:sub>
            <m:r>
              <w:rPr>
                <w:rFonts w:ascii="Cambria Math" w:hAnsi="Cambria Math"/>
              </w:rPr>
              <m:t>f</m:t>
            </m:r>
          </m:sub>
        </m:sSub>
      </m:oMath>
      <w:r w:rsidRPr="001E073A">
        <w:rPr>
          <w:rFonts w:ascii="Aptos" w:hAnsi="Aptos"/>
        </w:rPr>
        <w:t xml:space="preserve"> and </w:t>
      </w:r>
      <m:oMath>
        <m:sSub>
          <m:sSubPr>
            <m:ctrlPr>
              <w:rPr>
                <w:rFonts w:ascii="Cambria Math" w:hAnsi="Cambria Math"/>
              </w:rPr>
            </m:ctrlPr>
          </m:sSubPr>
          <m:e>
            <m:r>
              <w:rPr>
                <w:rFonts w:ascii="Cambria Math" w:hAnsi="Cambria Math"/>
              </w:rPr>
              <m:t>u</m:t>
            </m:r>
          </m:e>
          <m:sub>
            <m:r>
              <w:rPr>
                <w:rFonts w:ascii="Cambria Math" w:hAnsi="Cambria Math"/>
              </w:rPr>
              <m:t>s</m:t>
            </m:r>
          </m:sub>
        </m:sSub>
      </m:oMath>
      <w:r w:rsidRPr="001E073A">
        <w:rPr>
          <w:rFonts w:ascii="Aptos" w:hAnsi="Aptos"/>
        </w:rPr>
        <w:t xml:space="preserve"> are the uptake rates of strains 1 and 2 on the shared pool (with </w:t>
      </w:r>
      <m:oMath>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s</m:t>
            </m:r>
          </m:sub>
        </m:sSub>
      </m:oMath>
      <w:r w:rsidRPr="001E073A">
        <w:rPr>
          <w:rFonts w:ascii="Aptos" w:hAnsi="Aptos"/>
        </w:rPr>
        <w:t xml:space="preserve"> when uptake asymmetry exists), </w:t>
      </w:r>
      <m:oMath>
        <m:r>
          <w:rPr>
            <w:rFonts w:ascii="Cambria Math" w:hAnsi="Cambria Math"/>
          </w:rPr>
          <m:t>u</m:t>
        </m:r>
      </m:oMath>
      <w:r w:rsidRPr="001E073A">
        <w:rPr>
          <w:rFonts w:ascii="Aptos" w:hAnsi="Aptos"/>
        </w:rPr>
        <w:t xml:space="preserve"> is the uptake rate on private resources (set equal to </w:t>
      </w:r>
      <m:oMath>
        <m:sSub>
          <m:sSubPr>
            <m:ctrlPr>
              <w:rPr>
                <w:rFonts w:ascii="Cambria Math" w:hAnsi="Cambria Math"/>
              </w:rPr>
            </m:ctrlPr>
          </m:sSubPr>
          <m:e>
            <m:r>
              <w:rPr>
                <w:rFonts w:ascii="Cambria Math" w:hAnsi="Cambria Math"/>
              </w:rPr>
              <m:t>u</m:t>
            </m:r>
          </m:e>
          <m:sub>
            <m:r>
              <w:rPr>
                <w:rFonts w:ascii="Cambria Math" w:hAnsi="Cambria Math"/>
              </w:rPr>
              <m:t>s</m:t>
            </m:r>
          </m:sub>
        </m:sSub>
      </m:oMath>
      <w:r w:rsidRPr="001E073A">
        <w:rPr>
          <w:rFonts w:ascii="Aptos" w:hAnsi="Aptos"/>
        </w:rPr>
        <w:t xml:space="preserve"> since private pools are uncontested), and </w:t>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oMath>
      <w:r w:rsidRPr="001E073A">
        <w:rPr>
          <w:rFonts w:ascii="Aptos" w:hAnsi="Aptos"/>
        </w:rPr>
        <w:t xml:space="preserve"> is the effective loss rate combining biological death (</w:t>
      </w:r>
      <m:oMath>
        <m:r>
          <w:rPr>
            <w:rFonts w:ascii="Cambria Math" w:hAnsi="Cambria Math"/>
          </w:rPr>
          <m:t>d</m:t>
        </m:r>
      </m:oMath>
      <w:r w:rsidRPr="001E073A">
        <w:rPr>
          <w:rFonts w:ascii="Aptos" w:hAnsi="Aptos"/>
        </w:rPr>
        <w:t>) and dilution (</w:t>
      </w:r>
      <m:oMath>
        <m:r>
          <w:rPr>
            <w:rFonts w:ascii="Cambria Math" w:hAnsi="Cambria Math"/>
          </w:rPr>
          <m:t>D</m:t>
        </m:r>
      </m:oMath>
      <w:r w:rsidRPr="001E073A">
        <w:rPr>
          <w:rFonts w:ascii="Aptos" w:hAnsi="Aptos"/>
        </w:rPr>
        <w:t>). Strain 1 exhibits a competitive advantage on shared resources through faster uptake (</w:t>
      </w:r>
      <m:oMath>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s</m:t>
            </m:r>
          </m:sub>
        </m:sSub>
      </m:oMath>
      <w:r w:rsidRPr="001E073A">
        <w:rPr>
          <w:rFonts w:ascii="Aptos" w:hAnsi="Aptos"/>
        </w:rPr>
        <w:t>), while both strains consume their respective private resources at the same baseline rate. Resource dynamics balance inflow, washout, and consumption:</w:t>
      </w:r>
    </w:p>
    <w:p w14:paraId="30A6D653" w14:textId="77777777" w:rsidR="003128FF" w:rsidRPr="001E073A" w:rsidRDefault="003128FF" w:rsidP="00B41EAA">
      <w:pPr>
        <w:pStyle w:val="BodyText"/>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s</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oMath>
      </m:oMathPara>
    </w:p>
    <w:p w14:paraId="0B78E920" w14:textId="77777777" w:rsidR="003128FF" w:rsidRPr="001E073A" w:rsidRDefault="003128FF" w:rsidP="00B41EAA">
      <w:pPr>
        <w:pStyle w:val="FirstParagraph"/>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m:oMathPara>
    </w:p>
    <w:p w14:paraId="3894223A" w14:textId="77777777" w:rsidR="003128FF" w:rsidRPr="001E073A" w:rsidRDefault="003128FF" w:rsidP="00B41EAA">
      <w:pPr>
        <w:pStyle w:val="FirstParagraph"/>
        <w:spacing w:line="276" w:lineRule="auto"/>
        <w:rPr>
          <w:rFonts w:ascii="Aptos" w:hAnsi="Apto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2</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25F1EE5A" w14:textId="77777777" w:rsidR="003128FF" w:rsidRPr="001E073A" w:rsidRDefault="003128FF" w:rsidP="00B41EAA">
      <w:pPr>
        <w:pStyle w:val="FirstParagraph"/>
        <w:spacing w:line="276" w:lineRule="auto"/>
        <w:rPr>
          <w:rFonts w:ascii="Aptos" w:hAnsi="Aptos"/>
        </w:rPr>
      </w:pPr>
      <w:r w:rsidRPr="001E073A">
        <w:rPr>
          <w:rFonts w:ascii="Aptos" w:hAnsi="Aptos"/>
        </w:rPr>
        <w:lastRenderedPageBreak/>
        <w:t xml:space="preserve">where </w:t>
      </w:r>
      <m:oMath>
        <m:sSub>
          <m:sSubPr>
            <m:ctrlPr>
              <w:rPr>
                <w:rFonts w:ascii="Cambria Math" w:hAnsi="Cambria Math"/>
              </w:rPr>
            </m:ctrlPr>
          </m:sSubPr>
          <m:e>
            <m:r>
              <w:rPr>
                <w:rFonts w:ascii="Cambria Math" w:hAnsi="Cambria Math"/>
              </w:rPr>
              <m:t>δ</m:t>
            </m:r>
          </m:e>
          <m:sub>
            <m:r>
              <w:rPr>
                <w:rFonts w:ascii="Cambria Math" w:hAnsi="Cambria Math"/>
              </w:rPr>
              <m:t>0</m:t>
            </m:r>
          </m:sub>
        </m:sSub>
      </m:oMath>
      <w:r w:rsidRPr="001E073A">
        <w:rPr>
          <w:rFonts w:ascii="Aptos" w:hAnsi="Aptos"/>
        </w:rPr>
        <w:t xml:space="preserve"> is the per-resource inflow concentration rate and </w:t>
      </w:r>
      <m:oMath>
        <m:r>
          <w:rPr>
            <w:rFonts w:ascii="Cambria Math" w:hAnsi="Cambria Math"/>
          </w:rPr>
          <m:t>D</m:t>
        </m:r>
      </m:oMath>
      <w:r w:rsidRPr="001E073A">
        <w:rPr>
          <w:rFonts w:ascii="Aptos" w:hAnsi="Aptos"/>
        </w:rPr>
        <w:t xml:space="preserve"> is the dilution rate. Each resource equation takes the form: inflow (</w:t>
      </w:r>
      <m:oMath>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0</m:t>
            </m:r>
          </m:sub>
        </m:sSub>
      </m:oMath>
      <w:r w:rsidRPr="001E073A">
        <w:rPr>
          <w:rFonts w:ascii="Aptos" w:hAnsi="Aptos"/>
        </w:rPr>
        <w:t>) minus washout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i</m:t>
            </m:r>
          </m:sub>
        </m:sSub>
      </m:oMath>
      <w:r w:rsidRPr="001E073A">
        <w:rPr>
          <w:rFonts w:ascii="Aptos" w:hAnsi="Aptos"/>
        </w:rPr>
        <w:t>) minus consumption. The shared pool is contested by both strains at their respective uptake rates, while each private pool has only one consumer. Exploiting the fact that private resource pools equilibrate faster than population dynamics (the quasi-steady-state approximation), we obtain explicit expressions for private resource concentrations as functions of population density. This recovers the stabilizing mechanism described by</w:t>
      </w:r>
      <w:r>
        <w:rPr>
          <w:rFonts w:ascii="Aptos" w:hAnsi="Aptos"/>
        </w:rPr>
        <w:t xml:space="preserve"> </w:t>
      </w:r>
      <w:hyperlink r:id="rId61" w:history="1">
        <w:r>
          <w:rPr>
            <w:rFonts w:ascii="Aptos" w:eastAsia="Times New Roman" w:hAnsi="Aptos"/>
          </w:rPr>
          <w:t>(Chesson, 2000)</w:t>
        </w:r>
      </w:hyperlink>
      <w:r w:rsidRPr="001E073A">
        <w:rPr>
          <w:rFonts w:ascii="Aptos" w:hAnsi="Aptos"/>
        </w:rPr>
        <w:t xml:space="preserve">: as each strain’s population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1E073A">
        <w:rPr>
          <w:rFonts w:ascii="Aptos" w:hAnsi="Aptos"/>
        </w:rPr>
        <w:t xml:space="preserve"> increases, it depletes its own private pool </w:t>
      </w: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oMath>
      <w:r w:rsidRPr="001E073A">
        <w:rPr>
          <w:rFonts w:ascii="Aptos" w:hAnsi="Aptos"/>
        </w:rPr>
        <w:t>, generating density-dependent self-limitation.</w:t>
      </w:r>
    </w:p>
    <w:p w14:paraId="4D51C005" w14:textId="77777777" w:rsidR="003128FF" w:rsidRPr="001E073A" w:rsidRDefault="003128FF" w:rsidP="00B41EAA">
      <w:pPr>
        <w:pStyle w:val="BodyText"/>
        <w:spacing w:line="276" w:lineRule="auto"/>
        <w:rPr>
          <w:rFonts w:ascii="Aptos" w:hAnsi="Aptos"/>
        </w:rPr>
      </w:pPr>
      <w:r>
        <w:rPr>
          <w:rFonts w:ascii="Aptos" w:hAnsi="Aptos"/>
        </w:rPr>
        <w:tab/>
      </w:r>
      <w:r w:rsidRPr="001E073A">
        <w:rPr>
          <w:rFonts w:ascii="Aptos" w:hAnsi="Aptos"/>
        </w:rPr>
        <w:t xml:space="preserve">The model admits </w:t>
      </w:r>
      <w:r>
        <w:rPr>
          <w:rFonts w:ascii="Aptos" w:hAnsi="Aptos"/>
        </w:rPr>
        <w:t>four</w:t>
      </w:r>
      <w:r w:rsidRPr="001E073A">
        <w:rPr>
          <w:rFonts w:ascii="Aptos" w:hAnsi="Aptos"/>
        </w:rPr>
        <w:t xml:space="preserve"> competitive outcomes determined </w:t>
      </w:r>
      <w:r>
        <w:rPr>
          <w:rFonts w:ascii="Aptos" w:hAnsi="Aptos"/>
        </w:rPr>
        <w:t>as</w:t>
      </w:r>
      <w:r w:rsidRPr="001E073A">
        <w:rPr>
          <w:rFonts w:ascii="Aptos" w:hAnsi="Aptos"/>
        </w:rPr>
        <w:t xml:space="preserve"> strain 1 excludes strain 2, strain 2 excludes strain 1, the two coexist stably</w:t>
      </w:r>
      <w:r>
        <w:rPr>
          <w:rFonts w:ascii="Aptos" w:hAnsi="Aptos"/>
        </w:rPr>
        <w:t>, or neither strain survives</w:t>
      </w:r>
      <w:r w:rsidRPr="001E073A">
        <w:rPr>
          <w:rFonts w:ascii="Aptos" w:hAnsi="Aptos"/>
        </w:rPr>
        <w:t>. In the low</w:t>
      </w:r>
      <w:r>
        <w:rPr>
          <w:rFonts w:ascii="Aptos" w:hAnsi="Aptos"/>
        </w:rPr>
        <w:t xml:space="preserve"> population </w:t>
      </w:r>
      <w:r w:rsidRPr="001E073A">
        <w:rPr>
          <w:rFonts w:ascii="Aptos" w:hAnsi="Aptos"/>
        </w:rPr>
        <w:t xml:space="preserve">density </w:t>
      </w:r>
      <w:proofErr w:type="gramStart"/>
      <w:r w:rsidRPr="001E073A">
        <w:rPr>
          <w:rFonts w:ascii="Aptos" w:hAnsi="Aptos"/>
        </w:rPr>
        <w:t>regime</w:t>
      </w:r>
      <w:proofErr w:type="gramEnd"/>
      <w:r w:rsidRPr="001E073A">
        <w:rPr>
          <w:rFonts w:ascii="Aptos" w:hAnsi="Aptos"/>
        </w:rPr>
        <w:t xml:space="preserve"> </w:t>
      </w:r>
      <w:r>
        <w:rPr>
          <w:rFonts w:ascii="Aptos" w:hAnsi="Aptos"/>
        </w:rPr>
        <w:t>the first three</w:t>
      </w:r>
      <w:r w:rsidRPr="001E073A">
        <w:rPr>
          <w:rFonts w:ascii="Aptos" w:hAnsi="Aptos"/>
        </w:rPr>
        <w:t xml:space="preserve"> outcomes are governed by the signed fitness difference </w:t>
      </w:r>
      <m:oMath>
        <m:r>
          <w:rPr>
            <w:rFonts w:ascii="Cambria Math" w:hAnsi="Cambria Math"/>
          </w:rPr>
          <m:t>κ</m:t>
        </m:r>
      </m:oMath>
      <w:r w:rsidRPr="001E073A">
        <w:rPr>
          <w:rFonts w:ascii="Aptos" w:hAnsi="Aptos"/>
        </w:rPr>
        <w:t xml:space="preserve"> between strains to the stabilization </w:t>
      </w:r>
      <m:oMath>
        <m:r>
          <w:rPr>
            <w:rFonts w:ascii="Cambria Math" w:hAnsi="Cambria Math"/>
          </w:rPr>
          <m:t>S</m:t>
        </m:r>
      </m:oMath>
      <w:r w:rsidRPr="001E073A">
        <w:rPr>
          <w:rFonts w:ascii="Aptos" w:hAnsi="Aptos"/>
        </w:rPr>
        <w:t xml:space="preserve"> provided by niche partitioning:</w:t>
      </w:r>
    </w:p>
    <w:p w14:paraId="54406B0A" w14:textId="77777777" w:rsidR="003128FF" w:rsidRPr="001E073A" w:rsidRDefault="003128FF" w:rsidP="00B41EAA">
      <w:pPr>
        <w:pStyle w:val="BodyText"/>
        <w:spacing w:line="276" w:lineRule="auto"/>
        <w:rPr>
          <w:rFonts w:ascii="Aptos" w:hAnsi="Aptos"/>
        </w:rPr>
      </w:pPr>
      <m:oMathPara>
        <m:oMathParaPr>
          <m:jc m:val="center"/>
        </m:oMathParaPr>
        <m:oMath>
          <m:r>
            <w:rPr>
              <w:rFonts w:ascii="Cambria Math" w:hAnsi="Cambria Math"/>
            </w:rPr>
            <m:t>κ</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  S</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en>
          </m:f>
        </m:oMath>
      </m:oMathPara>
    </w:p>
    <w:p w14:paraId="465735B3" w14:textId="77777777" w:rsidR="003128FF" w:rsidRPr="001E073A" w:rsidRDefault="003128FF" w:rsidP="00B41EAA">
      <w:pPr>
        <w:pStyle w:val="FirstParagraph"/>
        <w:spacing w:line="276" w:lineRule="auto"/>
        <w:rPr>
          <w:rFonts w:ascii="Aptos" w:hAnsi="Aptos"/>
        </w:rPr>
      </w:pPr>
      <w:r>
        <w:rPr>
          <w:rFonts w:ascii="Aptos" w:hAnsi="Aptos"/>
        </w:rPr>
        <w:tab/>
      </w:r>
      <w:r w:rsidRPr="001E073A">
        <w:rPr>
          <w:rFonts w:ascii="Aptos" w:hAnsi="Aptos"/>
        </w:rPr>
        <w:t xml:space="preserve">Here </w:t>
      </w:r>
      <m:oMath>
        <m:r>
          <w:rPr>
            <w:rFonts w:ascii="Cambria Math" w:hAnsi="Cambria Math"/>
          </w:rPr>
          <m:t>κ</m:t>
        </m:r>
      </m:oMath>
      <w:r w:rsidRPr="001E073A">
        <w:rPr>
          <w:rFonts w:ascii="Aptos" w:hAnsi="Aptos"/>
        </w:rPr>
        <w:t xml:space="preserve"> is strain 1’s net competitive advantage, combining a niche term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rsidRPr="001E073A">
        <w:rPr>
          <w:rFonts w:ascii="Aptos" w:hAnsi="Aptos"/>
        </w:rPr>
        <w:t>) capturing the advantage from private resource breadth and a speed term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1E073A">
        <w:rPr>
          <w:rFonts w:ascii="Aptos" w:hAnsi="Aptos"/>
        </w:rPr>
        <w:t xml:space="preserve">) reflecting the advantage from faster uptake on the shared pool (where </w:t>
      </w:r>
      <m:oMath>
        <m:r>
          <w:rPr>
            <w:rFonts w:ascii="Cambria Math" w:hAnsi="Cambria Math"/>
          </w:rPr>
          <m:t>U</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sub>
        </m:sSub>
      </m:oMath>
      <w:r w:rsidRPr="001E073A">
        <w:rPr>
          <w:rFonts w:ascii="Aptos" w:hAnsi="Aptos"/>
        </w:rPr>
        <w:t xml:space="preserve"> is the fractional speed advantage). The stabilization </w:t>
      </w:r>
      <m:oMath>
        <m:r>
          <w:rPr>
            <w:rFonts w:ascii="Cambria Math" w:hAnsi="Cambria Math"/>
          </w:rPr>
          <m:t>S</m:t>
        </m:r>
      </m:oMath>
      <w:r w:rsidRPr="001E073A">
        <w:rPr>
          <w:rFonts w:ascii="Aptos" w:hAnsi="Aptos"/>
        </w:rPr>
        <w:t xml:space="preserve"> is the measures how strongly each strain self-limits through depletion of its private resources. The three outcomes are:</w:t>
      </w:r>
    </w:p>
    <w:p w14:paraId="1AB3F06B" w14:textId="77777777" w:rsidR="003128FF" w:rsidRPr="001E073A" w:rsidRDefault="003128FF" w:rsidP="00B41EAA">
      <w:pPr>
        <w:pStyle w:val="Compact"/>
        <w:numPr>
          <w:ilvl w:val="0"/>
          <w:numId w:val="6"/>
        </w:numPr>
        <w:spacing w:line="276" w:lineRule="auto"/>
        <w:rPr>
          <w:rFonts w:ascii="Aptos" w:hAnsi="Aptos"/>
        </w:rPr>
      </w:pPr>
      <w:r w:rsidRPr="001E073A">
        <w:rPr>
          <w:rFonts w:ascii="Aptos" w:hAnsi="Aptos"/>
          <w:b/>
          <w:bCs/>
        </w:rPr>
        <w:t>Coexistence</w:t>
      </w:r>
      <w:r w:rsidRPr="001E073A">
        <w:rPr>
          <w:rFonts w:ascii="Aptos" w:hAnsi="Aptos"/>
        </w:rPr>
        <w:t xml:space="preserve"> when </w:t>
      </w:r>
      <m:oMath>
        <m:r>
          <m:rPr>
            <m:sty m:val="p"/>
          </m:rPr>
          <w:rPr>
            <w:rFonts w:ascii="Cambria Math" w:hAnsi="Cambria Math"/>
          </w:rPr>
          <m:t>-</m:t>
        </m:r>
        <m:r>
          <w:rPr>
            <w:rFonts w:ascii="Cambria Math" w:hAnsi="Cambria Math"/>
          </w:rPr>
          <m:t>S</m:t>
        </m:r>
        <m:r>
          <m:rPr>
            <m:sty m:val="p"/>
          </m:rPr>
          <w:rPr>
            <w:rFonts w:ascii="Cambria Math" w:hAnsi="Cambria Math"/>
          </w:rPr>
          <m:t>&lt;</m:t>
        </m:r>
        <m:r>
          <w:rPr>
            <w:rFonts w:ascii="Cambria Math" w:hAnsi="Cambria Math"/>
          </w:rPr>
          <m:t>κ</m:t>
        </m:r>
        <m:r>
          <m:rPr>
            <m:sty m:val="p"/>
          </m:rPr>
          <w:rPr>
            <w:rFonts w:ascii="Cambria Math" w:hAnsi="Cambria Math"/>
          </w:rPr>
          <m:t>&lt;</m:t>
        </m:r>
        <m:r>
          <w:rPr>
            <w:rFonts w:ascii="Cambria Math" w:hAnsi="Cambria Math"/>
          </w:rPr>
          <m:t>S</m:t>
        </m:r>
      </m:oMath>
      <w:r w:rsidRPr="001E073A">
        <w:rPr>
          <w:rFonts w:ascii="Aptos" w:hAnsi="Aptos"/>
        </w:rPr>
        <w:t xml:space="preserve"> (stabilization exceeds the fitness difference)</w:t>
      </w:r>
    </w:p>
    <w:p w14:paraId="041AEAED" w14:textId="77777777" w:rsidR="003128FF" w:rsidRPr="001E073A" w:rsidRDefault="003128FF" w:rsidP="00B41EAA">
      <w:pPr>
        <w:pStyle w:val="Compact"/>
        <w:numPr>
          <w:ilvl w:val="0"/>
          <w:numId w:val="6"/>
        </w:numPr>
        <w:spacing w:line="276" w:lineRule="auto"/>
        <w:rPr>
          <w:rFonts w:ascii="Aptos" w:hAnsi="Aptos"/>
        </w:rPr>
      </w:pPr>
      <w:r w:rsidRPr="001E073A">
        <w:rPr>
          <w:rFonts w:ascii="Aptos" w:hAnsi="Aptos"/>
          <w:b/>
          <w:bCs/>
        </w:rPr>
        <w:t>Strain 1 excludes strain 2</w:t>
      </w:r>
      <w:r w:rsidRPr="001E073A">
        <w:rPr>
          <w:rFonts w:ascii="Aptos" w:hAnsi="Aptos"/>
        </w:rPr>
        <w:t xml:space="preserve"> when </w:t>
      </w:r>
      <m:oMath>
        <m:r>
          <w:rPr>
            <w:rFonts w:ascii="Cambria Math" w:hAnsi="Cambria Math"/>
          </w:rPr>
          <m:t>κ</m:t>
        </m:r>
        <m:r>
          <m:rPr>
            <m:sty m:val="p"/>
          </m:rPr>
          <w:rPr>
            <w:rFonts w:ascii="Cambria Math" w:hAnsi="Cambria Math"/>
          </w:rPr>
          <m:t>&gt;</m:t>
        </m:r>
        <m:r>
          <w:rPr>
            <w:rFonts w:ascii="Cambria Math" w:hAnsi="Cambria Math"/>
          </w:rPr>
          <m:t>S</m:t>
        </m:r>
      </m:oMath>
    </w:p>
    <w:p w14:paraId="17B34677" w14:textId="77777777" w:rsidR="003128FF" w:rsidRPr="001E073A" w:rsidRDefault="003128FF" w:rsidP="00B41EAA">
      <w:pPr>
        <w:pStyle w:val="Compact"/>
        <w:numPr>
          <w:ilvl w:val="0"/>
          <w:numId w:val="6"/>
        </w:numPr>
        <w:spacing w:line="276" w:lineRule="auto"/>
        <w:rPr>
          <w:rFonts w:ascii="Aptos" w:hAnsi="Aptos"/>
        </w:rPr>
      </w:pPr>
      <w:r w:rsidRPr="001E073A">
        <w:rPr>
          <w:rFonts w:ascii="Aptos" w:hAnsi="Aptos"/>
          <w:b/>
          <w:bCs/>
        </w:rPr>
        <w:t>Strain 2 excludes strain 1</w:t>
      </w:r>
      <w:r w:rsidRPr="001E073A">
        <w:rPr>
          <w:rFonts w:ascii="Aptos" w:hAnsi="Aptos"/>
        </w:rPr>
        <w:t xml:space="preserve"> when </w:t>
      </w:r>
      <m:oMath>
        <m:r>
          <w:rPr>
            <w:rFonts w:ascii="Cambria Math" w:hAnsi="Cambria Math"/>
          </w:rPr>
          <m:t>κ</m:t>
        </m:r>
        <m:r>
          <m:rPr>
            <m:sty m:val="p"/>
          </m:rPr>
          <w:rPr>
            <w:rFonts w:ascii="Cambria Math" w:hAnsi="Cambria Math"/>
          </w:rPr>
          <m:t>&lt;-</m:t>
        </m:r>
        <m:r>
          <w:rPr>
            <w:rFonts w:ascii="Cambria Math" w:hAnsi="Cambria Math"/>
          </w:rPr>
          <m:t>S</m:t>
        </m:r>
      </m:oMath>
    </w:p>
    <w:p w14:paraId="53A2F7D4" w14:textId="77777777" w:rsidR="003128FF" w:rsidRPr="001E073A" w:rsidRDefault="003128FF" w:rsidP="00B41EAA">
      <w:pPr>
        <w:pStyle w:val="FirstParagraph"/>
        <w:spacing w:line="276" w:lineRule="auto"/>
        <w:rPr>
          <w:rFonts w:ascii="Aptos" w:hAnsi="Aptos"/>
        </w:rPr>
      </w:pPr>
      <w:r>
        <w:rPr>
          <w:rFonts w:ascii="Aptos" w:hAnsi="Aptos"/>
        </w:rPr>
        <w:tab/>
      </w:r>
      <w:r w:rsidRPr="001E073A">
        <w:rPr>
          <w:rFonts w:ascii="Aptos" w:hAnsi="Aptos"/>
        </w:rPr>
        <w:t xml:space="preserve">A striking prediction of the model is </w:t>
      </w:r>
      <w:r w:rsidRPr="00B41EAA">
        <w:rPr>
          <w:rFonts w:ascii="Aptos" w:hAnsi="Aptos"/>
        </w:rPr>
        <w:t>that metabolic niche breadth matters far more than uptake speed in determining competitive outcomes, and in extreme cases determines the outcome entirely. Spe</w:t>
      </w:r>
      <w:r w:rsidRPr="001E073A">
        <w:rPr>
          <w:rFonts w:ascii="Aptos" w:hAnsi="Aptos"/>
        </w:rPr>
        <w:t xml:space="preserve">cifically, the model predicts when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&gt;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2.414</m:t>
        </m:r>
      </m:oMath>
      <w:r w:rsidRPr="001E073A">
        <w:rPr>
          <w:rFonts w:ascii="Aptos" w:hAnsi="Aptos"/>
        </w:rPr>
        <w:t xml:space="preserve">, the niche asymmetry alone guarantees </w:t>
      </w:r>
      <m:oMath>
        <m:r>
          <w:rPr>
            <w:rFonts w:ascii="Cambria Math" w:hAnsi="Cambria Math"/>
          </w:rPr>
          <m:t>κ</m:t>
        </m:r>
        <m:r>
          <m:rPr>
            <m:sty m:val="p"/>
          </m:rPr>
          <w:rPr>
            <w:rFonts w:ascii="Cambria Math" w:hAnsi="Cambria Math"/>
          </w:rPr>
          <m:t>&gt;</m:t>
        </m:r>
        <m:r>
          <w:rPr>
            <w:rFonts w:ascii="Cambria Math" w:hAnsi="Cambria Math"/>
          </w:rPr>
          <m:t>S</m:t>
        </m:r>
      </m:oMath>
      <w:r w:rsidRPr="001E073A">
        <w:rPr>
          <w:rFonts w:ascii="Aptos" w:hAnsi="Aptos"/>
        </w:rPr>
        <w:t xml:space="preserve"> regardless of </w:t>
      </w:r>
      <m:oMath>
        <m:r>
          <w:rPr>
            <w:rFonts w:ascii="Cambria Math" w:hAnsi="Cambria Math"/>
          </w:rPr>
          <m:t>U</m:t>
        </m:r>
      </m:oMath>
      <w:r w:rsidRPr="001E073A">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1E073A">
        <w:rPr>
          <w:rFonts w:ascii="Aptos" w:hAnsi="Aptos"/>
        </w:rPr>
        <w:t xml:space="preserve">, nutrient supply, or any other parameter, making coexistence mathematically impossible. </w:t>
      </w:r>
    </w:p>
    <w:p w14:paraId="2E0A6D7D" w14:textId="77777777" w:rsidR="003128FF" w:rsidRPr="001618C8" w:rsidRDefault="003128FF" w:rsidP="002F40F9">
      <w:pPr>
        <w:pStyle w:val="FirstParagraph"/>
        <w:spacing w:line="276" w:lineRule="auto"/>
        <w:rPr>
          <w:rFonts w:ascii="Aptos" w:hAnsi="Aptos"/>
        </w:rPr>
      </w:pPr>
      <w:r>
        <w:rPr>
          <w:rFonts w:ascii="Aptos" w:hAnsi="Aptos"/>
        </w:rPr>
        <w:tab/>
      </w:r>
      <w:r w:rsidRPr="001618C8">
        <w:rPr>
          <w:rFonts w:ascii="Aptos" w:hAnsi="Aptos"/>
        </w:rPr>
        <w:t xml:space="preserve">From PM1 </w:t>
      </w:r>
      <w:r>
        <w:rPr>
          <w:rFonts w:ascii="Aptos" w:hAnsi="Aptos"/>
        </w:rPr>
        <w:t>BIOLOG assay</w:t>
      </w:r>
      <w:r w:rsidRPr="001618C8">
        <w:rPr>
          <w:rFonts w:ascii="Aptos" w:hAnsi="Aptos"/>
        </w:rPr>
        <w:t>, ST1</w:t>
      </w:r>
      <w:r>
        <w:rPr>
          <w:rFonts w:ascii="Aptos" w:hAnsi="Aptos"/>
        </w:rPr>
        <w:t>.</w:t>
      </w:r>
      <w:r w:rsidRPr="001618C8">
        <w:rPr>
          <w:rFonts w:ascii="Aptos" w:hAnsi="Aptos"/>
        </w:rPr>
        <w:t>75 exclusively utilizes 50 carbon sources unavailable to VPI10463, while VPI10463 holds 6 private resources, with 27 shared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50</m:t>
        </m:r>
      </m:oMath>
      <w:r w:rsidRPr="001618C8">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6</m:t>
        </m:r>
      </m:oMath>
      <w:r w:rsidRPr="001618C8">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27</m:t>
        </m:r>
      </m:oMath>
      <w:r w:rsidRPr="001618C8">
        <w:rPr>
          <w:rFonts w:ascii="Aptos" w:hAnsi="Aptos"/>
        </w:rPr>
        <w:t xml:space="preserve">). The ratio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8.33</m:t>
        </m:r>
      </m:oMath>
      <w:r w:rsidRPr="001618C8">
        <w:rPr>
          <w:rFonts w:ascii="Aptos" w:hAnsi="Aptos"/>
        </w:rPr>
        <w:t xml:space="preserve"> </w:t>
      </w:r>
      <w:r>
        <w:rPr>
          <w:rFonts w:ascii="Aptos" w:hAnsi="Aptos"/>
        </w:rPr>
        <w:t>shows</w:t>
      </w:r>
      <w:r w:rsidRPr="001618C8">
        <w:rPr>
          <w:rFonts w:ascii="Aptos" w:hAnsi="Aptos"/>
        </w:rPr>
        <w:t xml:space="preserve"> ST1</w:t>
      </w:r>
      <w:r>
        <w:rPr>
          <w:rFonts w:ascii="Aptos" w:hAnsi="Aptos"/>
        </w:rPr>
        <w:t>.</w:t>
      </w:r>
      <w:r w:rsidRPr="001618C8">
        <w:rPr>
          <w:rFonts w:ascii="Aptos" w:hAnsi="Aptos"/>
        </w:rPr>
        <w:t xml:space="preserve">75’s competitive exclusion of VPI10463 by their metabolic repertoires alone. </w:t>
      </w:r>
      <w:r>
        <w:rPr>
          <w:rFonts w:ascii="Aptos" w:hAnsi="Aptos"/>
        </w:rPr>
        <w:t xml:space="preserve">For </w:t>
      </w:r>
      <w:r w:rsidRPr="001618C8">
        <w:rPr>
          <w:rFonts w:ascii="Aptos" w:hAnsi="Aptos"/>
        </w:rPr>
        <w:t>VPI10463 to reach fitness parity with ST1-75 (</w:t>
      </w:r>
      <m:oMath>
        <m:r>
          <w:rPr>
            <w:rFonts w:ascii="Cambria Math" w:hAnsi="Cambria Math"/>
          </w:rPr>
          <m:t>κ</m:t>
        </m:r>
        <m:r>
          <m:rPr>
            <m:sty m:val="p"/>
          </m:rPr>
          <w:rPr>
            <w:rFonts w:ascii="Cambria Math" w:hAnsi="Cambria Math"/>
          </w:rPr>
          <m:t>=</m:t>
        </m:r>
        <m:r>
          <w:rPr>
            <w:rFonts w:ascii="Cambria Math" w:hAnsi="Cambria Math"/>
          </w:rPr>
          <m:t>0</m:t>
        </m:r>
      </m:oMath>
      <w:r w:rsidRPr="001618C8">
        <w:rPr>
          <w:rFonts w:ascii="Aptos" w:hAnsi="Aptos"/>
        </w:rPr>
        <w:t xml:space="preserve">) would require a fractional uptake advantage of </w:t>
      </w:r>
      <m:oMath>
        <m:r>
          <w:rPr>
            <w:rFonts w:ascii="Cambria Math" w:hAnsi="Cambria Math"/>
          </w:rPr>
          <m:t>U</m:t>
        </m:r>
        <m:r>
          <m:rPr>
            <m:sty m:val="p"/>
          </m:rPr>
          <w:rPr>
            <w:rFonts w:ascii="Cambria Math" w:hAnsi="Cambria Math"/>
          </w:rPr>
          <m:t>&gt;</m:t>
        </m:r>
        <m:r>
          <w:rPr>
            <w:rFonts w:ascii="Cambria Math" w:hAnsi="Cambria Math"/>
          </w:rPr>
          <m:t>44</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1.63</m:t>
        </m:r>
      </m:oMath>
      <w:r w:rsidRPr="001618C8">
        <w:rPr>
          <w:rFonts w:ascii="Aptos" w:hAnsi="Aptos"/>
        </w:rPr>
        <w:t xml:space="preserve"> on shared resources</w:t>
      </w:r>
      <w:r>
        <w:rPr>
          <w:rFonts w:ascii="Aptos" w:hAnsi="Aptos"/>
        </w:rPr>
        <w:t>,</w:t>
      </w:r>
      <w:r w:rsidRPr="001618C8">
        <w:rPr>
          <w:rFonts w:ascii="Aptos" w:hAnsi="Aptos"/>
        </w:rPr>
        <w:t xml:space="preserve"> equivalent to VPI10463 taking up shared carbon sources 2.6-fold faster per cell than </w:t>
      </w:r>
      <w:r w:rsidRPr="001618C8">
        <w:rPr>
          <w:rFonts w:ascii="Aptos" w:hAnsi="Aptos"/>
        </w:rPr>
        <w:lastRenderedPageBreak/>
        <w:t>ST1</w:t>
      </w:r>
      <w:r>
        <w:rPr>
          <w:rFonts w:ascii="Aptos" w:hAnsi="Aptos"/>
        </w:rPr>
        <w:t>.</w:t>
      </w:r>
      <w:r w:rsidRPr="001618C8">
        <w:rPr>
          <w:rFonts w:ascii="Aptos" w:hAnsi="Aptos"/>
        </w:rPr>
        <w:t xml:space="preserve">75. </w:t>
      </w:r>
      <w:r>
        <w:rPr>
          <w:rFonts w:ascii="Aptos" w:hAnsi="Aptos"/>
        </w:rPr>
        <w:t>This</w:t>
      </w:r>
      <w:r w:rsidRPr="001618C8">
        <w:rPr>
          <w:rFonts w:ascii="Aptos" w:hAnsi="Aptos"/>
        </w:rPr>
        <w:t xml:space="preserve"> difference </w:t>
      </w:r>
      <w:r>
        <w:rPr>
          <w:rFonts w:ascii="Aptos" w:hAnsi="Aptos"/>
        </w:rPr>
        <w:t>is</w:t>
      </w:r>
      <w:r w:rsidRPr="001618C8">
        <w:rPr>
          <w:rFonts w:ascii="Aptos" w:hAnsi="Aptos"/>
        </w:rPr>
        <w:t xml:space="preserve"> implausible between </w:t>
      </w:r>
      <w:r>
        <w:rPr>
          <w:rFonts w:ascii="Aptos" w:hAnsi="Aptos"/>
        </w:rPr>
        <w:t xml:space="preserve">these </w:t>
      </w:r>
      <w:proofErr w:type="gramStart"/>
      <w:r w:rsidRPr="001618C8">
        <w:rPr>
          <w:rFonts w:ascii="Aptos" w:hAnsi="Aptos"/>
        </w:rPr>
        <w:t>strains, and</w:t>
      </w:r>
      <w:proofErr w:type="gramEnd"/>
      <w:r w:rsidRPr="001618C8">
        <w:rPr>
          <w:rFonts w:ascii="Aptos" w:hAnsi="Aptos"/>
        </w:rPr>
        <w:t xml:space="preserve"> are inconsistent with the absence of detectable growth-rate differences we observe between ST1</w:t>
      </w:r>
      <w:r>
        <w:rPr>
          <w:rFonts w:ascii="Aptos" w:hAnsi="Aptos"/>
        </w:rPr>
        <w:t>.</w:t>
      </w:r>
      <w:r w:rsidRPr="001618C8">
        <w:rPr>
          <w:rFonts w:ascii="Aptos" w:hAnsi="Aptos"/>
        </w:rPr>
        <w:t>75 and VPI10463 in defined media.</w:t>
      </w:r>
    </w:p>
    <w:p w14:paraId="61171658" w14:textId="77777777" w:rsidR="003128FF" w:rsidRPr="001618C8" w:rsidRDefault="003128FF" w:rsidP="002F40F9">
      <w:pPr>
        <w:pStyle w:val="BodyText"/>
        <w:spacing w:line="276" w:lineRule="auto"/>
        <w:rPr>
          <w:rFonts w:ascii="Aptos" w:hAnsi="Aptos"/>
        </w:rPr>
      </w:pPr>
      <w:r>
        <w:rPr>
          <w:rFonts w:ascii="Aptos" w:hAnsi="Aptos"/>
        </w:rPr>
        <w:tab/>
      </w:r>
      <w:r w:rsidRPr="001618C8">
        <w:rPr>
          <w:rFonts w:ascii="Aptos" w:hAnsi="Aptos"/>
        </w:rPr>
        <w:t>For ST1</w:t>
      </w:r>
      <w:r>
        <w:rPr>
          <w:rFonts w:ascii="Aptos" w:hAnsi="Aptos"/>
        </w:rPr>
        <w:t>.</w:t>
      </w:r>
      <w:r w:rsidRPr="001618C8">
        <w:rPr>
          <w:rFonts w:ascii="Aptos" w:hAnsi="Aptos"/>
        </w:rPr>
        <w:t>68 versus VPI10463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11</m:t>
        </m:r>
      </m:oMath>
      <w:r w:rsidRPr="001618C8">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21</m:t>
        </m:r>
      </m:oMath>
      <w:r w:rsidRPr="001618C8">
        <w:rPr>
          <w:rFonts w:ascii="Aptos" w:hAnsi="Aptos"/>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12</m:t>
        </m:r>
      </m:oMath>
      <w:r w:rsidRPr="001618C8">
        <w:rPr>
          <w:rFonts w:ascii="Aptos" w:hAnsi="Aptos"/>
        </w:rPr>
        <w:t xml:space="preserve">), VPI10463 holds the niche advantage with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10</m:t>
        </m:r>
      </m:oMath>
      <w:r w:rsidRPr="001618C8">
        <w:rPr>
          <w:rFonts w:ascii="Aptos" w:hAnsi="Aptos"/>
        </w:rPr>
        <w:t xml:space="preserve"> and stabilization </w:t>
      </w:r>
      <m:oMath>
        <m:r>
          <w:rPr>
            <w:rFonts w:ascii="Cambria Math" w:hAnsi="Cambria Math"/>
          </w:rPr>
          <m:t>S</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11</m:t>
            </m:r>
          </m:e>
        </m:d>
        <m:d>
          <m:dPr>
            <m:ctrlPr>
              <w:rPr>
                <w:rFonts w:ascii="Cambria Math" w:hAnsi="Cambria Math"/>
              </w:rPr>
            </m:ctrlPr>
          </m:dPr>
          <m:e>
            <m:r>
              <w:rPr>
                <w:rFonts w:ascii="Cambria Math" w:hAnsi="Cambria Math"/>
              </w:rPr>
              <m:t>21</m:t>
            </m:r>
          </m:e>
        </m:d>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14.4</m:t>
        </m:r>
      </m:oMath>
      <w:r w:rsidRPr="001618C8">
        <w:rPr>
          <w:rFonts w:ascii="Aptos" w:hAnsi="Aptos"/>
        </w:rPr>
        <w:t>. Because the niche deficit is smaller than the stabilization, the model predicts that ST1</w:t>
      </w:r>
      <w:r>
        <w:rPr>
          <w:rFonts w:ascii="Aptos" w:hAnsi="Aptos"/>
        </w:rPr>
        <w:t>.</w:t>
      </w:r>
      <w:r w:rsidRPr="001618C8">
        <w:rPr>
          <w:rFonts w:ascii="Aptos" w:hAnsi="Aptos"/>
        </w:rPr>
        <w:t xml:space="preserve">68 and VPI10463 fall within the coexistence window at </w:t>
      </w:r>
      <m:oMath>
        <m:r>
          <w:rPr>
            <w:rFonts w:ascii="Cambria Math" w:hAnsi="Cambria Math"/>
          </w:rPr>
          <m:t>U</m:t>
        </m:r>
        <m:r>
          <m:rPr>
            <m:sty m:val="p"/>
          </m:rPr>
          <w:rPr>
            <w:rFonts w:ascii="Cambria Math" w:hAnsi="Cambria Math"/>
          </w:rPr>
          <m:t>=</m:t>
        </m:r>
        <m:r>
          <w:rPr>
            <w:rFonts w:ascii="Cambria Math" w:hAnsi="Cambria Math"/>
          </w:rPr>
          <m:t>0</m:t>
        </m:r>
      </m:oMath>
      <w:r w:rsidRPr="001618C8">
        <w:rPr>
          <w:rFonts w:ascii="Aptos" w:hAnsi="Aptos"/>
        </w:rPr>
        <w:t xml:space="preserve">, and no speed advantage is required for ST1-68 to persist alongside VPI10463. For VPI10463 to drive ST1-68 to extinction would require </w:t>
      </w:r>
      <m:oMath>
        <m:r>
          <w:rPr>
            <w:rFonts w:ascii="Cambria Math" w:hAnsi="Cambria Math"/>
          </w:rPr>
          <m:t>κ</m:t>
        </m:r>
        <m:r>
          <m:rPr>
            <m:sty m:val="p"/>
          </m:rPr>
          <w:rPr>
            <w:rFonts w:ascii="Cambria Math" w:hAnsi="Cambria Math"/>
          </w:rPr>
          <m:t>&lt;-</m:t>
        </m:r>
        <m:r>
          <w:rPr>
            <w:rFonts w:ascii="Cambria Math" w:hAnsi="Cambria Math"/>
          </w:rPr>
          <m:t>S</m:t>
        </m:r>
      </m:oMath>
      <w:r w:rsidRPr="001618C8">
        <w:rPr>
          <w:rFonts w:ascii="Aptos" w:hAnsi="Aptos"/>
        </w:rPr>
        <w:t xml:space="preserve">, i.e. a speed advantage on ST1-68’s side of </w:t>
      </w:r>
      <m:oMath>
        <m:r>
          <w:rPr>
            <w:rFonts w:ascii="Cambria Math" w:hAnsi="Cambria Math"/>
          </w:rPr>
          <m:t>U</m:t>
        </m:r>
        <m:r>
          <m:rPr>
            <m:sty m:val="p"/>
          </m:rPr>
          <w:rPr>
            <w:rFonts w:ascii="Cambria Math" w:hAnsi="Cambria Math"/>
          </w:rPr>
          <m:t>&lt;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14.4</m:t>
            </m:r>
          </m:e>
        </m:d>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0.37</m:t>
        </m:r>
      </m:oMath>
      <w:r w:rsidRPr="001618C8">
        <w:rPr>
          <w:rFonts w:ascii="Aptos" w:hAnsi="Aptos"/>
        </w:rPr>
        <w:t xml:space="preserve">, which is impossible since </w:t>
      </w:r>
      <m:oMath>
        <m:r>
          <w:rPr>
            <w:rFonts w:ascii="Cambria Math" w:hAnsi="Cambria Math"/>
          </w:rPr>
          <m:t>U</m:t>
        </m:r>
        <m:r>
          <m:rPr>
            <m:sty m:val="p"/>
          </m:rPr>
          <w:rPr>
            <w:rFonts w:ascii="Cambria Math" w:hAnsi="Cambria Math"/>
          </w:rPr>
          <m:t>≥</m:t>
        </m:r>
        <m:r>
          <w:rPr>
            <w:rFonts w:ascii="Cambria Math" w:hAnsi="Cambria Math"/>
          </w:rPr>
          <m:t>0</m:t>
        </m:r>
      </m:oMath>
      <w:r w:rsidRPr="001618C8">
        <w:rPr>
          <w:rFonts w:ascii="Aptos" w:hAnsi="Aptos"/>
        </w:rPr>
        <w:t xml:space="preserve"> by construction. Conversely, for ST1</w:t>
      </w:r>
      <w:r>
        <w:rPr>
          <w:rFonts w:ascii="Aptos" w:hAnsi="Aptos"/>
        </w:rPr>
        <w:t>.</w:t>
      </w:r>
      <w:r w:rsidRPr="001618C8">
        <w:rPr>
          <w:rFonts w:ascii="Aptos" w:hAnsi="Aptos"/>
        </w:rPr>
        <w:t xml:space="preserve">68 to exclude VPI10463 would require </w:t>
      </w:r>
      <m:oMath>
        <m:r>
          <w:rPr>
            <w:rFonts w:ascii="Cambria Math" w:hAnsi="Cambria Math"/>
          </w:rPr>
          <m:t>U</m:t>
        </m:r>
        <m:r>
          <m:rPr>
            <m:sty m:val="p"/>
          </m:rPr>
          <w:rPr>
            <w:rFonts w:ascii="Cambria Math" w:hAnsi="Cambria Math"/>
          </w:rPr>
          <m:t>&gt;</m:t>
        </m:r>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14.4</m:t>
            </m:r>
          </m:e>
        </m:d>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2.03</m:t>
        </m:r>
      </m:oMath>
      <w:r>
        <w:rPr>
          <w:rFonts w:ascii="Aptos" w:hAnsi="Aptos"/>
        </w:rPr>
        <w:t>,</w:t>
      </w:r>
      <w:r w:rsidRPr="001618C8">
        <w:rPr>
          <w:rFonts w:ascii="Aptos" w:hAnsi="Aptos"/>
        </w:rPr>
        <w:t xml:space="preserve"> again corresponding to a 3-fold per-cell uptake advantage, outside realistic variation. The model therefore predicts stable coexistence of ST1</w:t>
      </w:r>
      <w:r>
        <w:rPr>
          <w:rFonts w:ascii="Aptos" w:hAnsi="Aptos"/>
        </w:rPr>
        <w:t>.</w:t>
      </w:r>
      <w:r w:rsidRPr="001618C8">
        <w:rPr>
          <w:rFonts w:ascii="Aptos" w:hAnsi="Aptos"/>
        </w:rPr>
        <w:t>68 and VPI10463.</w:t>
      </w:r>
    </w:p>
    <w:p w14:paraId="4DC1282D" w14:textId="77777777" w:rsidR="003128FF" w:rsidRPr="001E073A" w:rsidRDefault="003128FF" w:rsidP="002F40F9">
      <w:pPr>
        <w:pStyle w:val="BodyText"/>
        <w:spacing w:line="276" w:lineRule="auto"/>
        <w:rPr>
          <w:rFonts w:ascii="Aptos" w:hAnsi="Aptos"/>
        </w:rPr>
      </w:pPr>
      <w:r>
        <w:rPr>
          <w:rFonts w:ascii="Aptos" w:hAnsi="Aptos"/>
        </w:rPr>
        <w:tab/>
      </w:r>
      <w:r w:rsidRPr="008E6964">
        <w:rPr>
          <w:rFonts w:ascii="Aptos" w:hAnsi="Aptos"/>
        </w:rPr>
        <w:t xml:space="preserve">Our predictions align with and extend the findings of </w:t>
      </w:r>
      <w:hyperlink r:id="rId62" w:history="1">
        <w:r>
          <w:rPr>
            <w:rFonts w:ascii="Aptos" w:eastAsia="Times New Roman" w:hAnsi="Aptos"/>
          </w:rPr>
          <w:t>(Dong </w:t>
        </w:r>
        <w:r>
          <w:rPr>
            <w:rFonts w:ascii="Aptos" w:eastAsia="Times New Roman" w:hAnsi="Aptos"/>
            <w:i/>
          </w:rPr>
          <w:t>et al.</w:t>
        </w:r>
        <w:r>
          <w:rPr>
            <w:rFonts w:ascii="Aptos" w:eastAsia="Times New Roman" w:hAnsi="Aptos"/>
          </w:rPr>
          <w:t>, 2025)</w:t>
        </w:r>
      </w:hyperlink>
      <w:r>
        <w:rPr>
          <w:rFonts w:ascii="Aptos" w:hAnsi="Aptos"/>
        </w:rPr>
        <w:t xml:space="preserve">, </w:t>
      </w:r>
      <w:r w:rsidRPr="008E6964">
        <w:rPr>
          <w:rFonts w:ascii="Aptos" w:hAnsi="Aptos"/>
        </w:rPr>
        <w:t>who demonstrated that ST1</w:t>
      </w:r>
      <w:r>
        <w:rPr>
          <w:rFonts w:ascii="Aptos" w:hAnsi="Aptos"/>
        </w:rPr>
        <w:t>.</w:t>
      </w:r>
      <w:r w:rsidRPr="008E6964">
        <w:rPr>
          <w:rFonts w:ascii="Aptos" w:hAnsi="Aptos"/>
        </w:rPr>
        <w:t>75's protection is associated with faster amino acid depletion relative to the epidemic strain R20291, with amino acid supplementation abolishing the competitive advantage. Our GC-MS data are qualitatively consistent with this kinetic asymmetry in the ST1</w:t>
      </w:r>
      <w:r>
        <w:rPr>
          <w:rFonts w:ascii="Aptos" w:hAnsi="Aptos"/>
        </w:rPr>
        <w:t>.</w:t>
      </w:r>
      <w:r w:rsidRPr="008E6964">
        <w:rPr>
          <w:rFonts w:ascii="Aptos" w:hAnsi="Aptos"/>
        </w:rPr>
        <w:t>75 vs VPI10463 comparison, while we observe no significant differences in growth rate or carrying capacity between the strains</w:t>
      </w:r>
      <w:r>
        <w:rPr>
          <w:rFonts w:ascii="Aptos" w:hAnsi="Aptos"/>
        </w:rPr>
        <w:t>,</w:t>
      </w:r>
      <w:r w:rsidRPr="008E6964">
        <w:rPr>
          <w:rFonts w:ascii="Aptos" w:hAnsi="Aptos"/>
        </w:rPr>
        <w:t xml:space="preserve"> indicating that the speed difference exists independently of bulk growth. Our model, </w:t>
      </w:r>
      <w:proofErr w:type="gramStart"/>
      <w:r w:rsidRPr="008E6964">
        <w:rPr>
          <w:rFonts w:ascii="Aptos" w:hAnsi="Aptos"/>
        </w:rPr>
        <w:t>however</w:t>
      </w:r>
      <w:proofErr w:type="gramEnd"/>
      <w:r>
        <w:rPr>
          <w:rFonts w:ascii="Aptos" w:hAnsi="Aptos"/>
        </w:rPr>
        <w:t xml:space="preserve"> shows that</w:t>
      </w:r>
      <w:r w:rsidRPr="008E6964">
        <w:rPr>
          <w:rFonts w:ascii="Aptos" w:hAnsi="Aptos"/>
        </w:rPr>
        <w:t xml:space="preserve"> </w:t>
      </w:r>
      <w:r>
        <w:rPr>
          <w:rFonts w:ascii="Aptos" w:hAnsi="Aptos"/>
        </w:rPr>
        <w:t>the</w:t>
      </w:r>
      <w:r w:rsidRPr="008E6964">
        <w:rPr>
          <w:rFonts w:ascii="Aptos" w:hAnsi="Aptos"/>
        </w:rPr>
        <w:t xml:space="preserve"> speed differences of this kind cannot by themselves account for the observed competitive dominance. Overturning the 44-substrate niche advantage that ST1</w:t>
      </w:r>
      <w:r>
        <w:rPr>
          <w:rFonts w:ascii="Aptos" w:hAnsi="Aptos"/>
        </w:rPr>
        <w:t>.</w:t>
      </w:r>
      <w:r w:rsidRPr="008E6964">
        <w:rPr>
          <w:rFonts w:ascii="Aptos" w:hAnsi="Aptos"/>
        </w:rPr>
        <w:t>75 holds over VPI10463 would require a shared-resource uptake advantage several-fold larger than what is biologically plausible between strains of the same subspecies. Kinetic asymmetries between strains exist and likely contribute at the margins, but niche breadth, not uptake kinetics, is the primary determinant of ST1</w:t>
      </w:r>
      <w:r>
        <w:rPr>
          <w:rFonts w:ascii="Aptos" w:hAnsi="Aptos"/>
        </w:rPr>
        <w:t>.</w:t>
      </w:r>
      <w:r w:rsidRPr="008E6964">
        <w:rPr>
          <w:rFonts w:ascii="Aptos" w:hAnsi="Aptos"/>
        </w:rPr>
        <w:t>75's competitive protectio</w:t>
      </w:r>
      <w:r>
        <w:rPr>
          <w:rFonts w:ascii="Aptos" w:hAnsi="Aptos"/>
        </w:rPr>
        <w:t>n.</w:t>
      </w:r>
    </w:p>
    <w:p w14:paraId="062F2A02" w14:textId="77777777" w:rsidR="003128FF" w:rsidRDefault="003128FF" w:rsidP="0069662D">
      <w:pPr>
        <w:pStyle w:val="Heading1"/>
      </w:pPr>
      <w:r>
        <w:t>Discussions</w:t>
      </w:r>
      <w:r w:rsidRPr="009C2318">
        <w:t xml:space="preserve"> </w:t>
      </w:r>
      <w:r>
        <w:t xml:space="preserve"> </w:t>
      </w:r>
    </w:p>
    <w:p w14:paraId="5A6B322B" w14:textId="77777777" w:rsidR="003128FF" w:rsidRDefault="003128FF" w:rsidP="000F17FF">
      <w:pPr>
        <w:ind w:firstLine="720"/>
        <w:rPr>
          <w:rFonts w:ascii="Aptos" w:hAnsi="Aptos"/>
        </w:rPr>
      </w:pPr>
      <w:r>
        <w:rPr>
          <w:rFonts w:ascii="Aptos" w:hAnsi="Aptos"/>
        </w:rPr>
        <w:t xml:space="preserve">Here </w:t>
      </w:r>
      <w:r w:rsidRPr="00234649">
        <w:rPr>
          <w:rFonts w:ascii="Aptos" w:hAnsi="Aptos"/>
        </w:rPr>
        <w:t xml:space="preserve">we have shown that certain avirulent </w:t>
      </w:r>
      <w:r w:rsidRPr="00234649">
        <w:rPr>
          <w:rFonts w:ascii="Aptos" w:hAnsi="Aptos"/>
          <w:i/>
          <w:iCs/>
        </w:rPr>
        <w:t>C. difficile</w:t>
      </w:r>
      <w:r w:rsidRPr="00234649">
        <w:rPr>
          <w:rFonts w:ascii="Aptos" w:hAnsi="Aptos"/>
        </w:rPr>
        <w:t xml:space="preserve"> strains confer robust protection against secondary infection by the highly virulent VPI10463 strain, while others fail to do so. This protective phenotype cannot be completely attributed to the differences in host immunity, as we observed the comparable protection phenotype in both conventional B6 mice and RAG1-deficient mice lacking adaptive immune responses. </w:t>
      </w:r>
      <w:r w:rsidRPr="00234649">
        <w:rPr>
          <w:rFonts w:ascii="Aptos" w:eastAsia="Times New Roman" w:hAnsi="Aptos"/>
        </w:rPr>
        <w:t xml:space="preserve">Our </w:t>
      </w:r>
      <w:r w:rsidRPr="00234649">
        <w:rPr>
          <w:rFonts w:ascii="Aptos" w:hAnsi="Aptos"/>
        </w:rPr>
        <w:t xml:space="preserve">analysis of the gut microbiome composition also showed no significant differences between the mice infected with protective and non-protective strains, indicating that the changes in the remnant microbiota do not underlie this phenotype. The genomic </w:t>
      </w:r>
      <w:r w:rsidRPr="00234649">
        <w:rPr>
          <w:rFonts w:ascii="Aptos" w:hAnsi="Aptos"/>
        </w:rPr>
        <w:lastRenderedPageBreak/>
        <w:t xml:space="preserve">investigation based on the whole genome sequences of ST1 </w:t>
      </w:r>
      <w:r w:rsidRPr="00234649">
        <w:rPr>
          <w:rFonts w:ascii="Aptos" w:hAnsi="Aptos"/>
          <w:i/>
          <w:iCs/>
        </w:rPr>
        <w:t>C. difficile</w:t>
      </w:r>
      <w:r w:rsidRPr="00234649">
        <w:rPr>
          <w:rFonts w:ascii="Aptos" w:hAnsi="Aptos"/>
        </w:rPr>
        <w:t xml:space="preserve"> strains did not reveal </w:t>
      </w:r>
      <w:r>
        <w:rPr>
          <w:rFonts w:ascii="Aptos" w:hAnsi="Aptos"/>
        </w:rPr>
        <w:t xml:space="preserve">any specific </w:t>
      </w:r>
      <w:r w:rsidRPr="00234649">
        <w:rPr>
          <w:rFonts w:ascii="Aptos" w:hAnsi="Aptos"/>
        </w:rPr>
        <w:t xml:space="preserve">genetic determinants, distinct core or accessory gene presence or absence patterns associated with protection. The field has reported that the diverse metabolic traits among </w:t>
      </w:r>
      <w:r w:rsidRPr="00234649">
        <w:rPr>
          <w:rFonts w:ascii="Aptos" w:hAnsi="Aptos"/>
          <w:i/>
          <w:iCs/>
        </w:rPr>
        <w:t>C. difficile</w:t>
      </w:r>
      <w:r w:rsidRPr="00234649">
        <w:rPr>
          <w:rFonts w:ascii="Aptos" w:hAnsi="Aptos"/>
        </w:rPr>
        <w:t xml:space="preserve"> strains appear to </w:t>
      </w:r>
      <w:proofErr w:type="spellStart"/>
      <w:r w:rsidRPr="00234649">
        <w:rPr>
          <w:rFonts w:ascii="Aptos" w:hAnsi="Aptos"/>
        </w:rPr>
        <w:t>inflence</w:t>
      </w:r>
      <w:proofErr w:type="spellEnd"/>
      <w:r w:rsidRPr="00234649">
        <w:rPr>
          <w:rFonts w:ascii="Aptos" w:hAnsi="Aptos"/>
        </w:rPr>
        <w:t xml:space="preserve"> their phenotype associated with protection. Competition for co-</w:t>
      </w:r>
      <w:proofErr w:type="spellStart"/>
      <w:r w:rsidRPr="00234649">
        <w:rPr>
          <w:rFonts w:ascii="Aptos" w:hAnsi="Aptos"/>
        </w:rPr>
        <w:t>germinent</w:t>
      </w:r>
      <w:proofErr w:type="spellEnd"/>
      <w:r w:rsidRPr="00234649">
        <w:rPr>
          <w:rFonts w:ascii="Aptos" w:hAnsi="Aptos"/>
        </w:rPr>
        <w:t xml:space="preserve"> glycine where the primary colonizer strain consumes the available glycine sufficiently enough to decrease germination of the secondary strain </w:t>
      </w:r>
      <w:hyperlink r:id="rId63" w:history="1">
        <w:r>
          <w:rPr>
            <w:rFonts w:ascii="Aptos" w:eastAsia="Times New Roman" w:hAnsi="Aptos"/>
          </w:rPr>
          <w:t>(Leslie </w:t>
        </w:r>
        <w:r>
          <w:rPr>
            <w:rFonts w:ascii="Aptos" w:eastAsia="Times New Roman" w:hAnsi="Aptos"/>
            <w:i/>
          </w:rPr>
          <w:t>et al.</w:t>
        </w:r>
        <w:r>
          <w:rPr>
            <w:rFonts w:ascii="Aptos" w:eastAsia="Times New Roman" w:hAnsi="Aptos"/>
          </w:rPr>
          <w:t>, 2021)</w:t>
        </w:r>
      </w:hyperlink>
      <w:r w:rsidRPr="00234649">
        <w:rPr>
          <w:rFonts w:ascii="Aptos" w:eastAsia="Times New Roman" w:hAnsi="Aptos"/>
        </w:rPr>
        <w:t>.</w:t>
      </w:r>
      <w:r>
        <w:rPr>
          <w:rFonts w:ascii="Aptos" w:eastAsia="Times New Roman" w:hAnsi="Aptos"/>
        </w:rPr>
        <w:t xml:space="preserve"> </w:t>
      </w:r>
      <w:r>
        <w:rPr>
          <w:rFonts w:ascii="Aptos" w:hAnsi="Aptos"/>
        </w:rPr>
        <w:t>C</w:t>
      </w:r>
      <w:r w:rsidRPr="00234649">
        <w:rPr>
          <w:rFonts w:ascii="Aptos" w:hAnsi="Aptos"/>
        </w:rPr>
        <w:t xml:space="preserve">o-culture experiments to compete two strains for the limited nutrients demonstrated that protective strains, such as ST1.75, have a competitive advantage in metabolizing amino acids compared to virulent strains, which likely limits niche availability and colonization opportunities for the latter as shown by </w:t>
      </w:r>
      <w:hyperlink r:id="rId64" w:history="1">
        <w:r>
          <w:rPr>
            <w:rFonts w:ascii="Aptos" w:eastAsia="Times New Roman" w:hAnsi="Aptos"/>
          </w:rPr>
          <w:t>(Dong </w:t>
        </w:r>
        <w:r>
          <w:rPr>
            <w:rFonts w:ascii="Aptos" w:eastAsia="Times New Roman" w:hAnsi="Aptos"/>
            <w:i/>
          </w:rPr>
          <w:t>et al.</w:t>
        </w:r>
        <w:r>
          <w:rPr>
            <w:rFonts w:ascii="Aptos" w:eastAsia="Times New Roman" w:hAnsi="Aptos"/>
          </w:rPr>
          <w:t>, 2025)</w:t>
        </w:r>
      </w:hyperlink>
      <w:r w:rsidRPr="00234649">
        <w:rPr>
          <w:rFonts w:ascii="Aptos" w:hAnsi="Aptos"/>
        </w:rPr>
        <w:t xml:space="preserve">. These findings emphasize that metabolic adaptations and nutrient competition are key drivers of the protective phenotype observed in avirulent </w:t>
      </w:r>
      <w:r w:rsidRPr="00234649">
        <w:rPr>
          <w:rFonts w:ascii="Aptos" w:hAnsi="Aptos"/>
          <w:i/>
          <w:iCs/>
        </w:rPr>
        <w:t>C. difficile</w:t>
      </w:r>
      <w:r w:rsidRPr="00234649">
        <w:rPr>
          <w:rFonts w:ascii="Aptos" w:hAnsi="Aptos"/>
        </w:rPr>
        <w:t xml:space="preserve"> ST1 strains, providing a mechanistic basis for their ability to inhibit virulent secondary infections.</w:t>
      </w:r>
      <w:r>
        <w:rPr>
          <w:rFonts w:ascii="Aptos" w:hAnsi="Aptos"/>
        </w:rPr>
        <w:t xml:space="preserve"> </w:t>
      </w:r>
    </w:p>
    <w:p w14:paraId="5D70723D" w14:textId="77777777" w:rsidR="003128FF" w:rsidRDefault="003128FF" w:rsidP="000F17FF">
      <w:pPr>
        <w:ind w:firstLine="720"/>
        <w:rPr>
          <w:rFonts w:ascii="Aptos" w:hAnsi="Aptos"/>
        </w:rPr>
      </w:pPr>
      <w:r w:rsidRPr="00234649">
        <w:rPr>
          <w:rFonts w:ascii="Aptos" w:hAnsi="Aptos"/>
        </w:rPr>
        <w:t>Building on this foundation, our work broadens the investigation to a diverse collection of ST1 strains, demonstrating that the protective phenotype is not unique to ST1.75 but instead correlates with metabolic diversity across strains</w:t>
      </w:r>
      <w:r>
        <w:rPr>
          <w:rFonts w:ascii="Aptos" w:hAnsi="Aptos"/>
        </w:rPr>
        <w:t xml:space="preserve"> where certain other avirulent strains can also confer this protection</w:t>
      </w:r>
      <w:r w:rsidRPr="00234649">
        <w:rPr>
          <w:rFonts w:ascii="Aptos" w:hAnsi="Aptos"/>
        </w:rPr>
        <w:t xml:space="preserve">. Experimental profiling of nutrient utilization among ST1 isolates revealed substantial heterogeneity in metabolites </w:t>
      </w:r>
      <w:r>
        <w:rPr>
          <w:rFonts w:ascii="Aptos" w:hAnsi="Aptos"/>
        </w:rPr>
        <w:t xml:space="preserve">being </w:t>
      </w:r>
      <w:r w:rsidRPr="00234649">
        <w:rPr>
          <w:rFonts w:ascii="Aptos" w:hAnsi="Aptos"/>
        </w:rPr>
        <w:t xml:space="preserve">differentially consumed by protective versus non-protective strains. These findings suggest that nutrient competition </w:t>
      </w:r>
      <w:r>
        <w:rPr>
          <w:rFonts w:ascii="Aptos" w:hAnsi="Aptos"/>
        </w:rPr>
        <w:t xml:space="preserve">through differences in niche breadth </w:t>
      </w:r>
      <w:r w:rsidRPr="00234649">
        <w:rPr>
          <w:rFonts w:ascii="Aptos" w:hAnsi="Aptos"/>
        </w:rPr>
        <w:t xml:space="preserve">is a common and potentially generalizable mechanism by which certain avirulent </w:t>
      </w:r>
      <w:r w:rsidRPr="00234649">
        <w:rPr>
          <w:rFonts w:ascii="Aptos" w:hAnsi="Aptos"/>
          <w:i/>
          <w:iCs/>
        </w:rPr>
        <w:t>C. difficile</w:t>
      </w:r>
      <w:r w:rsidRPr="00234649">
        <w:rPr>
          <w:rFonts w:ascii="Aptos" w:hAnsi="Aptos"/>
        </w:rPr>
        <w:t xml:space="preserve"> strains provide protection by depleting essential nutrients required for growth and expansion of virulent </w:t>
      </w:r>
      <w:r w:rsidRPr="00234649">
        <w:rPr>
          <w:rFonts w:ascii="Aptos" w:hAnsi="Aptos"/>
          <w:i/>
          <w:iCs/>
        </w:rPr>
        <w:t>C. difficile</w:t>
      </w:r>
      <w:r>
        <w:rPr>
          <w:rFonts w:ascii="Aptos" w:hAnsi="Aptos"/>
        </w:rPr>
        <w:t xml:space="preserve"> strain</w:t>
      </w:r>
      <w:r w:rsidRPr="00234649">
        <w:rPr>
          <w:rFonts w:ascii="Aptos" w:hAnsi="Aptos"/>
        </w:rPr>
        <w:t xml:space="preserve">, thus reducing the disease symptoms associated with infection. Validating, this model of metabolic competition could guide the development of strain-based live biotherapeutics, designed to exploit </w:t>
      </w:r>
      <w:r>
        <w:rPr>
          <w:rFonts w:ascii="Aptos" w:hAnsi="Aptos"/>
        </w:rPr>
        <w:t>the</w:t>
      </w:r>
      <w:r w:rsidRPr="00234649">
        <w:rPr>
          <w:rFonts w:ascii="Aptos" w:hAnsi="Aptos"/>
        </w:rPr>
        <w:t xml:space="preserve"> ecological interactions within the gut and to leverage metabolic traits to prevent CDI.</w:t>
      </w:r>
      <w:r>
        <w:rPr>
          <w:rFonts w:ascii="Aptos" w:hAnsi="Aptos"/>
        </w:rPr>
        <w:t xml:space="preserve"> </w:t>
      </w:r>
    </w:p>
    <w:p w14:paraId="3DDB671A" w14:textId="77777777" w:rsidR="003128FF" w:rsidRDefault="003128FF" w:rsidP="000F17FF">
      <w:pPr>
        <w:ind w:firstLine="720"/>
        <w:rPr>
          <w:rFonts w:ascii="Aptos" w:hAnsi="Aptos"/>
        </w:rPr>
      </w:pPr>
      <w:r w:rsidRPr="00234649">
        <w:rPr>
          <w:rFonts w:ascii="Aptos" w:hAnsi="Aptos"/>
        </w:rPr>
        <w:t xml:space="preserve">Protective strains exhibited a broader use of nutrients, suggesting their metabolic </w:t>
      </w:r>
      <w:proofErr w:type="spellStart"/>
      <w:r w:rsidRPr="00234649">
        <w:rPr>
          <w:rFonts w:ascii="Aptos" w:hAnsi="Aptos"/>
        </w:rPr>
        <w:t>verstality</w:t>
      </w:r>
      <w:proofErr w:type="spellEnd"/>
      <w:r w:rsidRPr="00234649">
        <w:rPr>
          <w:rFonts w:ascii="Aptos" w:hAnsi="Aptos"/>
        </w:rPr>
        <w:t xml:space="preserve"> where they can potentially outcompete virulent strains for metabolic resources. Taken together, these experimental findings imply that metabolic phenotypes notably nutrient utilization and competition </w:t>
      </w:r>
      <w:r>
        <w:rPr>
          <w:rFonts w:ascii="Aptos" w:hAnsi="Aptos"/>
        </w:rPr>
        <w:t>are</w:t>
      </w:r>
      <w:r w:rsidRPr="00234649">
        <w:rPr>
          <w:rFonts w:ascii="Aptos" w:hAnsi="Aptos"/>
        </w:rPr>
        <w:t xml:space="preserve"> more reliable predictors of protection than genetic differences alone, which failed to clearly distinguish protective from non-protective strains. This shifts the focus towards functional metabolic traits as critical determinants of the protective capacity, offering a promising direction for developing therapeutics</w:t>
      </w:r>
      <w:r>
        <w:rPr>
          <w:rFonts w:ascii="Aptos" w:hAnsi="Aptos"/>
        </w:rPr>
        <w:t xml:space="preserve">. </w:t>
      </w:r>
    </w:p>
    <w:p w14:paraId="250F1B3A" w14:textId="77777777" w:rsidR="003128FF" w:rsidRDefault="003128FF" w:rsidP="000F17FF">
      <w:pPr>
        <w:ind w:firstLine="720"/>
        <w:rPr>
          <w:rFonts w:ascii="Aptos" w:hAnsi="Aptos"/>
        </w:rPr>
      </w:pPr>
      <w:r w:rsidRPr="00310C99">
        <w:rPr>
          <w:rFonts w:ascii="Aptos" w:hAnsi="Aptos"/>
        </w:rPr>
        <w:t xml:space="preserve">To place these experimental observations on a formal footing, we developed a consumer-resource model of pairwise </w:t>
      </w:r>
      <w:proofErr w:type="spellStart"/>
      <w:r w:rsidRPr="00310C99">
        <w:rPr>
          <w:rFonts w:ascii="Aptos" w:hAnsi="Aptos"/>
        </w:rPr>
        <w:t>interstrain</w:t>
      </w:r>
      <w:proofErr w:type="spellEnd"/>
      <w:r w:rsidRPr="00310C99">
        <w:rPr>
          <w:rFonts w:ascii="Aptos" w:hAnsi="Aptos"/>
        </w:rPr>
        <w:t xml:space="preserve"> competition in which each strain grows </w:t>
      </w:r>
      <w:r w:rsidRPr="00310C99">
        <w:rPr>
          <w:rFonts w:ascii="Aptos" w:hAnsi="Aptos"/>
        </w:rPr>
        <w:lastRenderedPageBreak/>
        <w:t xml:space="preserve">on a combination of shared and private carbon source pools, with pool sizes measured directly from PM1 </w:t>
      </w:r>
      <w:r>
        <w:rPr>
          <w:rFonts w:ascii="Aptos" w:hAnsi="Aptos"/>
        </w:rPr>
        <w:t>BIOLOG</w:t>
      </w:r>
      <w:r w:rsidRPr="00310C99">
        <w:rPr>
          <w:rFonts w:ascii="Aptos" w:hAnsi="Aptos"/>
        </w:rPr>
        <w:t xml:space="preserve"> data. The model predicts competitive outcome from a single inequality relating the difference in private resource counts to their harmonic mean, a stabilization term that captures how strongly each strain self-limits through depletion of its own private pool. Crucially, this inequality produces qualitatively distinct outcomes: when ST1.75 (7</w:t>
      </w:r>
      <w:r>
        <w:rPr>
          <w:rFonts w:ascii="Aptos" w:hAnsi="Aptos"/>
        </w:rPr>
        <w:t>7/95</w:t>
      </w:r>
      <w:r w:rsidRPr="00310C99">
        <w:rPr>
          <w:rFonts w:ascii="Aptos" w:hAnsi="Aptos"/>
        </w:rPr>
        <w:t xml:space="preserve"> </w:t>
      </w:r>
      <w:r>
        <w:rPr>
          <w:rFonts w:ascii="Aptos" w:hAnsi="Aptos"/>
        </w:rPr>
        <w:t xml:space="preserve">tested </w:t>
      </w:r>
      <w:r w:rsidRPr="00310C99">
        <w:rPr>
          <w:rFonts w:ascii="Aptos" w:hAnsi="Aptos"/>
        </w:rPr>
        <w:t>resources) competes against VPI10463 (33</w:t>
      </w:r>
      <w:r>
        <w:rPr>
          <w:rFonts w:ascii="Aptos" w:hAnsi="Aptos"/>
        </w:rPr>
        <w:t>/95 tested</w:t>
      </w:r>
      <w:r w:rsidRPr="00310C99">
        <w:rPr>
          <w:rFonts w:ascii="Aptos" w:hAnsi="Aptos"/>
        </w:rPr>
        <w:t xml:space="preserve"> resources), the model predicts competitive exclusion of VPI10463, consistent with the </w:t>
      </w:r>
      <w:r w:rsidRPr="00310C99">
        <w:rPr>
          <w:rFonts w:ascii="Aptos" w:hAnsi="Aptos"/>
          <w:i/>
          <w:iCs/>
        </w:rPr>
        <w:t>in vivo</w:t>
      </w:r>
      <w:r w:rsidRPr="00310C99">
        <w:rPr>
          <w:rFonts w:ascii="Aptos" w:hAnsi="Aptos"/>
        </w:rPr>
        <w:t xml:space="preserve"> result. When ST1.68 (</w:t>
      </w:r>
      <w:r>
        <w:rPr>
          <w:rFonts w:ascii="Aptos" w:hAnsi="Aptos"/>
        </w:rPr>
        <w:t>21/95 tested</w:t>
      </w:r>
      <w:r w:rsidRPr="00310C99">
        <w:rPr>
          <w:rFonts w:ascii="Aptos" w:hAnsi="Aptos"/>
        </w:rPr>
        <w:t xml:space="preserve"> resources) competes against VPI10463 (33</w:t>
      </w:r>
      <w:r>
        <w:rPr>
          <w:rFonts w:ascii="Aptos" w:hAnsi="Aptos"/>
        </w:rPr>
        <w:t>/95 tested</w:t>
      </w:r>
      <w:r w:rsidRPr="00310C99">
        <w:rPr>
          <w:rFonts w:ascii="Aptos" w:hAnsi="Aptos"/>
        </w:rPr>
        <w:t xml:space="preserve"> resources), the niche imbalance reverses and the model </w:t>
      </w:r>
      <w:proofErr w:type="gramStart"/>
      <w:r w:rsidRPr="00310C99">
        <w:rPr>
          <w:rFonts w:ascii="Aptos" w:hAnsi="Aptos"/>
        </w:rPr>
        <w:t>predicts</w:t>
      </w:r>
      <w:proofErr w:type="gramEnd"/>
      <w:r w:rsidRPr="00310C99">
        <w:rPr>
          <w:rFonts w:ascii="Aptos" w:hAnsi="Aptos"/>
        </w:rPr>
        <w:t xml:space="preserve"> coexistence, consistent with ST1.68's failure to protect. These predictions arise from niche breadth alone, with uptake rates held equal across strains. This is an important caveat</w:t>
      </w:r>
      <w:r>
        <w:rPr>
          <w:rFonts w:ascii="Aptos" w:hAnsi="Aptos"/>
        </w:rPr>
        <w:t xml:space="preserve"> as the</w:t>
      </w:r>
      <w:r w:rsidRPr="00310C99">
        <w:rPr>
          <w:rFonts w:ascii="Aptos" w:hAnsi="Aptos"/>
        </w:rPr>
        <w:t xml:space="preserve"> niche breadth</w:t>
      </w:r>
      <w:r>
        <w:rPr>
          <w:rFonts w:ascii="Aptos" w:hAnsi="Aptos"/>
        </w:rPr>
        <w:t>,</w:t>
      </w:r>
      <w:r w:rsidRPr="00310C99">
        <w:rPr>
          <w:rFonts w:ascii="Aptos" w:hAnsi="Aptos"/>
        </w:rPr>
        <w:t xml:space="preserve"> as measured by </w:t>
      </w:r>
      <w:r>
        <w:rPr>
          <w:rFonts w:ascii="Aptos" w:hAnsi="Aptos"/>
        </w:rPr>
        <w:t>BIOLOG</w:t>
      </w:r>
      <w:r w:rsidRPr="00310C99">
        <w:rPr>
          <w:rFonts w:ascii="Aptos" w:hAnsi="Aptos"/>
        </w:rPr>
        <w:t xml:space="preserve"> </w:t>
      </w:r>
      <w:r>
        <w:rPr>
          <w:rFonts w:ascii="Aptos" w:hAnsi="Aptos"/>
        </w:rPr>
        <w:t>data</w:t>
      </w:r>
      <w:r w:rsidRPr="00310C99">
        <w:rPr>
          <w:rFonts w:ascii="Aptos" w:hAnsi="Aptos"/>
        </w:rPr>
        <w:t xml:space="preserve"> represents only one component of the overall fitness difference between strains. </w:t>
      </w:r>
      <w:r w:rsidRPr="00AA69D9">
        <w:rPr>
          <w:rFonts w:ascii="Aptos" w:hAnsi="Aptos"/>
        </w:rPr>
        <w:t xml:space="preserve">A central interpretive claim of this work is that metabolic niche breadth, rather than uptake kinetics, is the primary determinant of competitive protection against </w:t>
      </w:r>
      <w:r>
        <w:rPr>
          <w:rFonts w:ascii="Aptos" w:hAnsi="Aptos"/>
        </w:rPr>
        <w:t>VPI10463</w:t>
      </w:r>
      <w:r w:rsidRPr="00AA69D9">
        <w:rPr>
          <w:rFonts w:ascii="Aptos" w:hAnsi="Aptos"/>
        </w:rPr>
        <w:t>. This conclusion runs counter to the framing of</w:t>
      </w:r>
      <w:r>
        <w:rPr>
          <w:rFonts w:ascii="Aptos" w:hAnsi="Aptos"/>
        </w:rPr>
        <w:t xml:space="preserve"> </w:t>
      </w:r>
      <w:hyperlink r:id="rId65" w:history="1">
        <w:r>
          <w:rPr>
            <w:rFonts w:ascii="Aptos" w:eastAsia="Times New Roman" w:hAnsi="Aptos"/>
          </w:rPr>
          <w:t>(Dong </w:t>
        </w:r>
        <w:r>
          <w:rPr>
            <w:rFonts w:ascii="Aptos" w:eastAsia="Times New Roman" w:hAnsi="Aptos"/>
            <w:i/>
          </w:rPr>
          <w:t>et al.</w:t>
        </w:r>
        <w:r>
          <w:rPr>
            <w:rFonts w:ascii="Aptos" w:eastAsia="Times New Roman" w:hAnsi="Aptos"/>
          </w:rPr>
          <w:t>, 2025)</w:t>
        </w:r>
      </w:hyperlink>
      <w:r w:rsidRPr="00AA69D9">
        <w:rPr>
          <w:rFonts w:ascii="Aptos" w:hAnsi="Aptos"/>
        </w:rPr>
        <w:t>, who attributed ST1</w:t>
      </w:r>
      <w:r>
        <w:rPr>
          <w:rFonts w:ascii="Aptos" w:hAnsi="Aptos"/>
        </w:rPr>
        <w:t>.</w:t>
      </w:r>
      <w:r w:rsidRPr="00AA69D9">
        <w:rPr>
          <w:rFonts w:ascii="Aptos" w:hAnsi="Aptos"/>
        </w:rPr>
        <w:t>75's competitive advantage to the rapidity of amino acid depletion relative to R20291. Our GC-MS data are qualitatively consistent with that kinetic asymmetry, and we do not dispute that faster per-substrate depletion occurs. What the consumer-resource model adds is a ceiling argument</w:t>
      </w:r>
      <w:r>
        <w:rPr>
          <w:rFonts w:ascii="Aptos" w:hAnsi="Aptos"/>
        </w:rPr>
        <w:t xml:space="preserve"> that</w:t>
      </w:r>
      <w:r w:rsidRPr="00AA69D9">
        <w:rPr>
          <w:rFonts w:ascii="Aptos" w:hAnsi="Aptos"/>
        </w:rPr>
        <w:t xml:space="preserve"> the 44-substrate private niche advantage ST1</w:t>
      </w:r>
      <w:r>
        <w:rPr>
          <w:rFonts w:ascii="Aptos" w:hAnsi="Aptos"/>
        </w:rPr>
        <w:t>.</w:t>
      </w:r>
      <w:r w:rsidRPr="00AA69D9">
        <w:rPr>
          <w:rFonts w:ascii="Aptos" w:hAnsi="Aptos"/>
        </w:rPr>
        <w:t>75 holds over VPI10463 pushes the strain pair past the hard exclusion boundary at n₁/n₂ = 1 + √2, guaranteeing competitive exclusion regardless of uptake kinetics. For VPI10463 to reach fitness parity would require a per-cell uptake advantage of roughly 2.6-fold on shared substrates</w:t>
      </w:r>
      <w:r>
        <w:rPr>
          <w:rFonts w:ascii="Aptos" w:hAnsi="Aptos"/>
        </w:rPr>
        <w:t>,</w:t>
      </w:r>
      <w:r w:rsidRPr="00AA69D9">
        <w:rPr>
          <w:rFonts w:ascii="Aptos" w:hAnsi="Aptos"/>
        </w:rPr>
        <w:t xml:space="preserve"> a difference that is not </w:t>
      </w:r>
      <w:r>
        <w:rPr>
          <w:rFonts w:ascii="Aptos" w:hAnsi="Aptos"/>
        </w:rPr>
        <w:t>seen in</w:t>
      </w:r>
      <w:r w:rsidRPr="00AA69D9">
        <w:rPr>
          <w:rFonts w:ascii="Aptos" w:hAnsi="Aptos"/>
        </w:rPr>
        <w:t xml:space="preserve"> our observation of no detectable growth-rate differences between ST1</w:t>
      </w:r>
      <w:r>
        <w:rPr>
          <w:rFonts w:ascii="Aptos" w:hAnsi="Aptos"/>
        </w:rPr>
        <w:t>.</w:t>
      </w:r>
      <w:r w:rsidRPr="00AA69D9">
        <w:rPr>
          <w:rFonts w:ascii="Aptos" w:hAnsi="Aptos"/>
        </w:rPr>
        <w:t>75 and VPI10463 in defined media. Kinetic asymmetries exist and likely contribute at the margins, but they are not the load-bearing mechanism.</w:t>
      </w:r>
    </w:p>
    <w:p w14:paraId="4F943E2F" w14:textId="77777777" w:rsidR="003128FF" w:rsidRDefault="003128FF" w:rsidP="000F17FF">
      <w:pPr>
        <w:ind w:firstLine="720"/>
        <w:rPr>
          <w:rFonts w:ascii="Aptos" w:hAnsi="Aptos"/>
        </w:rPr>
      </w:pPr>
      <w:r w:rsidRPr="00310C99">
        <w:rPr>
          <w:rFonts w:ascii="Aptos" w:hAnsi="Aptos"/>
        </w:rPr>
        <w:t xml:space="preserve">Additional factors including the </w:t>
      </w:r>
      <w:r>
        <w:rPr>
          <w:rFonts w:ascii="Aptos" w:hAnsi="Aptos"/>
        </w:rPr>
        <w:t xml:space="preserve">cumulative </w:t>
      </w:r>
      <w:r w:rsidRPr="00310C99">
        <w:rPr>
          <w:rFonts w:ascii="Aptos" w:hAnsi="Aptos"/>
        </w:rPr>
        <w:t>speed of resource uptake</w:t>
      </w:r>
      <w:r>
        <w:rPr>
          <w:rFonts w:ascii="Aptos" w:hAnsi="Aptos"/>
        </w:rPr>
        <w:t xml:space="preserve"> across different classes of nutrients</w:t>
      </w:r>
      <w:r w:rsidRPr="00310C99">
        <w:rPr>
          <w:rFonts w:ascii="Aptos" w:hAnsi="Aptos"/>
        </w:rPr>
        <w:t xml:space="preserve">, and the ability to produce or tolerate </w:t>
      </w:r>
      <w:r>
        <w:rPr>
          <w:rFonts w:ascii="Aptos" w:hAnsi="Aptos"/>
        </w:rPr>
        <w:t>antagonistic</w:t>
      </w:r>
      <w:r w:rsidRPr="00310C99">
        <w:rPr>
          <w:rFonts w:ascii="Aptos" w:hAnsi="Aptos"/>
        </w:rPr>
        <w:t xml:space="preserve"> metabolic byproducts are not captured by the current framework but would be expected to sharpen or modify competitive outcomes. The model therefore provides a minimal sufficient explanation for the observed protection phenotype and a quantitative scaffold.</w:t>
      </w:r>
    </w:p>
    <w:p w14:paraId="0522812C" w14:textId="77777777" w:rsidR="003128FF" w:rsidRDefault="003128FF" w:rsidP="000F17FF">
      <w:pPr>
        <w:ind w:firstLine="720"/>
        <w:rPr>
          <w:rFonts w:ascii="Aptos" w:hAnsi="Aptos"/>
        </w:rPr>
      </w:pPr>
      <w:r w:rsidRPr="00B720E0">
        <w:rPr>
          <w:rFonts w:ascii="Aptos" w:hAnsi="Aptos"/>
        </w:rPr>
        <w:t>Our findings from metaboli</w:t>
      </w:r>
      <w:r>
        <w:rPr>
          <w:rFonts w:ascii="Aptos" w:hAnsi="Aptos"/>
        </w:rPr>
        <w:t xml:space="preserve">te utilization </w:t>
      </w:r>
      <w:r w:rsidRPr="00B720E0">
        <w:rPr>
          <w:rFonts w:ascii="Aptos" w:hAnsi="Aptos"/>
        </w:rPr>
        <w:t>and competition assays come with the caveat that these techniques are sensitive to factors such as inoculum density, growth phase at inoculation, medium composition, plate-to-plate variation, and environmental conditions. Clinical isolates</w:t>
      </w:r>
      <w:proofErr w:type="gramStart"/>
      <w:r w:rsidRPr="00B720E0">
        <w:rPr>
          <w:rFonts w:ascii="Aptos" w:hAnsi="Aptos"/>
        </w:rPr>
        <w:t>, in particular, can</w:t>
      </w:r>
      <w:proofErr w:type="gramEnd"/>
      <w:r w:rsidRPr="00B720E0">
        <w:rPr>
          <w:rFonts w:ascii="Aptos" w:hAnsi="Aptos"/>
        </w:rPr>
        <w:t xml:space="preserve"> display erratic or inconsistent growth patterns </w:t>
      </w:r>
      <w:r w:rsidRPr="001C4D9E">
        <w:rPr>
          <w:rFonts w:ascii="Aptos" w:hAnsi="Aptos"/>
          <w:i/>
          <w:iCs/>
        </w:rPr>
        <w:t>in vitro</w:t>
      </w:r>
      <w:r w:rsidRPr="00B720E0">
        <w:rPr>
          <w:rFonts w:ascii="Aptos" w:hAnsi="Aptos"/>
        </w:rPr>
        <w:t xml:space="preserve">, resulting in substantial variability across biological replicates. Aggregating results across replicates can introduce additional error, as the large variations among replicates make it difficult to compare strains and can lead to wide confidence intervals, </w:t>
      </w:r>
      <w:r w:rsidRPr="00B720E0">
        <w:rPr>
          <w:rFonts w:ascii="Aptos" w:hAnsi="Aptos"/>
        </w:rPr>
        <w:lastRenderedPageBreak/>
        <w:t xml:space="preserve">especially for nutrients that show only marginal utilization. These technical limitations </w:t>
      </w:r>
      <w:r>
        <w:rPr>
          <w:rFonts w:ascii="Aptos" w:hAnsi="Aptos"/>
        </w:rPr>
        <w:t>required</w:t>
      </w:r>
      <w:r w:rsidRPr="00B720E0">
        <w:rPr>
          <w:rFonts w:ascii="Aptos" w:hAnsi="Aptos"/>
        </w:rPr>
        <w:t xml:space="preserve"> cautious interpretation of carbon source utilization profiles obtained from BIOLOG data. In addition, the co-culture competition assays conducted in minimal</w:t>
      </w:r>
      <w:r>
        <w:rPr>
          <w:rFonts w:ascii="Aptos" w:hAnsi="Aptos"/>
        </w:rPr>
        <w:t>ly</w:t>
      </w:r>
      <w:r w:rsidRPr="00B720E0">
        <w:rPr>
          <w:rFonts w:ascii="Aptos" w:hAnsi="Aptos"/>
        </w:rPr>
        <w:t xml:space="preserve"> defined media cannot fully replicate the dynamic nutrient landscape and interactions present in the gut ecosystem. </w:t>
      </w:r>
      <w:r>
        <w:rPr>
          <w:rFonts w:ascii="Aptos" w:hAnsi="Aptos"/>
        </w:rPr>
        <w:t>Also</w:t>
      </w:r>
      <w:r w:rsidRPr="00B720E0">
        <w:rPr>
          <w:rFonts w:ascii="Aptos" w:hAnsi="Aptos"/>
        </w:rPr>
        <w:t xml:space="preserve">, the chemically defined </w:t>
      </w:r>
      <w:r w:rsidRPr="00B720E0">
        <w:rPr>
          <w:rFonts w:ascii="Aptos" w:hAnsi="Aptos"/>
          <w:i/>
          <w:iCs/>
        </w:rPr>
        <w:t>C. difficile</w:t>
      </w:r>
      <w:r w:rsidRPr="00B720E0">
        <w:rPr>
          <w:rFonts w:ascii="Aptos" w:hAnsi="Aptos"/>
        </w:rPr>
        <w:t xml:space="preserve"> minimal medium (CDMM) is itself a complex formulation containing more than 40 unique chemicals, including several amino acids, which can support a basal level of bacterial growth even in the absence of an explicitly added carbon source. </w:t>
      </w:r>
      <w:r>
        <w:rPr>
          <w:rFonts w:ascii="Aptos" w:hAnsi="Aptos"/>
        </w:rPr>
        <w:t>The c</w:t>
      </w:r>
      <w:r w:rsidRPr="00B720E0">
        <w:rPr>
          <w:rFonts w:ascii="Aptos" w:hAnsi="Aptos"/>
        </w:rPr>
        <w:t xml:space="preserve">onclusions regarding protective phenotypes, as explained by differences in metabolic mechanisms, must be extrapolated to the clinical context with caution. Another critical limitation arises from incomplete gene annotation in </w:t>
      </w:r>
      <w:r w:rsidRPr="00B720E0">
        <w:rPr>
          <w:rFonts w:ascii="Aptos" w:hAnsi="Aptos"/>
          <w:i/>
          <w:iCs/>
        </w:rPr>
        <w:t>C. difficile</w:t>
      </w:r>
      <w:r w:rsidRPr="00B720E0">
        <w:rPr>
          <w:rFonts w:ascii="Aptos" w:hAnsi="Aptos"/>
        </w:rPr>
        <w:t xml:space="preserve">. A substantial fraction of genes </w:t>
      </w:r>
      <w:proofErr w:type="gramStart"/>
      <w:r w:rsidRPr="00B720E0">
        <w:rPr>
          <w:rFonts w:ascii="Aptos" w:hAnsi="Aptos"/>
        </w:rPr>
        <w:t>remain</w:t>
      </w:r>
      <w:proofErr w:type="gramEnd"/>
      <w:r w:rsidRPr="00B720E0">
        <w:rPr>
          <w:rFonts w:ascii="Aptos" w:hAnsi="Aptos"/>
        </w:rPr>
        <w:t xml:space="preserve"> uncharacterized, </w:t>
      </w:r>
      <w:r>
        <w:rPr>
          <w:rFonts w:ascii="Aptos" w:hAnsi="Aptos"/>
        </w:rPr>
        <w:t>hindering the</w:t>
      </w:r>
      <w:r w:rsidRPr="00B720E0">
        <w:rPr>
          <w:rFonts w:ascii="Aptos" w:hAnsi="Aptos"/>
        </w:rPr>
        <w:t xml:space="preserve"> efforts to directly link genetic differences to specific metabolic phenotypes. This lack of functional annotation </w:t>
      </w:r>
      <w:r>
        <w:rPr>
          <w:rFonts w:ascii="Aptos" w:hAnsi="Aptos"/>
        </w:rPr>
        <w:t xml:space="preserve">also </w:t>
      </w:r>
      <w:r w:rsidRPr="00B720E0">
        <w:rPr>
          <w:rFonts w:ascii="Aptos" w:hAnsi="Aptos"/>
        </w:rPr>
        <w:t>constrains the construction of genome-scale metabolic models</w:t>
      </w:r>
      <w:r>
        <w:rPr>
          <w:rFonts w:ascii="Aptos" w:hAnsi="Aptos"/>
        </w:rPr>
        <w:t xml:space="preserve"> (GSMMs)</w:t>
      </w:r>
      <w:r w:rsidRPr="00B720E0">
        <w:rPr>
          <w:rFonts w:ascii="Aptos" w:hAnsi="Aptos"/>
        </w:rPr>
        <w:t xml:space="preserve">, particularly for closely related strains sharing more than 99.8% </w:t>
      </w:r>
      <w:proofErr w:type="gramStart"/>
      <w:r>
        <w:rPr>
          <w:rFonts w:ascii="Aptos" w:hAnsi="Aptos"/>
        </w:rPr>
        <w:t>ANI</w:t>
      </w:r>
      <w:r w:rsidRPr="00B720E0">
        <w:rPr>
          <w:rFonts w:ascii="Aptos" w:hAnsi="Aptos"/>
        </w:rPr>
        <w:t>, and</w:t>
      </w:r>
      <w:proofErr w:type="gramEnd"/>
      <w:r w:rsidRPr="00B720E0">
        <w:rPr>
          <w:rFonts w:ascii="Aptos" w:hAnsi="Aptos"/>
        </w:rPr>
        <w:t xml:space="preserve"> limits the ability of association studies to connect genotype to phenotype. As a result, fully resolving the molecular mechanisms underlying strain-specific metabolic and protective traits remains challenging, highlighting the need for continued advances in </w:t>
      </w:r>
      <w:r w:rsidRPr="00B720E0">
        <w:rPr>
          <w:rFonts w:ascii="Aptos" w:hAnsi="Aptos"/>
          <w:i/>
          <w:iCs/>
        </w:rPr>
        <w:t>C. difficile</w:t>
      </w:r>
      <w:r w:rsidRPr="00B720E0">
        <w:rPr>
          <w:rFonts w:ascii="Aptos" w:hAnsi="Aptos"/>
        </w:rPr>
        <w:t xml:space="preserve"> </w:t>
      </w:r>
      <w:r>
        <w:rPr>
          <w:rFonts w:ascii="Aptos" w:hAnsi="Aptos"/>
        </w:rPr>
        <w:t>biology.</w:t>
      </w:r>
    </w:p>
    <w:p w14:paraId="17C21E46" w14:textId="77777777" w:rsidR="003128FF" w:rsidRDefault="003128FF" w:rsidP="000F17FF">
      <w:pPr>
        <w:ind w:firstLine="720"/>
        <w:rPr>
          <w:rFonts w:ascii="Aptos" w:hAnsi="Aptos"/>
        </w:rPr>
      </w:pPr>
      <w:r w:rsidRPr="00234649">
        <w:rPr>
          <w:rFonts w:ascii="Aptos" w:hAnsi="Aptos"/>
        </w:rPr>
        <w:t xml:space="preserve">Strains exhibiting protective </w:t>
      </w:r>
      <w:r>
        <w:rPr>
          <w:rFonts w:ascii="Aptos" w:hAnsi="Aptos"/>
        </w:rPr>
        <w:t>phenotype</w:t>
      </w:r>
      <w:r w:rsidRPr="00234649">
        <w:rPr>
          <w:rFonts w:ascii="Aptos" w:hAnsi="Aptos"/>
        </w:rPr>
        <w:t xml:space="preserve"> could serve as the foundation for next-generation microbial therapeutics designed to prevent or even treat CDI. By leveraging these naturally protective strains or their key metabolic capabilities, it may be possible to create live biotherapeutic products that colonize the gut and outcompete virulent strains in a targeted, safe manner without relying on broad-spectrum antibiotics or fecal microbiota transplantation. Furthermore, the potential to engineer commensal bacteria that mimic the metabolic traits of protective </w:t>
      </w:r>
      <w:r w:rsidRPr="00234649">
        <w:rPr>
          <w:rFonts w:ascii="Aptos" w:hAnsi="Aptos"/>
          <w:i/>
          <w:iCs/>
        </w:rPr>
        <w:t>C. difficile</w:t>
      </w:r>
      <w:r w:rsidRPr="00234649">
        <w:rPr>
          <w:rFonts w:ascii="Aptos" w:hAnsi="Aptos"/>
        </w:rPr>
        <w:t xml:space="preserve"> strains represents a</w:t>
      </w:r>
      <w:r>
        <w:rPr>
          <w:rFonts w:ascii="Aptos" w:hAnsi="Aptos"/>
        </w:rPr>
        <w:t xml:space="preserve"> </w:t>
      </w:r>
      <w:r w:rsidRPr="00234649">
        <w:rPr>
          <w:rFonts w:ascii="Aptos" w:hAnsi="Aptos"/>
        </w:rPr>
        <w:t xml:space="preserve">strategy for refined treatment. Such microbes would ideally be optimized for safety, stability, and persistence in the host gut environment, overcoming limitations associated with donor-derived microbiota or uncharacterized probiotic formulations. Additionally, exploring how dietary composition influences the availability of key nutrients and consequently the efficacy of protective strains could provide </w:t>
      </w:r>
      <w:r>
        <w:rPr>
          <w:rFonts w:ascii="Aptos" w:hAnsi="Aptos"/>
        </w:rPr>
        <w:t>important clinical interventions which are easy to implement</w:t>
      </w:r>
      <w:r w:rsidRPr="00234649">
        <w:rPr>
          <w:rFonts w:ascii="Aptos" w:hAnsi="Aptos"/>
        </w:rPr>
        <w:t>. Modulating host diet to favor the colonization and metabolic activity of protective strains may enhance therapeutic outcomes or serve as adjunctive measures</w:t>
      </w:r>
      <w:r>
        <w:rPr>
          <w:rFonts w:ascii="Aptos" w:hAnsi="Aptos"/>
        </w:rPr>
        <w:t xml:space="preserve">. </w:t>
      </w:r>
    </w:p>
    <w:p w14:paraId="0D101A21" w14:textId="77777777" w:rsidR="003128FF" w:rsidRPr="000F17FF" w:rsidRDefault="003128FF" w:rsidP="000F17FF">
      <w:r>
        <w:rPr>
          <w:rFonts w:ascii="Aptos" w:hAnsi="Aptos"/>
        </w:rPr>
        <w:tab/>
      </w:r>
      <w:r w:rsidRPr="00234649">
        <w:rPr>
          <w:rFonts w:ascii="Aptos" w:hAnsi="Aptos"/>
        </w:rPr>
        <w:t xml:space="preserve">This work advances our understanding of how strain-level metabolic differences among closely related avirulent </w:t>
      </w:r>
      <w:r w:rsidRPr="00234649">
        <w:rPr>
          <w:rFonts w:ascii="Aptos" w:hAnsi="Aptos"/>
          <w:i/>
          <w:iCs/>
        </w:rPr>
        <w:t>C. difficile</w:t>
      </w:r>
      <w:r w:rsidRPr="00234649">
        <w:rPr>
          <w:rFonts w:ascii="Aptos" w:hAnsi="Aptos"/>
        </w:rPr>
        <w:t xml:space="preserve"> ST1 strains drive protection against infection by virulent strains. By demonstrating that protection is not </w:t>
      </w:r>
      <w:proofErr w:type="spellStart"/>
      <w:r w:rsidRPr="00234649">
        <w:rPr>
          <w:rFonts w:ascii="Aptos" w:hAnsi="Aptos"/>
        </w:rPr>
        <w:t>neceserilly</w:t>
      </w:r>
      <w:proofErr w:type="spellEnd"/>
      <w:r w:rsidRPr="00234649">
        <w:rPr>
          <w:rFonts w:ascii="Aptos" w:hAnsi="Aptos"/>
        </w:rPr>
        <w:t xml:space="preserve">  explained by host immunity, microbiota composition, or simple genomic factors, but rather correlates with distinct nutrient utilization profiles and competitive metabolic phenotypes</w:t>
      </w:r>
      <w:r>
        <w:rPr>
          <w:rFonts w:ascii="Aptos" w:hAnsi="Aptos"/>
        </w:rPr>
        <w:t>. T</w:t>
      </w:r>
      <w:r w:rsidRPr="00234649">
        <w:rPr>
          <w:rFonts w:ascii="Aptos" w:hAnsi="Aptos"/>
        </w:rPr>
        <w:t xml:space="preserve">his work </w:t>
      </w:r>
      <w:r>
        <w:rPr>
          <w:rFonts w:ascii="Aptos" w:hAnsi="Aptos"/>
        </w:rPr>
        <w:t xml:space="preserve">also </w:t>
      </w:r>
      <w:r w:rsidRPr="00234649">
        <w:rPr>
          <w:rFonts w:ascii="Aptos" w:hAnsi="Aptos"/>
        </w:rPr>
        <w:lastRenderedPageBreak/>
        <w:t xml:space="preserve">highlights the central role of metabolic competition in mediating colonization resistance. The comprehensive profiling of diverse clinical isolates and integration of phenotypic, genomic, and competition assays provide a robust framework to link metabolic traits to protective capacity. Ultimately, this study lays the groundwork for leveraging metabolic phenotypes to prevent and control </w:t>
      </w:r>
      <w:r w:rsidRPr="00060282">
        <w:rPr>
          <w:rFonts w:ascii="Aptos" w:hAnsi="Aptos"/>
          <w:i/>
          <w:iCs/>
        </w:rPr>
        <w:t>C. difficile</w:t>
      </w:r>
      <w:r w:rsidRPr="00234649">
        <w:rPr>
          <w:rFonts w:ascii="Aptos" w:hAnsi="Aptos"/>
        </w:rPr>
        <w:t xml:space="preserve"> infection, moving beyond broad-spectrum antibiotics and improving patient outcomes through precise, mechanism-based microbial therapeutic</w:t>
      </w:r>
      <w:r>
        <w:rPr>
          <w:rFonts w:ascii="Aptos" w:hAnsi="Aptos"/>
        </w:rPr>
        <w:t>s.</w:t>
      </w:r>
    </w:p>
    <w:p w14:paraId="3DC72E64" w14:textId="77777777" w:rsidR="003128FF" w:rsidRDefault="003128FF" w:rsidP="00162EA8">
      <w:pPr>
        <w:pStyle w:val="Heading1"/>
      </w:pPr>
      <w:r>
        <w:t>Methods</w:t>
      </w:r>
      <w:r w:rsidRPr="009C2318">
        <w:t xml:space="preserve"> </w:t>
      </w:r>
      <w:r>
        <w:t xml:space="preserve"> </w:t>
      </w:r>
    </w:p>
    <w:p w14:paraId="1D4B9A55"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Bacterial Strains and Mouse Lines</w:t>
      </w:r>
    </w:p>
    <w:p w14:paraId="786C66D9" w14:textId="77777777" w:rsidR="003128FF" w:rsidRPr="00191377" w:rsidRDefault="003128FF" w:rsidP="00162EA8">
      <w:pPr>
        <w:spacing w:line="276" w:lineRule="auto"/>
        <w:rPr>
          <w:rFonts w:ascii="Aptos" w:hAnsi="Aptos"/>
        </w:rPr>
      </w:pPr>
      <w:r w:rsidRPr="00191377">
        <w:rPr>
          <w:rFonts w:ascii="Aptos" w:eastAsia="Arial" w:hAnsi="Aptos" w:cs="Arial"/>
        </w:rPr>
        <w:t xml:space="preserve">Clinical isolates of </w:t>
      </w:r>
      <w:r w:rsidRPr="00191377">
        <w:rPr>
          <w:rFonts w:ascii="Aptos" w:eastAsia="Arial" w:hAnsi="Aptos" w:cs="Arial"/>
          <w:i/>
          <w:iCs/>
        </w:rPr>
        <w:t xml:space="preserve">C. difficile </w:t>
      </w:r>
      <w:r w:rsidRPr="00191377">
        <w:rPr>
          <w:rFonts w:ascii="Aptos" w:eastAsia="Arial" w:hAnsi="Aptos" w:cs="Arial"/>
        </w:rPr>
        <w:t xml:space="preserve">sequence type 1 (ST1; </w:t>
      </w:r>
      <w:proofErr w:type="spellStart"/>
      <w:r w:rsidRPr="00191377">
        <w:rPr>
          <w:rFonts w:ascii="Aptos" w:eastAsia="Arial" w:hAnsi="Aptos" w:cs="Arial"/>
        </w:rPr>
        <w:t>ribotype</w:t>
      </w:r>
      <w:proofErr w:type="spellEnd"/>
      <w:r w:rsidRPr="00191377">
        <w:rPr>
          <w:rFonts w:ascii="Aptos" w:eastAsia="Arial" w:hAnsi="Aptos" w:cs="Arial"/>
        </w:rPr>
        <w:t xml:space="preserve"> RT027) were obtained from a prospective molecular surveillance program conducted at Memorial Sloan Kettering Cancer Center (MSKCC), New York, between 2013 and 2017, as previously described (Miles-Jay et al., 2021). A total of 21 isolates were selected based on </w:t>
      </w:r>
      <w:r>
        <w:rPr>
          <w:rFonts w:ascii="Aptos" w:eastAsia="Arial" w:hAnsi="Aptos" w:cs="Arial"/>
        </w:rPr>
        <w:t>their MLST classification</w:t>
      </w:r>
      <w:r w:rsidRPr="00191377">
        <w:rPr>
          <w:rFonts w:ascii="Aptos" w:eastAsia="Arial" w:hAnsi="Aptos" w:cs="Arial"/>
        </w:rPr>
        <w:t>. Average nucleotide identity (ANI) among all 21 isolates exceeded 99.84%, confirming their relatedness</w:t>
      </w:r>
      <w:r w:rsidRPr="00191377">
        <w:rPr>
          <w:rFonts w:ascii="Aptos" w:hAnsi="Aptos"/>
        </w:rPr>
        <w:t xml:space="preserve"> calculated through fast ANI</w:t>
      </w:r>
      <w:r>
        <w:rPr>
          <w:rFonts w:ascii="Aptos" w:eastAsia="Arial" w:hAnsi="Aptos" w:cs="Arial"/>
        </w:rPr>
        <w:t xml:space="preserve"> </w:t>
      </w:r>
      <w:hyperlink r:id="rId66" w:history="1">
        <w:r>
          <w:rPr>
            <w:rFonts w:ascii="Aptos" w:eastAsia="Times New Roman" w:hAnsi="Aptos"/>
          </w:rPr>
          <w:t>(Jain </w:t>
        </w:r>
        <w:r>
          <w:rPr>
            <w:rFonts w:ascii="Aptos" w:eastAsia="Times New Roman" w:hAnsi="Aptos"/>
            <w:i/>
          </w:rPr>
          <w:t>et al.</w:t>
        </w:r>
        <w:r>
          <w:rPr>
            <w:rFonts w:ascii="Aptos" w:eastAsia="Times New Roman" w:hAnsi="Aptos"/>
          </w:rPr>
          <w:t>, 2018)</w:t>
        </w:r>
      </w:hyperlink>
      <w:r w:rsidRPr="00191377">
        <w:rPr>
          <w:rFonts w:ascii="Aptos" w:eastAsia="Arial" w:hAnsi="Aptos" w:cs="Arial"/>
        </w:rPr>
        <w:t xml:space="preserve">. Six- to eight-week-old conventionally housed C57BL/6 (B6) </w:t>
      </w:r>
      <w:r w:rsidRPr="00191377">
        <w:rPr>
          <w:rFonts w:ascii="Aptos" w:hAnsi="Aptos"/>
        </w:rPr>
        <w:t xml:space="preserve">female </w:t>
      </w:r>
      <w:r w:rsidRPr="00191377">
        <w:rPr>
          <w:rFonts w:ascii="Aptos" w:eastAsia="Arial" w:hAnsi="Aptos" w:cs="Arial"/>
        </w:rPr>
        <w:t>mice were obtained from Jackson Laboratories and maintained under specific pathogen-free conditions at MSKCC.</w:t>
      </w:r>
    </w:p>
    <w:p w14:paraId="71B286F8"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Mouse Infection Model</w:t>
      </w:r>
    </w:p>
    <w:p w14:paraId="68F0C6C3" w14:textId="77777777" w:rsidR="003128FF" w:rsidRPr="00191377" w:rsidRDefault="003128FF" w:rsidP="00162EA8">
      <w:pPr>
        <w:spacing w:line="276" w:lineRule="auto"/>
        <w:rPr>
          <w:rFonts w:ascii="Aptos" w:hAnsi="Aptos"/>
        </w:rPr>
      </w:pPr>
      <w:r w:rsidRPr="00191377">
        <w:rPr>
          <w:rFonts w:ascii="Aptos" w:eastAsia="Arial" w:hAnsi="Aptos" w:cs="Arial"/>
        </w:rPr>
        <w:t xml:space="preserve">Mice were individually housed throughout all infection experiments. To disrupt the resident microbiota and establish susceptibility to </w:t>
      </w:r>
      <w:r w:rsidRPr="00191377">
        <w:rPr>
          <w:rFonts w:ascii="Aptos" w:eastAsia="Arial" w:hAnsi="Aptos" w:cs="Arial"/>
          <w:i/>
          <w:iCs/>
        </w:rPr>
        <w:t>C. difficile</w:t>
      </w:r>
      <w:r w:rsidRPr="00191377">
        <w:rPr>
          <w:rFonts w:ascii="Aptos" w:eastAsia="Arial" w:hAnsi="Aptos" w:cs="Arial"/>
        </w:rPr>
        <w:t xml:space="preserve"> colonization, mice received a three-antibiotic cocktail consisting of metronidazole (</w:t>
      </w:r>
      <w:r>
        <w:rPr>
          <w:rFonts w:ascii="Aptos" w:eastAsia="Arial" w:hAnsi="Aptos" w:cs="Arial"/>
        </w:rPr>
        <w:t>0.25</w:t>
      </w:r>
      <w:r w:rsidRPr="00191377">
        <w:rPr>
          <w:rFonts w:ascii="Aptos" w:eastAsia="Arial" w:hAnsi="Aptos" w:cs="Arial"/>
        </w:rPr>
        <w:t xml:space="preserve"> g/L), neomycin (</w:t>
      </w:r>
      <w:r>
        <w:rPr>
          <w:rFonts w:ascii="Aptos" w:eastAsia="Arial" w:hAnsi="Aptos" w:cs="Arial"/>
        </w:rPr>
        <w:t>0.25</w:t>
      </w:r>
      <w:r w:rsidRPr="00191377">
        <w:rPr>
          <w:rFonts w:ascii="Aptos" w:eastAsia="Arial" w:hAnsi="Aptos" w:cs="Arial"/>
        </w:rPr>
        <w:t xml:space="preserve"> g/L), and vancomycin (0.</w:t>
      </w:r>
      <w:r>
        <w:rPr>
          <w:rFonts w:ascii="Aptos" w:eastAsia="Arial" w:hAnsi="Aptos" w:cs="Arial"/>
        </w:rPr>
        <w:t>25</w:t>
      </w:r>
      <w:r w:rsidRPr="00191377">
        <w:rPr>
          <w:rFonts w:ascii="Aptos" w:eastAsia="Arial" w:hAnsi="Aptos" w:cs="Arial"/>
        </w:rPr>
        <w:t xml:space="preserve"> g/L) in their drinking water for three consecutive days, followed by two days of antibiotic cessation with regular water. Clindamycin (</w:t>
      </w:r>
      <w:r>
        <w:rPr>
          <w:rFonts w:ascii="Aptos" w:eastAsia="Arial" w:hAnsi="Aptos" w:cs="Arial"/>
        </w:rPr>
        <w:t>200 ug</w:t>
      </w:r>
      <w:r w:rsidRPr="00191377">
        <w:rPr>
          <w:rFonts w:ascii="Aptos" w:eastAsia="Arial" w:hAnsi="Aptos" w:cs="Arial"/>
        </w:rPr>
        <w:t>) was administered intraperitoneally 24 hours before spore inoculation to further sensitize the gut environment.</w:t>
      </w:r>
    </w:p>
    <w:p w14:paraId="78060B9E" w14:textId="77777777" w:rsidR="003128FF" w:rsidRPr="00191377" w:rsidRDefault="003128FF" w:rsidP="00162EA8">
      <w:pPr>
        <w:spacing w:line="276" w:lineRule="auto"/>
        <w:rPr>
          <w:rFonts w:ascii="Aptos" w:hAnsi="Aptos"/>
        </w:rPr>
      </w:pPr>
      <w:r w:rsidRPr="00191377">
        <w:rPr>
          <w:rFonts w:ascii="Aptos" w:eastAsia="Arial" w:hAnsi="Aptos" w:cs="Arial"/>
        </w:rPr>
        <w:t xml:space="preserve">Mice were inoculated with </w:t>
      </w:r>
      <w:r>
        <w:rPr>
          <w:rFonts w:ascii="Aptos" w:eastAsia="Arial" w:hAnsi="Aptos" w:cs="Arial"/>
        </w:rPr>
        <w:t>~</w:t>
      </w:r>
      <w:r w:rsidRPr="00191377">
        <w:rPr>
          <w:rFonts w:ascii="Aptos" w:eastAsia="Arial" w:hAnsi="Aptos" w:cs="Arial"/>
        </w:rPr>
        <w:t>200 spores of a single ST1 isolate by oral gavage</w:t>
      </w:r>
      <w:r>
        <w:rPr>
          <w:rFonts w:ascii="Aptos" w:eastAsia="Arial" w:hAnsi="Aptos" w:cs="Arial"/>
        </w:rPr>
        <w:t xml:space="preserve"> to assess their virulence and in the co-infection scheme the mice received VPI10463 spores (~200) along with the ST1 strains</w:t>
      </w:r>
      <w:r w:rsidRPr="00191377">
        <w:rPr>
          <w:rFonts w:ascii="Aptos" w:eastAsia="Arial" w:hAnsi="Aptos" w:cs="Arial"/>
        </w:rPr>
        <w:t>.</w:t>
      </w:r>
      <w:r>
        <w:rPr>
          <w:rFonts w:ascii="Aptos" w:eastAsia="Arial" w:hAnsi="Aptos" w:cs="Arial"/>
        </w:rPr>
        <w:t xml:space="preserve"> For the secondary rechallenge experimental protocol the same </w:t>
      </w:r>
      <w:proofErr w:type="spellStart"/>
      <w:r>
        <w:rPr>
          <w:rFonts w:ascii="Aptos" w:eastAsia="Arial" w:hAnsi="Aptos" w:cs="Arial"/>
        </w:rPr>
        <w:t>abtibiotic</w:t>
      </w:r>
      <w:proofErr w:type="spellEnd"/>
      <w:r>
        <w:rPr>
          <w:rFonts w:ascii="Aptos" w:eastAsia="Arial" w:hAnsi="Aptos" w:cs="Arial"/>
        </w:rPr>
        <w:t xml:space="preserve"> treatment was done before the first infection and </w:t>
      </w:r>
      <w:proofErr w:type="gramStart"/>
      <w:r>
        <w:rPr>
          <w:rFonts w:ascii="Aptos" w:eastAsia="Arial" w:hAnsi="Aptos" w:cs="Arial"/>
        </w:rPr>
        <w:t>later on</w:t>
      </w:r>
      <w:proofErr w:type="gramEnd"/>
      <w:r>
        <w:rPr>
          <w:rFonts w:ascii="Aptos" w:eastAsia="Arial" w:hAnsi="Aptos" w:cs="Arial"/>
        </w:rPr>
        <w:t xml:space="preserve"> 11 or 16 days later, the mice received the same antibiotic treatment again followed by oral gavage of VPI10463 strains.</w:t>
      </w:r>
      <w:r w:rsidRPr="00191377">
        <w:rPr>
          <w:rFonts w:ascii="Aptos" w:eastAsia="Arial" w:hAnsi="Aptos" w:cs="Arial"/>
        </w:rPr>
        <w:t xml:space="preserve"> Animals were monitored for disease symptoms including body weight, stool consistency, and mortality. All animal experiments were conducted in accordance with MSKCC Institutional Animal Care and Use Committee (IACUC) protocols.</w:t>
      </w:r>
    </w:p>
    <w:p w14:paraId="1AF89201"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lastRenderedPageBreak/>
        <w:t>Whole-Genome Sequencing and Genomic Analysis</w:t>
      </w:r>
    </w:p>
    <w:p w14:paraId="4D05EF87" w14:textId="77777777" w:rsidR="003128FF" w:rsidRPr="00191377" w:rsidRDefault="003128FF" w:rsidP="00162EA8">
      <w:pPr>
        <w:spacing w:line="276" w:lineRule="auto"/>
        <w:rPr>
          <w:rFonts w:ascii="Aptos" w:hAnsi="Aptos"/>
        </w:rPr>
      </w:pPr>
      <w:r w:rsidRPr="00191377">
        <w:rPr>
          <w:rFonts w:ascii="Aptos" w:eastAsia="Arial" w:hAnsi="Aptos" w:cs="Arial"/>
        </w:rPr>
        <w:t>Genomic DNA was extracted from overnight cultures of each ST1 isolate using</w:t>
      </w:r>
      <w:r w:rsidRPr="00191377">
        <w:rPr>
          <w:rFonts w:ascii="Aptos" w:hAnsi="Aptos"/>
        </w:rPr>
        <w:t xml:space="preserve">. </w:t>
      </w:r>
      <w:r w:rsidRPr="00191377">
        <w:rPr>
          <w:rFonts w:ascii="Aptos" w:eastAsia="Arial" w:hAnsi="Aptos" w:cs="Arial"/>
        </w:rPr>
        <w:t>Raw reads were quality-trimmed using</w:t>
      </w:r>
      <w:r>
        <w:rPr>
          <w:rFonts w:ascii="Aptos" w:eastAsia="Arial" w:hAnsi="Aptos" w:cs="Arial"/>
        </w:rPr>
        <w:t xml:space="preserve"> -------------- </w:t>
      </w:r>
      <w:r w:rsidRPr="00191377">
        <w:rPr>
          <w:rFonts w:ascii="Aptos" w:eastAsia="Arial" w:hAnsi="Aptos" w:cs="Arial"/>
        </w:rPr>
        <w:t xml:space="preserve">. </w:t>
      </w:r>
      <w:proofErr w:type="spellStart"/>
      <w:r w:rsidRPr="00191377">
        <w:rPr>
          <w:rFonts w:ascii="Aptos" w:eastAsia="Arial" w:hAnsi="Aptos" w:cs="Arial"/>
        </w:rPr>
        <w:t>Multilocus</w:t>
      </w:r>
      <w:proofErr w:type="spellEnd"/>
      <w:r w:rsidRPr="00191377">
        <w:rPr>
          <w:rFonts w:ascii="Aptos" w:eastAsia="Arial" w:hAnsi="Aptos" w:cs="Arial"/>
        </w:rPr>
        <w:t xml:space="preserve"> sequence typing (MLST) was confirmed using the </w:t>
      </w:r>
      <w:r w:rsidRPr="00191377">
        <w:rPr>
          <w:rFonts w:ascii="Aptos" w:eastAsia="Arial" w:hAnsi="Aptos" w:cs="Arial"/>
          <w:i/>
          <w:iCs/>
        </w:rPr>
        <w:t>C. difficile</w:t>
      </w:r>
      <w:r w:rsidRPr="00191377">
        <w:rPr>
          <w:rFonts w:ascii="Aptos" w:eastAsia="Arial" w:hAnsi="Aptos" w:cs="Arial"/>
        </w:rPr>
        <w:t xml:space="preserve"> MLST scheme</w:t>
      </w:r>
      <w:r>
        <w:rPr>
          <w:rFonts w:ascii="Aptos" w:eastAsia="Arial" w:hAnsi="Aptos" w:cs="Arial"/>
        </w:rPr>
        <w:t xml:space="preserve"> ----------- </w:t>
      </w:r>
      <w:r w:rsidRPr="00191377">
        <w:rPr>
          <w:rFonts w:ascii="Aptos" w:eastAsia="Arial" w:hAnsi="Aptos" w:cs="Arial"/>
        </w:rPr>
        <w:t xml:space="preserve">. Average nucleotide identity (ANI) between all pairwise isolate combinations was computed using FastANI. </w:t>
      </w:r>
      <w:r>
        <w:rPr>
          <w:rFonts w:ascii="Aptos" w:eastAsia="Arial" w:hAnsi="Aptos" w:cs="Arial"/>
        </w:rPr>
        <w:t xml:space="preserve">VPI whole genome sequence was obtained from NCBI ATCC 43255 accession number. </w:t>
      </w:r>
      <w:r w:rsidRPr="00191377">
        <w:rPr>
          <w:rFonts w:ascii="Aptos" w:eastAsia="Arial" w:hAnsi="Aptos" w:cs="Arial"/>
        </w:rPr>
        <w:t xml:space="preserve">Metabolic gene content was annotated using </w:t>
      </w:r>
      <w:proofErr w:type="spellStart"/>
      <w:r w:rsidRPr="00191377">
        <w:rPr>
          <w:rFonts w:ascii="Aptos" w:eastAsia="Arial" w:hAnsi="Aptos" w:cs="Arial"/>
        </w:rPr>
        <w:t>Prokka</w:t>
      </w:r>
      <w:proofErr w:type="spellEnd"/>
      <w:r w:rsidRPr="00191377">
        <w:rPr>
          <w:rFonts w:ascii="Aptos" w:eastAsia="Arial" w:hAnsi="Aptos" w:cs="Arial"/>
        </w:rPr>
        <w:t xml:space="preserve">. </w:t>
      </w:r>
      <w:r>
        <w:rPr>
          <w:rFonts w:ascii="Aptos" w:eastAsia="Arial" w:hAnsi="Aptos" w:cs="Arial"/>
        </w:rPr>
        <w:t xml:space="preserve">Followed by pan genome </w:t>
      </w:r>
      <w:proofErr w:type="spellStart"/>
      <w:r>
        <w:rPr>
          <w:rFonts w:ascii="Aptos" w:eastAsia="Arial" w:hAnsi="Aptos" w:cs="Arial"/>
        </w:rPr>
        <w:t>anaylsis</w:t>
      </w:r>
      <w:proofErr w:type="spellEnd"/>
      <w:r>
        <w:rPr>
          <w:rFonts w:ascii="Aptos" w:eastAsia="Arial" w:hAnsi="Aptos" w:cs="Arial"/>
        </w:rPr>
        <w:t xml:space="preserve"> using Roary.</w:t>
      </w:r>
    </w:p>
    <w:p w14:paraId="77C2EC99"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Amino Acid Metabolomics</w:t>
      </w:r>
    </w:p>
    <w:p w14:paraId="0BFBB2A1" w14:textId="77777777" w:rsidR="003128FF" w:rsidRPr="00191377" w:rsidRDefault="003128FF" w:rsidP="00162EA8">
      <w:pPr>
        <w:spacing w:line="276" w:lineRule="auto"/>
        <w:rPr>
          <w:rFonts w:ascii="Aptos" w:hAnsi="Aptos"/>
        </w:rPr>
      </w:pPr>
      <w:r w:rsidRPr="00191377">
        <w:rPr>
          <w:rFonts w:ascii="Aptos" w:eastAsia="Arial" w:hAnsi="Aptos" w:cs="Arial"/>
        </w:rPr>
        <w:t>To quantify amino acid consumption and production, ST1 strains and VPI</w:t>
      </w:r>
      <w:r w:rsidRPr="00191377">
        <w:rPr>
          <w:rFonts w:ascii="Aptos" w:hAnsi="Aptos"/>
        </w:rPr>
        <w:t>1</w:t>
      </w:r>
      <w:r w:rsidRPr="00191377">
        <w:rPr>
          <w:rFonts w:ascii="Aptos" w:eastAsia="Arial" w:hAnsi="Aptos" w:cs="Arial"/>
        </w:rPr>
        <w:t xml:space="preserve">0463 were grown in </w:t>
      </w:r>
      <w:r w:rsidRPr="00191377">
        <w:rPr>
          <w:rFonts w:ascii="Aptos" w:hAnsi="Aptos"/>
        </w:rPr>
        <w:t xml:space="preserve">CDMM </w:t>
      </w:r>
      <w:r w:rsidRPr="00191377">
        <w:rPr>
          <w:rFonts w:ascii="Aptos" w:eastAsia="Arial" w:hAnsi="Aptos" w:cs="Arial"/>
        </w:rPr>
        <w:t xml:space="preserve">for </w:t>
      </w:r>
      <w:r w:rsidRPr="00191377">
        <w:rPr>
          <w:rFonts w:ascii="Aptos" w:hAnsi="Aptos"/>
        </w:rPr>
        <w:t>6</w:t>
      </w:r>
      <w:r w:rsidRPr="00191377">
        <w:rPr>
          <w:rFonts w:ascii="Aptos" w:eastAsia="Arial" w:hAnsi="Aptos" w:cs="Arial"/>
        </w:rPr>
        <w:t xml:space="preserve"> hours. Spent supernatants and cell pellet extracts were collected by centrifugation. Extracellular amino acid concentrations were measured by </w:t>
      </w:r>
      <w:r w:rsidRPr="00191377">
        <w:rPr>
          <w:rFonts w:ascii="Aptos" w:hAnsi="Aptos"/>
        </w:rPr>
        <w:t>GC</w:t>
      </w:r>
      <w:r w:rsidRPr="00191377">
        <w:rPr>
          <w:rFonts w:ascii="Aptos" w:eastAsia="Arial" w:hAnsi="Aptos" w:cs="Arial"/>
        </w:rPr>
        <w:t>-MS and</w:t>
      </w:r>
      <w:r w:rsidRPr="00191377">
        <w:rPr>
          <w:rFonts w:ascii="Aptos" w:hAnsi="Aptos"/>
        </w:rPr>
        <w:t xml:space="preserve">. </w:t>
      </w:r>
      <w:r w:rsidRPr="00191377">
        <w:rPr>
          <w:rFonts w:ascii="Aptos" w:eastAsia="Arial" w:hAnsi="Aptos" w:cs="Arial"/>
        </w:rPr>
        <w:t>Net consumption or accumulation for each amino acid was calculated relative to uninoculated medium controls. Amino acids were classified as strain-private resources if their utilization differed significantly between strains (FDR-adjusted p &lt; 0.05, [statistical test]) and were consumed exclusively by one strain under competitive conditions.</w:t>
      </w:r>
    </w:p>
    <w:p w14:paraId="52008681"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Mathematical Modeling</w:t>
      </w:r>
    </w:p>
    <w:p w14:paraId="7934EFA8" w14:textId="77777777" w:rsidR="003128FF" w:rsidRPr="00191377" w:rsidRDefault="003128FF" w:rsidP="00162EA8">
      <w:pPr>
        <w:spacing w:line="276" w:lineRule="auto"/>
        <w:rPr>
          <w:rFonts w:ascii="Aptos" w:hAnsi="Aptos"/>
        </w:rPr>
      </w:pPr>
      <w:r w:rsidRPr="00191377">
        <w:rPr>
          <w:rFonts w:ascii="Aptos" w:eastAsia="Arial" w:hAnsi="Aptos" w:cs="Arial"/>
        </w:rPr>
        <w:t xml:space="preserve">A consumer-resource (CR) model was developed to describe pairwise </w:t>
      </w:r>
      <w:proofErr w:type="spellStart"/>
      <w:r w:rsidRPr="00191377">
        <w:rPr>
          <w:rFonts w:ascii="Aptos" w:eastAsia="Arial" w:hAnsi="Aptos" w:cs="Arial"/>
        </w:rPr>
        <w:t>interstrain</w:t>
      </w:r>
      <w:proofErr w:type="spellEnd"/>
      <w:r w:rsidRPr="00191377">
        <w:rPr>
          <w:rFonts w:ascii="Aptos" w:eastAsia="Arial" w:hAnsi="Aptos" w:cs="Arial"/>
        </w:rPr>
        <w:t xml:space="preserve"> competition in a continuous-flow gut environment. The model tracks the dynamics of two competing bacterial populations (N</w:t>
      </w:r>
      <w:r w:rsidRPr="00191377">
        <w:rPr>
          <w:rFonts w:ascii="Aptos" w:eastAsia="Arial" w:hAnsi="Aptos" w:cs="Arial"/>
          <w:vertAlign w:val="subscript"/>
        </w:rPr>
        <w:t>1</w:t>
      </w:r>
      <w:r w:rsidRPr="00191377">
        <w:rPr>
          <w:rFonts w:ascii="Aptos" w:eastAsia="Arial" w:hAnsi="Aptos" w:cs="Arial"/>
        </w:rPr>
        <w:t>, N</w:t>
      </w:r>
      <w:r w:rsidRPr="00191377">
        <w:rPr>
          <w:rFonts w:ascii="Aptos" w:eastAsia="Arial" w:hAnsi="Aptos" w:cs="Arial"/>
          <w:vertAlign w:val="subscript"/>
        </w:rPr>
        <w:t>2</w:t>
      </w:r>
      <w:r w:rsidRPr="00191377">
        <w:rPr>
          <w:rFonts w:ascii="Aptos" w:eastAsia="Arial" w:hAnsi="Aptos" w:cs="Arial"/>
        </w:rPr>
        <w:t>) over three resource classes: a shared amino acid pool (R</w:t>
      </w:r>
      <w:r w:rsidRPr="00191377">
        <w:rPr>
          <w:rFonts w:ascii="Aptos" w:eastAsia="Arial" w:hAnsi="Aptos" w:cs="Arial"/>
          <w:vertAlign w:val="subscript"/>
        </w:rPr>
        <w:t>s</w:t>
      </w:r>
      <w:r w:rsidRPr="00191377">
        <w:rPr>
          <w:rFonts w:ascii="Aptos" w:eastAsia="Arial" w:hAnsi="Aptos" w:cs="Arial"/>
        </w:rPr>
        <w:t>) consumed by both strains, and two strain-private pools (R</w:t>
      </w:r>
      <w:r w:rsidRPr="00191377">
        <w:rPr>
          <w:rFonts w:ascii="Aptos" w:eastAsia="Arial" w:hAnsi="Aptos" w:cs="Arial"/>
          <w:vertAlign w:val="subscript"/>
        </w:rPr>
        <w:t>1</w:t>
      </w:r>
      <w:r w:rsidRPr="00191377">
        <w:rPr>
          <w:rFonts w:ascii="Aptos" w:eastAsia="Arial" w:hAnsi="Aptos" w:cs="Arial"/>
        </w:rPr>
        <w:t>, R</w:t>
      </w:r>
      <w:r w:rsidRPr="00191377">
        <w:rPr>
          <w:rFonts w:ascii="Aptos" w:eastAsia="Arial" w:hAnsi="Aptos" w:cs="Arial"/>
          <w:vertAlign w:val="subscript"/>
        </w:rPr>
        <w:t>2</w:t>
      </w:r>
      <w:r w:rsidRPr="00191377">
        <w:rPr>
          <w:rFonts w:ascii="Aptos" w:eastAsia="Arial" w:hAnsi="Aptos" w:cs="Arial"/>
        </w:rPr>
        <w:t>) each exclusive to one strain. Resource supply, dilution, and bacterial uptake were modeled using standard MacArthur consumer-resource equations. Asymmetric uptake rates on the shared pool were introduced to capture differences in metabolic speed between strains. Equilibrium analysis and invasion criteria were derived analytically under a quasi-steady-state approximation for resource dynamics. Stability conditions for competitive exclusion versus coexistence were expressed in terms of dimensionless parameters characterizing niche breadth (private resource pool size) and metabolic speed (shared resource uptake rate). Full model derivation, parameter definitions, and stability analysis are provided in the Supplemental Information.</w:t>
      </w:r>
    </w:p>
    <w:p w14:paraId="7EDAF657"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 xml:space="preserve">In Vitro Competition Assay (Cerillo </w:t>
      </w:r>
      <w:r>
        <w:rPr>
          <w:rFonts w:ascii="Aptos" w:eastAsia="Arial" w:hAnsi="Aptos" w:cs="Arial"/>
          <w:b/>
          <w:bCs/>
          <w:sz w:val="24"/>
          <w:szCs w:val="24"/>
        </w:rPr>
        <w:t xml:space="preserve">Co-culture </w:t>
      </w:r>
      <w:r w:rsidRPr="00191377">
        <w:rPr>
          <w:rFonts w:ascii="Aptos" w:eastAsia="Arial" w:hAnsi="Aptos" w:cs="Arial"/>
          <w:b/>
          <w:bCs/>
          <w:sz w:val="24"/>
          <w:szCs w:val="24"/>
        </w:rPr>
        <w:t>Assay)</w:t>
      </w:r>
    </w:p>
    <w:p w14:paraId="3129609E" w14:textId="77777777" w:rsidR="003128FF" w:rsidRPr="00191377" w:rsidRDefault="003128FF" w:rsidP="00162EA8">
      <w:pPr>
        <w:spacing w:line="276" w:lineRule="auto"/>
        <w:rPr>
          <w:rFonts w:ascii="Aptos" w:hAnsi="Aptos"/>
        </w:rPr>
      </w:pPr>
      <w:r w:rsidRPr="00191377">
        <w:rPr>
          <w:rFonts w:ascii="Aptos" w:eastAsia="Arial" w:hAnsi="Aptos" w:cs="Arial"/>
        </w:rPr>
        <w:t>Pairwise in vitro competition between ST1 isolates and VPI 10463 was assessed using a co-culture competition assay. Strains were grown to mid-log phase in BHIS</w:t>
      </w:r>
      <w:r w:rsidRPr="00191377">
        <w:rPr>
          <w:rFonts w:ascii="Aptos" w:hAnsi="Aptos"/>
        </w:rPr>
        <w:t xml:space="preserve"> media</w:t>
      </w:r>
      <w:r w:rsidRPr="00191377">
        <w:rPr>
          <w:rFonts w:ascii="Aptos" w:eastAsia="Arial" w:hAnsi="Aptos" w:cs="Arial"/>
        </w:rPr>
        <w:t xml:space="preserve"> under anaerobic conditions at 37°C</w:t>
      </w:r>
      <w:r w:rsidRPr="00191377">
        <w:rPr>
          <w:rFonts w:ascii="Aptos" w:hAnsi="Aptos"/>
        </w:rPr>
        <w:t>. Cell pellets were collected</w:t>
      </w:r>
      <w:r>
        <w:rPr>
          <w:rFonts w:ascii="Aptos" w:hAnsi="Aptos"/>
        </w:rPr>
        <w:t xml:space="preserve"> and washed twice with </w:t>
      </w:r>
      <w:r w:rsidRPr="00BD4057">
        <w:rPr>
          <w:rFonts w:ascii="Aptos" w:hAnsi="Aptos"/>
          <w:i/>
          <w:iCs/>
        </w:rPr>
        <w:t>C. difficile</w:t>
      </w:r>
      <w:r>
        <w:rPr>
          <w:rFonts w:ascii="Aptos" w:hAnsi="Aptos"/>
        </w:rPr>
        <w:t xml:space="preserve"> minimal media (CDMM)</w:t>
      </w:r>
      <w:r w:rsidRPr="00191377">
        <w:rPr>
          <w:rFonts w:ascii="Aptos" w:eastAsia="Arial" w:hAnsi="Aptos" w:cs="Arial"/>
        </w:rPr>
        <w:t>.</w:t>
      </w:r>
      <w:r>
        <w:rPr>
          <w:rFonts w:ascii="Aptos" w:eastAsia="Arial" w:hAnsi="Aptos" w:cs="Arial"/>
        </w:rPr>
        <w:t xml:space="preserve"> The cell pellets were then resuspended in CDMM </w:t>
      </w:r>
      <w:proofErr w:type="spellStart"/>
      <w:r>
        <w:rPr>
          <w:rFonts w:ascii="Aptos" w:eastAsia="Arial" w:hAnsi="Aptos" w:cs="Arial"/>
        </w:rPr>
        <w:t>unitll</w:t>
      </w:r>
      <w:proofErr w:type="spellEnd"/>
      <w:r>
        <w:rPr>
          <w:rFonts w:ascii="Aptos" w:eastAsia="Arial" w:hAnsi="Aptos" w:cs="Arial"/>
        </w:rPr>
        <w:t xml:space="preserve"> OD reached 0.01 and then amino acids (alanine and glycine) were added to both the wells. </w:t>
      </w:r>
      <w:r w:rsidRPr="00191377">
        <w:rPr>
          <w:rFonts w:ascii="Aptos" w:eastAsia="Arial" w:hAnsi="Aptos" w:cs="Arial"/>
        </w:rPr>
        <w:t>Competitor strains were inoculated at a 1:1 ratio into shared culture vessels and co-</w:t>
      </w:r>
      <w:r w:rsidRPr="00191377">
        <w:rPr>
          <w:rFonts w:ascii="Aptos" w:eastAsia="Arial" w:hAnsi="Aptos" w:cs="Arial"/>
        </w:rPr>
        <w:lastRenderedPageBreak/>
        <w:t xml:space="preserve">cultured for </w:t>
      </w:r>
      <w:r>
        <w:rPr>
          <w:rFonts w:ascii="Aptos" w:eastAsia="Arial" w:hAnsi="Aptos" w:cs="Arial"/>
        </w:rPr>
        <w:t xml:space="preserve">22 </w:t>
      </w:r>
      <w:r w:rsidRPr="00191377">
        <w:rPr>
          <w:rFonts w:ascii="Aptos" w:eastAsia="Arial" w:hAnsi="Aptos" w:cs="Arial"/>
        </w:rPr>
        <w:t xml:space="preserve">hours. All competition assays were performed in </w:t>
      </w:r>
      <w:r>
        <w:rPr>
          <w:rFonts w:ascii="Aptos" w:eastAsia="Arial" w:hAnsi="Aptos" w:cs="Arial"/>
        </w:rPr>
        <w:t>replicates of 4</w:t>
      </w:r>
      <w:r w:rsidRPr="00191377">
        <w:rPr>
          <w:rFonts w:ascii="Aptos" w:eastAsia="Arial" w:hAnsi="Aptos" w:cs="Arial"/>
        </w:rPr>
        <w:t xml:space="preserve"> under strict anaerobic conditions.</w:t>
      </w:r>
    </w:p>
    <w:p w14:paraId="1B6C4E5D"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16S rRNA Amplicon Sequencing</w:t>
      </w:r>
    </w:p>
    <w:p w14:paraId="25070BC5" w14:textId="77777777" w:rsidR="003128FF" w:rsidRPr="00191377" w:rsidRDefault="003128FF" w:rsidP="00162EA8">
      <w:pPr>
        <w:spacing w:line="276" w:lineRule="auto"/>
        <w:rPr>
          <w:rFonts w:ascii="Aptos" w:hAnsi="Aptos"/>
        </w:rPr>
      </w:pPr>
      <w:r w:rsidRPr="00191377">
        <w:rPr>
          <w:rFonts w:ascii="Aptos" w:eastAsia="Arial" w:hAnsi="Aptos" w:cs="Arial"/>
        </w:rPr>
        <w:t xml:space="preserve">Fecal pellets were collected from individually housed mice at defined time points before and after antibiotic treatment, primary infection, and rechallenge. DNA was extracted using the </w:t>
      </w:r>
      <w:r>
        <w:rPr>
          <w:rFonts w:ascii="Aptos" w:eastAsia="Arial" w:hAnsi="Aptos" w:cs="Arial"/>
        </w:rPr>
        <w:t>-------------- .</w:t>
      </w:r>
      <w:r w:rsidRPr="00191377">
        <w:rPr>
          <w:rFonts w:ascii="Aptos" w:eastAsia="Arial" w:hAnsi="Aptos" w:cs="Arial"/>
        </w:rPr>
        <w:t xml:space="preserve"> Reads were demultiplexed, quality-filtered, and processed using QIIME2. Amplicon sequence variants (ASVs) were inferred using </w:t>
      </w:r>
      <w:r>
        <w:rPr>
          <w:rFonts w:ascii="Aptos" w:eastAsia="Arial" w:hAnsi="Aptos" w:cs="Arial"/>
        </w:rPr>
        <w:t>----</w:t>
      </w:r>
      <w:r w:rsidRPr="00191377">
        <w:rPr>
          <w:rFonts w:ascii="Aptos" w:eastAsia="Arial" w:hAnsi="Aptos" w:cs="Arial"/>
        </w:rPr>
        <w:t xml:space="preserve">. </w:t>
      </w:r>
      <w:r w:rsidRPr="00191377">
        <w:rPr>
          <w:rFonts w:ascii="Aptos" w:eastAsia="Arial" w:hAnsi="Aptos" w:cs="Arial"/>
          <w:i/>
          <w:iCs/>
        </w:rPr>
        <w:t>C. difficile</w:t>
      </w:r>
      <w:r w:rsidRPr="00191377">
        <w:rPr>
          <w:rFonts w:ascii="Aptos" w:eastAsia="Arial" w:hAnsi="Aptos" w:cs="Arial"/>
        </w:rPr>
        <w:t xml:space="preserve"> relative abundance was tracked longitudinally to confirm colonization, persistence, and displacement dynamics. Alpha diversity (Shannon index) and beta diversity (Bray-</w:t>
      </w:r>
      <w:proofErr w:type="gramStart"/>
      <w:r w:rsidRPr="00191377">
        <w:rPr>
          <w:rFonts w:ascii="Aptos" w:eastAsia="Arial" w:hAnsi="Aptos" w:cs="Arial"/>
        </w:rPr>
        <w:t>Curtis</w:t>
      </w:r>
      <w:proofErr w:type="gramEnd"/>
      <w:r w:rsidRPr="00191377">
        <w:rPr>
          <w:rFonts w:ascii="Aptos" w:eastAsia="Arial" w:hAnsi="Aptos" w:cs="Arial"/>
        </w:rPr>
        <w:t xml:space="preserve"> dissimilarity) were computed per sample</w:t>
      </w:r>
      <w:r>
        <w:rPr>
          <w:rFonts w:ascii="Aptos" w:eastAsia="Arial" w:hAnsi="Aptos" w:cs="Arial"/>
        </w:rPr>
        <w:t xml:space="preserve"> based on relative abundances of each </w:t>
      </w:r>
      <w:proofErr w:type="gramStart"/>
      <w:r>
        <w:rPr>
          <w:rFonts w:ascii="Aptos" w:eastAsia="Arial" w:hAnsi="Aptos" w:cs="Arial"/>
        </w:rPr>
        <w:t>genera</w:t>
      </w:r>
      <w:proofErr w:type="gramEnd"/>
      <w:r w:rsidRPr="00191377">
        <w:rPr>
          <w:rFonts w:ascii="Aptos" w:eastAsia="Arial" w:hAnsi="Aptos" w:cs="Arial"/>
        </w:rPr>
        <w:t>.</w:t>
      </w:r>
    </w:p>
    <w:p w14:paraId="1A5B5112"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Flow Cytometry</w:t>
      </w:r>
    </w:p>
    <w:p w14:paraId="3C41E479"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RAG Knockout Mouse Experiments</w:t>
      </w:r>
    </w:p>
    <w:p w14:paraId="46E6D3FE" w14:textId="77777777" w:rsidR="003128FF" w:rsidRPr="00191377" w:rsidRDefault="003128FF" w:rsidP="00162EA8">
      <w:pPr>
        <w:spacing w:line="276" w:lineRule="auto"/>
        <w:rPr>
          <w:rFonts w:ascii="Aptos" w:hAnsi="Aptos"/>
        </w:rPr>
      </w:pPr>
      <w:r w:rsidRPr="00191377">
        <w:rPr>
          <w:rFonts w:ascii="Aptos" w:eastAsia="Arial" w:hAnsi="Aptos" w:cs="Arial"/>
        </w:rPr>
        <w:t xml:space="preserve">To assess the contribution of adaptive immunity to colonization resistance, RAG1-deficient mice. RAGKO mice were subjected to the same antibiotic pretreatment, primary ST1 infection, and VPI 10463 rechallenge protocol as described above for conventional B6 mice. Colonization dynamics, weight loss, and survival were monitored identically. </w:t>
      </w:r>
    </w:p>
    <w:p w14:paraId="205F8F8B"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Antagonism Assay</w:t>
      </w:r>
    </w:p>
    <w:p w14:paraId="0D1279ED" w14:textId="77777777" w:rsidR="003128FF" w:rsidRPr="00191377" w:rsidRDefault="003128FF" w:rsidP="00162EA8">
      <w:pPr>
        <w:spacing w:line="276" w:lineRule="auto"/>
        <w:rPr>
          <w:rFonts w:ascii="Aptos" w:hAnsi="Aptos"/>
        </w:rPr>
      </w:pPr>
    </w:p>
    <w:p w14:paraId="18DC35F1" w14:textId="77777777" w:rsidR="003128FF" w:rsidRPr="00191377" w:rsidRDefault="003128FF" w:rsidP="00162EA8">
      <w:pPr>
        <w:pStyle w:val="Heading2"/>
        <w:spacing w:line="276" w:lineRule="auto"/>
        <w:rPr>
          <w:rFonts w:ascii="Aptos" w:hAnsi="Aptos"/>
          <w:sz w:val="24"/>
          <w:szCs w:val="24"/>
        </w:rPr>
      </w:pPr>
      <w:r w:rsidRPr="00191377">
        <w:rPr>
          <w:rFonts w:ascii="Aptos" w:eastAsia="Arial" w:hAnsi="Aptos" w:cs="Arial"/>
          <w:b/>
          <w:bCs/>
          <w:sz w:val="24"/>
          <w:szCs w:val="24"/>
        </w:rPr>
        <w:t>Quantification and Statistical Analysis</w:t>
      </w:r>
    </w:p>
    <w:p w14:paraId="530E24E8" w14:textId="77777777" w:rsidR="003128FF" w:rsidRPr="000F17FF" w:rsidRDefault="003128FF" w:rsidP="00AA69D9">
      <w:r w:rsidRPr="00191377">
        <w:rPr>
          <w:rFonts w:ascii="Aptos" w:eastAsia="Arial" w:hAnsi="Aptos" w:cs="Arial"/>
        </w:rPr>
        <w:t>Statistical analyses were performed in MATLAB (R202</w:t>
      </w:r>
      <w:r>
        <w:rPr>
          <w:rFonts w:ascii="Aptos" w:eastAsia="Arial" w:hAnsi="Aptos" w:cs="Arial"/>
        </w:rPr>
        <w:t>5</w:t>
      </w:r>
      <w:r w:rsidRPr="00191377">
        <w:rPr>
          <w:rFonts w:ascii="Aptos" w:eastAsia="Arial" w:hAnsi="Aptos" w:cs="Arial"/>
        </w:rPr>
        <w:t>b). Weight loss trajectories were compared across strains using [mixed-effects model / ANOVA]. Virulence scores were correlated with colonization resistance outcomes using Spearman's rank correlation. Multiple comparisons were corrected using the Benjamini-Hochberg procedure. Significance thresholds were set at α = 0.05 unless otherwise stated. Sample sizes (n) are reported in the figure legends. All replicates are biological replicates.</w:t>
      </w:r>
      <w:r w:rsidRPr="00AA69D9">
        <w:rPr>
          <w:rFonts w:ascii="Aptos" w:hAnsi="Aptos"/>
        </w:rPr>
        <w:t xml:space="preserve"> </w:t>
      </w:r>
    </w:p>
    <w:p w14:paraId="60AAC79F" w14:textId="77777777" w:rsidR="003128FF" w:rsidRPr="00AA69D9" w:rsidRDefault="003128FF" w:rsidP="00AA69D9">
      <w:pPr>
        <w:pStyle w:val="Heading1"/>
      </w:pPr>
      <w:r>
        <w:t>References</w:t>
      </w:r>
      <w:r w:rsidRPr="009C2318">
        <w:t xml:space="preserve"> </w:t>
      </w:r>
      <w:r>
        <w:t xml:space="preserve"> </w:t>
      </w:r>
    </w:p>
    <w:p w14:paraId="12B91BD2" w14:textId="77777777" w:rsidR="003128FF" w:rsidRPr="00093A24" w:rsidRDefault="003128FF">
      <w:pPr>
        <w:rPr>
          <w:rFonts w:ascii="Aptos" w:eastAsia="Times New Roman" w:hAnsi="Aptos"/>
          <w:color w:val="000000"/>
          <w:kern w:val="0"/>
          <w14:ligatures w14:val="none"/>
        </w:rPr>
      </w:pPr>
      <w:r w:rsidRPr="00AA69D9">
        <w:rPr>
          <w:rFonts w:ascii="Aptos" w:hAnsi="Aptos"/>
          <w:color w:val="000000"/>
        </w:rPr>
        <w:t xml:space="preserve"> </w:t>
      </w:r>
    </w:p>
    <w:p w14:paraId="2765276D" w14:textId="77777777" w:rsidR="003128FF" w:rsidRPr="003128FF" w:rsidRDefault="003128FF">
      <w:pPr>
        <w:rPr>
          <w:rFonts w:ascii="Aptos" w:eastAsia="Times New Roman" w:hAnsi="Aptos"/>
          <w:color w:val="000000"/>
          <w:kern w:val="0"/>
          <w14:ligatures w14:val="none"/>
        </w:rPr>
      </w:pPr>
      <w:r w:rsidRPr="00093A24">
        <w:rPr>
          <w:rFonts w:ascii="Aptos" w:hAnsi="Aptos"/>
          <w:color w:val="000000"/>
        </w:rPr>
        <w:t xml:space="preserve"> </w:t>
      </w:r>
    </w:p>
    <w:p w14:paraId="6EA63558" w14:textId="77777777" w:rsidR="003128FF" w:rsidRPr="003128FF" w:rsidRDefault="003128FF" w:rsidP="003128FF">
      <w:pPr>
        <w:pStyle w:val="NormalWeb"/>
        <w:spacing w:afterLines="100" w:after="240"/>
        <w:rPr>
          <w:rFonts w:ascii="Aptos" w:hAnsi="Aptos"/>
          <w:color w:val="000000"/>
        </w:rPr>
      </w:pPr>
      <w:hyperlink r:id="rId67" w:history="1">
        <w:r w:rsidRPr="003128FF">
          <w:rPr>
            <w:rStyle w:val="csl-entry"/>
            <w:rFonts w:ascii="Aptos" w:hAnsi="Aptos"/>
            <w:color w:val="000000"/>
          </w:rPr>
          <w:t xml:space="preserve">Allen, S.J. </w:t>
        </w:r>
        <w:r w:rsidRPr="003128FF">
          <w:rPr>
            <w:rStyle w:val="csl-entry"/>
            <w:rFonts w:ascii="Aptos" w:hAnsi="Aptos"/>
            <w:i/>
            <w:iCs/>
            <w:color w:val="000000"/>
          </w:rPr>
          <w:t>et al.</w:t>
        </w:r>
        <w:r w:rsidRPr="003128FF">
          <w:rPr>
            <w:rStyle w:val="csl-entry"/>
            <w:rFonts w:ascii="Aptos" w:hAnsi="Aptos"/>
            <w:color w:val="000000"/>
          </w:rPr>
          <w:t xml:space="preserve"> (2013) “Lactobacilli and bifidobacteria in the prevention of antibiotic-associated </w:t>
        </w:r>
        <w:proofErr w:type="spellStart"/>
        <w:r w:rsidRPr="003128FF">
          <w:rPr>
            <w:rStyle w:val="csl-entry"/>
            <w:rFonts w:ascii="Aptos" w:hAnsi="Aptos"/>
            <w:color w:val="000000"/>
          </w:rPr>
          <w:t>diarrhoea</w:t>
        </w:r>
        <w:proofErr w:type="spellEnd"/>
        <w:r w:rsidRPr="003128FF">
          <w:rPr>
            <w:rStyle w:val="csl-entry"/>
            <w:rFonts w:ascii="Aptos" w:hAnsi="Aptos"/>
            <w:color w:val="000000"/>
          </w:rPr>
          <w:t xml:space="preserve"> and Clostridium difficile </w:t>
        </w:r>
        <w:proofErr w:type="spellStart"/>
        <w:r w:rsidRPr="003128FF">
          <w:rPr>
            <w:rStyle w:val="csl-entry"/>
            <w:rFonts w:ascii="Aptos" w:hAnsi="Aptos"/>
            <w:color w:val="000000"/>
          </w:rPr>
          <w:t>diarrhoea</w:t>
        </w:r>
        <w:proofErr w:type="spellEnd"/>
        <w:r w:rsidRPr="003128FF">
          <w:rPr>
            <w:rStyle w:val="csl-entry"/>
            <w:rFonts w:ascii="Aptos" w:hAnsi="Aptos"/>
            <w:color w:val="000000"/>
          </w:rPr>
          <w:t xml:space="preserve"> in older inpatients (PLACIDE): a </w:t>
        </w:r>
        <w:proofErr w:type="spellStart"/>
        <w:r w:rsidRPr="003128FF">
          <w:rPr>
            <w:rStyle w:val="csl-entry"/>
            <w:rFonts w:ascii="Aptos" w:hAnsi="Aptos"/>
            <w:color w:val="000000"/>
          </w:rPr>
          <w:t>randomised</w:t>
        </w:r>
        <w:proofErr w:type="spellEnd"/>
        <w:r w:rsidRPr="003128FF">
          <w:rPr>
            <w:rStyle w:val="csl-entry"/>
            <w:rFonts w:ascii="Aptos" w:hAnsi="Aptos"/>
            <w:color w:val="000000"/>
          </w:rPr>
          <w:t xml:space="preserve">, double-blind, placebo-controlled, </w:t>
        </w:r>
        <w:proofErr w:type="spellStart"/>
        <w:r w:rsidRPr="003128FF">
          <w:rPr>
            <w:rStyle w:val="csl-entry"/>
            <w:rFonts w:ascii="Aptos" w:hAnsi="Aptos"/>
            <w:color w:val="000000"/>
          </w:rPr>
          <w:t>multicentre</w:t>
        </w:r>
        <w:proofErr w:type="spellEnd"/>
        <w:r w:rsidRPr="003128FF">
          <w:rPr>
            <w:rStyle w:val="csl-entry"/>
            <w:rFonts w:ascii="Aptos" w:hAnsi="Aptos"/>
            <w:color w:val="000000"/>
          </w:rPr>
          <w:t xml:space="preserve"> trial.,” </w:t>
        </w:r>
        <w:r w:rsidRPr="003128FF">
          <w:rPr>
            <w:rStyle w:val="csl-entry"/>
            <w:rFonts w:ascii="Aptos" w:hAnsi="Aptos"/>
            <w:i/>
            <w:iCs/>
            <w:color w:val="000000"/>
          </w:rPr>
          <w:t>The Lancet</w:t>
        </w:r>
        <w:r w:rsidRPr="003128FF">
          <w:rPr>
            <w:rStyle w:val="csl-entry"/>
            <w:rFonts w:ascii="Aptos" w:hAnsi="Aptos"/>
            <w:color w:val="000000"/>
          </w:rPr>
          <w:t>, 382(9900), pp. 1249–1257. doi:10.1016/S0140-6736(13)61218-0.</w:t>
        </w:r>
      </w:hyperlink>
    </w:p>
    <w:p w14:paraId="79596C5F" w14:textId="77777777" w:rsidR="003128FF" w:rsidRPr="003128FF" w:rsidRDefault="003128FF" w:rsidP="003128FF">
      <w:pPr>
        <w:pStyle w:val="NormalWeb"/>
        <w:spacing w:afterLines="100" w:after="240"/>
        <w:rPr>
          <w:rFonts w:ascii="Aptos" w:hAnsi="Aptos"/>
          <w:color w:val="000000"/>
        </w:rPr>
      </w:pPr>
      <w:hyperlink r:id="rId68" w:history="1">
        <w:r w:rsidRPr="003128FF">
          <w:rPr>
            <w:rStyle w:val="csl-entry"/>
            <w:rFonts w:ascii="Aptos" w:hAnsi="Aptos"/>
            <w:color w:val="000000"/>
          </w:rPr>
          <w:t xml:space="preserve">Al Sharaby, A. </w:t>
        </w:r>
        <w:r w:rsidRPr="003128FF">
          <w:rPr>
            <w:rStyle w:val="csl-entry"/>
            <w:rFonts w:ascii="Aptos" w:hAnsi="Aptos"/>
            <w:i/>
            <w:iCs/>
            <w:color w:val="000000"/>
          </w:rPr>
          <w:t>et al.</w:t>
        </w:r>
        <w:r w:rsidRPr="003128FF">
          <w:rPr>
            <w:rStyle w:val="csl-entry"/>
            <w:rFonts w:ascii="Aptos" w:hAnsi="Aptos"/>
            <w:color w:val="000000"/>
          </w:rPr>
          <w:t xml:space="preserve"> (2022) “Do Probiotics Prevent Clostridium </w:t>
        </w:r>
        <w:proofErr w:type="gramStart"/>
        <w:r w:rsidRPr="003128FF">
          <w:rPr>
            <w:rStyle w:val="csl-entry"/>
            <w:rFonts w:ascii="Aptos" w:hAnsi="Aptos"/>
            <w:color w:val="000000"/>
          </w:rPr>
          <w:t>difficile</w:t>
        </w:r>
        <w:proofErr w:type="gramEnd"/>
        <w:r w:rsidRPr="003128FF">
          <w:rPr>
            <w:rStyle w:val="csl-entry"/>
            <w:rFonts w:ascii="Aptos" w:hAnsi="Aptos"/>
            <w:color w:val="000000"/>
          </w:rPr>
          <w:t xml:space="preserve">-Associated </w:t>
        </w:r>
        <w:proofErr w:type="gramStart"/>
        <w:r w:rsidRPr="003128FF">
          <w:rPr>
            <w:rStyle w:val="csl-entry"/>
            <w:rFonts w:ascii="Aptos" w:hAnsi="Aptos"/>
            <w:color w:val="000000"/>
          </w:rPr>
          <w:t>Diarrhea?,</w:t>
        </w:r>
        <w:proofErr w:type="gramEnd"/>
        <w:r w:rsidRPr="003128FF">
          <w:rPr>
            <w:rStyle w:val="csl-entry"/>
            <w:rFonts w:ascii="Aptos" w:hAnsi="Aptos"/>
            <w:color w:val="000000"/>
          </w:rPr>
          <w:t xml:space="preserve">” </w:t>
        </w:r>
        <w:r w:rsidRPr="003128FF">
          <w:rPr>
            <w:rStyle w:val="csl-entry"/>
            <w:rFonts w:ascii="Aptos" w:hAnsi="Aptos"/>
            <w:i/>
            <w:iCs/>
            <w:color w:val="000000"/>
          </w:rPr>
          <w:t>Cureus</w:t>
        </w:r>
        <w:r w:rsidRPr="003128FF">
          <w:rPr>
            <w:rStyle w:val="csl-entry"/>
            <w:rFonts w:ascii="Aptos" w:hAnsi="Aptos"/>
            <w:color w:val="000000"/>
          </w:rPr>
          <w:t>, 14(8), p. e27624. doi:10.7759/cureus.27624.</w:t>
        </w:r>
      </w:hyperlink>
    </w:p>
    <w:p w14:paraId="769F7F01" w14:textId="77777777" w:rsidR="003128FF" w:rsidRPr="003128FF" w:rsidRDefault="003128FF" w:rsidP="003128FF">
      <w:pPr>
        <w:pStyle w:val="NormalWeb"/>
        <w:spacing w:afterLines="100" w:after="240"/>
        <w:rPr>
          <w:rFonts w:ascii="Aptos" w:hAnsi="Aptos"/>
          <w:color w:val="000000"/>
        </w:rPr>
      </w:pPr>
      <w:hyperlink r:id="rId69" w:history="1">
        <w:proofErr w:type="spellStart"/>
        <w:r w:rsidRPr="003128FF">
          <w:rPr>
            <w:rStyle w:val="csl-entry"/>
            <w:rFonts w:ascii="Aptos" w:hAnsi="Aptos"/>
            <w:color w:val="000000"/>
          </w:rPr>
          <w:t>Bakkeren</w:t>
        </w:r>
        <w:proofErr w:type="spellEnd"/>
        <w:r w:rsidRPr="003128FF">
          <w:rPr>
            <w:rStyle w:val="csl-entry"/>
            <w:rFonts w:ascii="Aptos" w:hAnsi="Aptos"/>
            <w:color w:val="000000"/>
          </w:rPr>
          <w:t xml:space="preserve">, E., Piskovsky, V. and Foster, K.R. (2025) “Metabolic ecology of microbiomes: Nutrient competition, host benefits, and community engineering.,” </w:t>
        </w:r>
        <w:r w:rsidRPr="003128FF">
          <w:rPr>
            <w:rStyle w:val="csl-entry"/>
            <w:rFonts w:ascii="Aptos" w:hAnsi="Aptos"/>
            <w:i/>
            <w:iCs/>
            <w:color w:val="000000"/>
          </w:rPr>
          <w:t>Cell Host &amp; Microbe</w:t>
        </w:r>
        <w:r w:rsidRPr="003128FF">
          <w:rPr>
            <w:rStyle w:val="csl-entry"/>
            <w:rFonts w:ascii="Aptos" w:hAnsi="Aptos"/>
            <w:color w:val="000000"/>
          </w:rPr>
          <w:t>, 33(6), pp. 790–807. doi:10.1016/j.chom.2025.05.013.</w:t>
        </w:r>
      </w:hyperlink>
    </w:p>
    <w:p w14:paraId="5FD84B5D" w14:textId="77777777" w:rsidR="003128FF" w:rsidRPr="003128FF" w:rsidRDefault="003128FF" w:rsidP="003128FF">
      <w:pPr>
        <w:pStyle w:val="NormalWeb"/>
        <w:spacing w:afterLines="100" w:after="240"/>
        <w:rPr>
          <w:rFonts w:ascii="Aptos" w:hAnsi="Aptos"/>
          <w:color w:val="000000"/>
        </w:rPr>
      </w:pPr>
      <w:hyperlink r:id="rId70" w:history="1">
        <w:proofErr w:type="spellStart"/>
        <w:r w:rsidRPr="003128FF">
          <w:rPr>
            <w:rStyle w:val="csl-entry"/>
            <w:rFonts w:ascii="Aptos" w:hAnsi="Aptos"/>
            <w:color w:val="000000"/>
          </w:rPr>
          <w:t>Bakkeren</w:t>
        </w:r>
        <w:proofErr w:type="spellEnd"/>
        <w:r w:rsidRPr="003128FF">
          <w:rPr>
            <w:rStyle w:val="csl-entry"/>
            <w:rFonts w:ascii="Aptos" w:hAnsi="Aptos"/>
            <w:color w:val="000000"/>
          </w:rPr>
          <w:t xml:space="preserve">, E. </w:t>
        </w:r>
        <w:r w:rsidRPr="003128FF">
          <w:rPr>
            <w:rStyle w:val="csl-entry"/>
            <w:rFonts w:ascii="Aptos" w:hAnsi="Aptos"/>
            <w:i/>
            <w:iCs/>
            <w:color w:val="000000"/>
          </w:rPr>
          <w:t>et al.</w:t>
        </w:r>
        <w:r w:rsidRPr="003128FF">
          <w:rPr>
            <w:rStyle w:val="csl-entry"/>
            <w:rFonts w:ascii="Aptos" w:hAnsi="Aptos"/>
            <w:color w:val="000000"/>
          </w:rPr>
          <w:t xml:space="preserve"> (2025) “Strain displacement in microbiomes via ecological competition,” </w:t>
        </w:r>
        <w:r w:rsidRPr="003128FF">
          <w:rPr>
            <w:rStyle w:val="csl-entry"/>
            <w:rFonts w:ascii="Aptos" w:hAnsi="Aptos"/>
            <w:i/>
            <w:iCs/>
            <w:color w:val="000000"/>
          </w:rPr>
          <w:t>Nature Microbiology</w:t>
        </w:r>
        <w:r w:rsidRPr="003128FF">
          <w:rPr>
            <w:rStyle w:val="csl-entry"/>
            <w:rFonts w:ascii="Aptos" w:hAnsi="Aptos"/>
            <w:color w:val="000000"/>
          </w:rPr>
          <w:t xml:space="preserve"> [Preprint]. doi:10.1038/s41564-025-02162-w.</w:t>
        </w:r>
      </w:hyperlink>
    </w:p>
    <w:p w14:paraId="07D00E53" w14:textId="77777777" w:rsidR="003128FF" w:rsidRPr="003128FF" w:rsidRDefault="003128FF" w:rsidP="003128FF">
      <w:pPr>
        <w:pStyle w:val="NormalWeb"/>
        <w:spacing w:afterLines="100" w:after="240"/>
        <w:rPr>
          <w:rFonts w:ascii="Aptos" w:hAnsi="Aptos"/>
          <w:color w:val="000000"/>
        </w:rPr>
      </w:pPr>
      <w:hyperlink r:id="rId71" w:history="1">
        <w:proofErr w:type="spellStart"/>
        <w:r w:rsidRPr="003128FF">
          <w:rPr>
            <w:rStyle w:val="csl-entry"/>
            <w:rFonts w:ascii="Aptos" w:hAnsi="Aptos"/>
            <w:color w:val="000000"/>
          </w:rPr>
          <w:t>Battaglioli</w:t>
        </w:r>
        <w:proofErr w:type="spellEnd"/>
        <w:r w:rsidRPr="003128FF">
          <w:rPr>
            <w:rStyle w:val="csl-entry"/>
            <w:rFonts w:ascii="Aptos" w:hAnsi="Aptos"/>
            <w:color w:val="000000"/>
          </w:rPr>
          <w:t xml:space="preserve">, E.J. </w:t>
        </w:r>
        <w:r w:rsidRPr="003128FF">
          <w:rPr>
            <w:rStyle w:val="csl-entry"/>
            <w:rFonts w:ascii="Aptos" w:hAnsi="Aptos"/>
            <w:i/>
            <w:iCs/>
            <w:color w:val="000000"/>
          </w:rPr>
          <w:t>et al.</w:t>
        </w:r>
        <w:r w:rsidRPr="003128FF">
          <w:rPr>
            <w:rStyle w:val="csl-entry"/>
            <w:rFonts w:ascii="Aptos" w:hAnsi="Aptos"/>
            <w:color w:val="000000"/>
          </w:rPr>
          <w:t xml:space="preserve"> (2018) “Clostridioides difficile uses amino acids associated with gut microbial dysbiosis in a subset of patients with diarrhea.,” </w:t>
        </w:r>
        <w:r w:rsidRPr="003128FF">
          <w:rPr>
            <w:rStyle w:val="csl-entry"/>
            <w:rFonts w:ascii="Aptos" w:hAnsi="Aptos"/>
            <w:i/>
            <w:iCs/>
            <w:color w:val="000000"/>
          </w:rPr>
          <w:t>Science Translational Medicine</w:t>
        </w:r>
        <w:r w:rsidRPr="003128FF">
          <w:rPr>
            <w:rStyle w:val="csl-entry"/>
            <w:rFonts w:ascii="Aptos" w:hAnsi="Aptos"/>
            <w:color w:val="000000"/>
          </w:rPr>
          <w:t>, 10(464). doi:10.1126/scitranslmed.aam7019.</w:t>
        </w:r>
      </w:hyperlink>
    </w:p>
    <w:p w14:paraId="53C229F8" w14:textId="77777777" w:rsidR="003128FF" w:rsidRPr="003128FF" w:rsidRDefault="003128FF" w:rsidP="003128FF">
      <w:pPr>
        <w:pStyle w:val="NormalWeb"/>
        <w:spacing w:afterLines="100" w:after="240"/>
        <w:rPr>
          <w:rFonts w:ascii="Aptos" w:hAnsi="Aptos"/>
          <w:color w:val="000000"/>
        </w:rPr>
      </w:pPr>
      <w:hyperlink r:id="rId72" w:history="1">
        <w:r w:rsidRPr="003128FF">
          <w:rPr>
            <w:rStyle w:val="csl-entry"/>
            <w:rFonts w:ascii="Aptos" w:hAnsi="Aptos"/>
            <w:color w:val="000000"/>
          </w:rPr>
          <w:t xml:space="preserve">Borriello, S.P. and Barclay, F.E. (1985) “Protection of hamsters against Clostridium difficile </w:t>
        </w:r>
        <w:proofErr w:type="spellStart"/>
        <w:r w:rsidRPr="003128FF">
          <w:rPr>
            <w:rStyle w:val="csl-entry"/>
            <w:rFonts w:ascii="Aptos" w:hAnsi="Aptos"/>
            <w:color w:val="000000"/>
          </w:rPr>
          <w:t>ileocaecitis</w:t>
        </w:r>
        <w:proofErr w:type="spellEnd"/>
        <w:r w:rsidRPr="003128FF">
          <w:rPr>
            <w:rStyle w:val="csl-entry"/>
            <w:rFonts w:ascii="Aptos" w:hAnsi="Aptos"/>
            <w:color w:val="000000"/>
          </w:rPr>
          <w:t xml:space="preserve"> by prior </w:t>
        </w:r>
        <w:proofErr w:type="spellStart"/>
        <w:r w:rsidRPr="003128FF">
          <w:rPr>
            <w:rStyle w:val="csl-entry"/>
            <w:rFonts w:ascii="Aptos" w:hAnsi="Aptos"/>
            <w:color w:val="000000"/>
          </w:rPr>
          <w:t>colonisation</w:t>
        </w:r>
        <w:proofErr w:type="spellEnd"/>
        <w:r w:rsidRPr="003128FF">
          <w:rPr>
            <w:rStyle w:val="csl-entry"/>
            <w:rFonts w:ascii="Aptos" w:hAnsi="Aptos"/>
            <w:color w:val="000000"/>
          </w:rPr>
          <w:t xml:space="preserve"> with non-pathogenic strains.,” </w:t>
        </w:r>
        <w:r w:rsidRPr="003128FF">
          <w:rPr>
            <w:rStyle w:val="csl-entry"/>
            <w:rFonts w:ascii="Aptos" w:hAnsi="Aptos"/>
            <w:i/>
            <w:iCs/>
            <w:color w:val="000000"/>
          </w:rPr>
          <w:t>Journal of Medical Microbiology</w:t>
        </w:r>
        <w:r w:rsidRPr="003128FF">
          <w:rPr>
            <w:rStyle w:val="csl-entry"/>
            <w:rFonts w:ascii="Aptos" w:hAnsi="Aptos"/>
            <w:color w:val="000000"/>
          </w:rPr>
          <w:t>, 19(3), pp. 339–350. doi:10.1099/00222615-19-3-339.</w:t>
        </w:r>
      </w:hyperlink>
    </w:p>
    <w:p w14:paraId="5AD0E230" w14:textId="77777777" w:rsidR="003128FF" w:rsidRPr="003128FF" w:rsidRDefault="003128FF" w:rsidP="003128FF">
      <w:pPr>
        <w:pStyle w:val="NormalWeb"/>
        <w:spacing w:afterLines="100" w:after="240"/>
        <w:rPr>
          <w:rFonts w:ascii="Aptos" w:hAnsi="Aptos"/>
          <w:color w:val="000000"/>
        </w:rPr>
      </w:pPr>
      <w:hyperlink r:id="rId73" w:history="1">
        <w:r w:rsidRPr="003128FF">
          <w:rPr>
            <w:rStyle w:val="csl-entry"/>
            <w:rFonts w:ascii="Aptos" w:hAnsi="Aptos"/>
            <w:color w:val="000000"/>
          </w:rPr>
          <w:t xml:space="preserve">Brochet, S. </w:t>
        </w:r>
        <w:r w:rsidRPr="003128FF">
          <w:rPr>
            <w:rStyle w:val="csl-entry"/>
            <w:rFonts w:ascii="Aptos" w:hAnsi="Aptos"/>
            <w:i/>
            <w:iCs/>
            <w:color w:val="000000"/>
          </w:rPr>
          <w:t>et al.</w:t>
        </w:r>
        <w:r w:rsidRPr="003128FF">
          <w:rPr>
            <w:rStyle w:val="csl-entry"/>
            <w:rFonts w:ascii="Aptos" w:hAnsi="Aptos"/>
            <w:color w:val="000000"/>
          </w:rPr>
          <w:t xml:space="preserve"> (2021) “Niche partitioning facilitates coexistence of closely related </w:t>
        </w:r>
        <w:proofErr w:type="gramStart"/>
        <w:r w:rsidRPr="003128FF">
          <w:rPr>
            <w:rStyle w:val="csl-entry"/>
            <w:rFonts w:ascii="Aptos" w:hAnsi="Aptos"/>
            <w:color w:val="000000"/>
          </w:rPr>
          <w:t>honey bee</w:t>
        </w:r>
        <w:proofErr w:type="gramEnd"/>
        <w:r w:rsidRPr="003128FF">
          <w:rPr>
            <w:rStyle w:val="csl-entry"/>
            <w:rFonts w:ascii="Aptos" w:hAnsi="Aptos"/>
            <w:color w:val="000000"/>
          </w:rPr>
          <w:t xml:space="preserve"> gut bacteria.,” </w:t>
        </w:r>
        <w:proofErr w:type="spellStart"/>
        <w:r w:rsidRPr="003128FF">
          <w:rPr>
            <w:rStyle w:val="csl-entry"/>
            <w:rFonts w:ascii="Aptos" w:hAnsi="Aptos"/>
            <w:i/>
            <w:iCs/>
            <w:color w:val="000000"/>
          </w:rPr>
          <w:t>eLife</w:t>
        </w:r>
        <w:proofErr w:type="spellEnd"/>
        <w:r w:rsidRPr="003128FF">
          <w:rPr>
            <w:rStyle w:val="csl-entry"/>
            <w:rFonts w:ascii="Aptos" w:hAnsi="Aptos"/>
            <w:color w:val="000000"/>
          </w:rPr>
          <w:t>, 10. doi:10.7554/eLife.68583.</w:t>
        </w:r>
      </w:hyperlink>
    </w:p>
    <w:p w14:paraId="1A823623" w14:textId="77777777" w:rsidR="003128FF" w:rsidRPr="003128FF" w:rsidRDefault="003128FF" w:rsidP="003128FF">
      <w:pPr>
        <w:pStyle w:val="NormalWeb"/>
        <w:spacing w:afterLines="100" w:after="240"/>
        <w:rPr>
          <w:rFonts w:ascii="Aptos" w:hAnsi="Aptos"/>
          <w:color w:val="000000"/>
        </w:rPr>
      </w:pPr>
      <w:hyperlink r:id="rId74" w:history="1">
        <w:r w:rsidRPr="003128FF">
          <w:rPr>
            <w:rStyle w:val="csl-entry"/>
            <w:rFonts w:ascii="Aptos" w:hAnsi="Aptos"/>
            <w:color w:val="000000"/>
          </w:rPr>
          <w:t xml:space="preserve">Buffie, C.G. and Pamer, E.G. (2013) “Microbiota-mediated colonization resistance against intestinal pathogens.,” </w:t>
        </w:r>
        <w:r w:rsidRPr="003128FF">
          <w:rPr>
            <w:rStyle w:val="csl-entry"/>
            <w:rFonts w:ascii="Aptos" w:hAnsi="Aptos"/>
            <w:i/>
            <w:iCs/>
            <w:color w:val="000000"/>
          </w:rPr>
          <w:t>Nature Reviews. Immunology</w:t>
        </w:r>
        <w:r w:rsidRPr="003128FF">
          <w:rPr>
            <w:rStyle w:val="csl-entry"/>
            <w:rFonts w:ascii="Aptos" w:hAnsi="Aptos"/>
            <w:color w:val="000000"/>
          </w:rPr>
          <w:t>, 13(11), pp. 790–801. doi:10.1038/nri3535.</w:t>
        </w:r>
      </w:hyperlink>
    </w:p>
    <w:p w14:paraId="1063A95F" w14:textId="77777777" w:rsidR="003128FF" w:rsidRPr="003128FF" w:rsidRDefault="003128FF" w:rsidP="003128FF">
      <w:pPr>
        <w:pStyle w:val="NormalWeb"/>
        <w:spacing w:afterLines="100" w:after="240"/>
        <w:rPr>
          <w:rFonts w:ascii="Aptos" w:hAnsi="Aptos"/>
          <w:color w:val="000000"/>
        </w:rPr>
      </w:pPr>
      <w:hyperlink r:id="rId75" w:history="1">
        <w:r w:rsidRPr="003128FF">
          <w:rPr>
            <w:rStyle w:val="csl-entry"/>
            <w:rFonts w:ascii="Aptos" w:hAnsi="Aptos"/>
            <w:color w:val="000000"/>
          </w:rPr>
          <w:t xml:space="preserve">Chesson, P. (2000) “Mechanisms of maintenance of species diversity,” </w:t>
        </w:r>
        <w:r w:rsidRPr="003128FF">
          <w:rPr>
            <w:rStyle w:val="csl-entry"/>
            <w:rFonts w:ascii="Aptos" w:hAnsi="Aptos"/>
            <w:i/>
            <w:iCs/>
            <w:color w:val="000000"/>
          </w:rPr>
          <w:t>Annual review of ecology and systematics</w:t>
        </w:r>
        <w:r w:rsidRPr="003128FF">
          <w:rPr>
            <w:rStyle w:val="csl-entry"/>
            <w:rFonts w:ascii="Aptos" w:hAnsi="Aptos"/>
            <w:color w:val="000000"/>
          </w:rPr>
          <w:t>, 31(1), pp. 343–366. doi:10.1146/annurev.ecolsys.31.1.343.</w:t>
        </w:r>
      </w:hyperlink>
    </w:p>
    <w:p w14:paraId="5A654E05" w14:textId="77777777" w:rsidR="003128FF" w:rsidRPr="003128FF" w:rsidRDefault="003128FF" w:rsidP="003128FF">
      <w:pPr>
        <w:pStyle w:val="NormalWeb"/>
        <w:spacing w:afterLines="100" w:after="240"/>
        <w:rPr>
          <w:rFonts w:ascii="Aptos" w:hAnsi="Aptos"/>
          <w:color w:val="000000"/>
        </w:rPr>
      </w:pPr>
      <w:hyperlink r:id="rId76" w:history="1">
        <w:r w:rsidRPr="003128FF">
          <w:rPr>
            <w:rStyle w:val="csl-entry"/>
            <w:rFonts w:ascii="Aptos" w:hAnsi="Aptos"/>
            <w:color w:val="000000"/>
          </w:rPr>
          <w:t xml:space="preserve">Collins, J. </w:t>
        </w:r>
        <w:r w:rsidRPr="003128FF">
          <w:rPr>
            <w:rStyle w:val="csl-entry"/>
            <w:rFonts w:ascii="Aptos" w:hAnsi="Aptos"/>
            <w:i/>
            <w:iCs/>
            <w:color w:val="000000"/>
          </w:rPr>
          <w:t>et al.</w:t>
        </w:r>
        <w:r w:rsidRPr="003128FF">
          <w:rPr>
            <w:rStyle w:val="csl-entry"/>
            <w:rFonts w:ascii="Aptos" w:hAnsi="Aptos"/>
            <w:color w:val="000000"/>
          </w:rPr>
          <w:t xml:space="preserve"> (2018) “Dietary trehalose enhances virulence of epidemic Clostridium difficile.,” </w:t>
        </w:r>
        <w:r w:rsidRPr="003128FF">
          <w:rPr>
            <w:rStyle w:val="csl-entry"/>
            <w:rFonts w:ascii="Aptos" w:hAnsi="Aptos"/>
            <w:i/>
            <w:iCs/>
            <w:color w:val="000000"/>
          </w:rPr>
          <w:t>Nature</w:t>
        </w:r>
        <w:r w:rsidRPr="003128FF">
          <w:rPr>
            <w:rStyle w:val="csl-entry"/>
            <w:rFonts w:ascii="Aptos" w:hAnsi="Aptos"/>
            <w:color w:val="000000"/>
          </w:rPr>
          <w:t>, 553(7688), pp. 291–294. doi:10.1038/nature25178.</w:t>
        </w:r>
      </w:hyperlink>
    </w:p>
    <w:p w14:paraId="7B6EEB9B" w14:textId="77777777" w:rsidR="003128FF" w:rsidRPr="003128FF" w:rsidRDefault="003128FF" w:rsidP="003128FF">
      <w:pPr>
        <w:pStyle w:val="NormalWeb"/>
        <w:spacing w:afterLines="100" w:after="240"/>
        <w:rPr>
          <w:rFonts w:ascii="Aptos" w:hAnsi="Aptos"/>
          <w:color w:val="000000"/>
        </w:rPr>
      </w:pPr>
      <w:hyperlink r:id="rId77" w:history="1">
        <w:r w:rsidRPr="003128FF">
          <w:rPr>
            <w:rStyle w:val="csl-entry"/>
            <w:rFonts w:ascii="Aptos" w:hAnsi="Aptos"/>
            <w:color w:val="000000"/>
          </w:rPr>
          <w:t xml:space="preserve">Dong, Q. </w:t>
        </w:r>
        <w:r w:rsidRPr="003128FF">
          <w:rPr>
            <w:rStyle w:val="csl-entry"/>
            <w:rFonts w:ascii="Aptos" w:hAnsi="Aptos"/>
            <w:i/>
            <w:iCs/>
            <w:color w:val="000000"/>
          </w:rPr>
          <w:t>et al.</w:t>
        </w:r>
        <w:r w:rsidRPr="003128FF">
          <w:rPr>
            <w:rStyle w:val="csl-entry"/>
            <w:rFonts w:ascii="Aptos" w:hAnsi="Aptos"/>
            <w:color w:val="000000"/>
          </w:rPr>
          <w:t xml:space="preserve"> (2023a) “Virulence and genomic diversity among clinical isolates of ST1 (BI/NAP1/027) Clostridioides difficile.,” </w:t>
        </w:r>
        <w:r w:rsidRPr="003128FF">
          <w:rPr>
            <w:rStyle w:val="csl-entry"/>
            <w:rFonts w:ascii="Aptos" w:hAnsi="Aptos"/>
            <w:i/>
            <w:iCs/>
            <w:color w:val="000000"/>
          </w:rPr>
          <w:t>Cell reports</w:t>
        </w:r>
        <w:r w:rsidRPr="003128FF">
          <w:rPr>
            <w:rStyle w:val="csl-entry"/>
            <w:rFonts w:ascii="Aptos" w:hAnsi="Aptos"/>
            <w:color w:val="000000"/>
          </w:rPr>
          <w:t>, 42(8), p. 112861. doi:10.1016/j.celrep.2023.112861.</w:t>
        </w:r>
      </w:hyperlink>
    </w:p>
    <w:p w14:paraId="695198AF" w14:textId="77777777" w:rsidR="003128FF" w:rsidRPr="003128FF" w:rsidRDefault="003128FF" w:rsidP="003128FF">
      <w:pPr>
        <w:pStyle w:val="NormalWeb"/>
        <w:spacing w:afterLines="100" w:after="240"/>
        <w:rPr>
          <w:rFonts w:ascii="Aptos" w:hAnsi="Aptos"/>
          <w:color w:val="000000"/>
        </w:rPr>
      </w:pPr>
      <w:hyperlink r:id="rId78" w:history="1">
        <w:r w:rsidRPr="003128FF">
          <w:rPr>
            <w:rStyle w:val="csl-entry"/>
            <w:rFonts w:ascii="Aptos" w:hAnsi="Aptos"/>
            <w:color w:val="000000"/>
          </w:rPr>
          <w:t xml:space="preserve">Dong, Q. </w:t>
        </w:r>
        <w:r w:rsidRPr="003128FF">
          <w:rPr>
            <w:rStyle w:val="csl-entry"/>
            <w:rFonts w:ascii="Aptos" w:hAnsi="Aptos"/>
            <w:i/>
            <w:iCs/>
            <w:color w:val="000000"/>
          </w:rPr>
          <w:t>et al.</w:t>
        </w:r>
        <w:r w:rsidRPr="003128FF">
          <w:rPr>
            <w:rStyle w:val="csl-entry"/>
            <w:rFonts w:ascii="Aptos" w:hAnsi="Aptos"/>
            <w:color w:val="000000"/>
          </w:rPr>
          <w:t xml:space="preserve"> (2023b) “Virulence and genomic diversity among clinical isolates of ST1 (BI/NAP1/027) Clostridioides difficile.,” </w:t>
        </w:r>
        <w:proofErr w:type="spellStart"/>
        <w:r w:rsidRPr="003128FF">
          <w:rPr>
            <w:rStyle w:val="csl-entry"/>
            <w:rFonts w:ascii="Aptos" w:hAnsi="Aptos"/>
            <w:i/>
            <w:iCs/>
            <w:color w:val="000000"/>
          </w:rPr>
          <w:t>BioRxiv</w:t>
        </w:r>
        <w:proofErr w:type="spellEnd"/>
        <w:r w:rsidRPr="003128FF">
          <w:rPr>
            <w:rStyle w:val="csl-entry"/>
            <w:rFonts w:ascii="Aptos" w:hAnsi="Aptos"/>
            <w:color w:val="000000"/>
          </w:rPr>
          <w:t xml:space="preserve"> [Preprint]. doi:10.1101/2023.01.12.523823.</w:t>
        </w:r>
      </w:hyperlink>
    </w:p>
    <w:p w14:paraId="7A5B69AE" w14:textId="77777777" w:rsidR="003128FF" w:rsidRPr="003128FF" w:rsidRDefault="003128FF" w:rsidP="003128FF">
      <w:pPr>
        <w:pStyle w:val="NormalWeb"/>
        <w:spacing w:afterLines="100" w:after="240"/>
        <w:rPr>
          <w:rFonts w:ascii="Aptos" w:hAnsi="Aptos"/>
          <w:color w:val="000000"/>
        </w:rPr>
      </w:pPr>
      <w:hyperlink r:id="rId79" w:history="1">
        <w:r w:rsidRPr="003128FF">
          <w:rPr>
            <w:rStyle w:val="csl-entry"/>
            <w:rFonts w:ascii="Aptos" w:hAnsi="Aptos"/>
            <w:color w:val="000000"/>
          </w:rPr>
          <w:t xml:space="preserve">Dong, Q. </w:t>
        </w:r>
        <w:r w:rsidRPr="003128FF">
          <w:rPr>
            <w:rStyle w:val="csl-entry"/>
            <w:rFonts w:ascii="Aptos" w:hAnsi="Aptos"/>
            <w:i/>
            <w:iCs/>
            <w:color w:val="000000"/>
          </w:rPr>
          <w:t>et al.</w:t>
        </w:r>
        <w:r w:rsidRPr="003128FF">
          <w:rPr>
            <w:rStyle w:val="csl-entry"/>
            <w:rFonts w:ascii="Aptos" w:hAnsi="Aptos"/>
            <w:color w:val="000000"/>
          </w:rPr>
          <w:t xml:space="preserve"> (2025) “Protection against Clostridioides difficile disease by a naturally avirulent strain.,” </w:t>
        </w:r>
        <w:r w:rsidRPr="003128FF">
          <w:rPr>
            <w:rStyle w:val="csl-entry"/>
            <w:rFonts w:ascii="Aptos" w:hAnsi="Aptos"/>
            <w:i/>
            <w:iCs/>
            <w:color w:val="000000"/>
          </w:rPr>
          <w:t>Cell Host &amp; Microbe</w:t>
        </w:r>
        <w:r w:rsidRPr="003128FF">
          <w:rPr>
            <w:rStyle w:val="csl-entry"/>
            <w:rFonts w:ascii="Aptos" w:hAnsi="Aptos"/>
            <w:color w:val="000000"/>
          </w:rPr>
          <w:t>, 33(1), pp. 59-70.e4. doi:10.1016/j.chom.2024.11.003.</w:t>
        </w:r>
      </w:hyperlink>
    </w:p>
    <w:p w14:paraId="1FF23EEF" w14:textId="77777777" w:rsidR="003128FF" w:rsidRPr="003128FF" w:rsidRDefault="003128FF" w:rsidP="003128FF">
      <w:pPr>
        <w:pStyle w:val="NormalWeb"/>
        <w:spacing w:afterLines="100" w:after="240"/>
        <w:rPr>
          <w:rFonts w:ascii="Aptos" w:hAnsi="Aptos"/>
          <w:color w:val="000000"/>
        </w:rPr>
      </w:pPr>
      <w:hyperlink r:id="rId80" w:history="1">
        <w:r w:rsidRPr="003128FF">
          <w:rPr>
            <w:rStyle w:val="csl-entry"/>
            <w:rFonts w:ascii="Aptos" w:hAnsi="Aptos"/>
            <w:color w:val="000000"/>
          </w:rPr>
          <w:t xml:space="preserve">Dubberke, E.R. and Olsen, M.A. (2012) “Burden of Clostridium difficile on the healthcare system.,” </w:t>
        </w:r>
        <w:r w:rsidRPr="003128FF">
          <w:rPr>
            <w:rStyle w:val="csl-entry"/>
            <w:rFonts w:ascii="Aptos" w:hAnsi="Aptos"/>
            <w:i/>
            <w:iCs/>
            <w:color w:val="000000"/>
          </w:rPr>
          <w:t>Clinical Infectious Diseases</w:t>
        </w:r>
        <w:r w:rsidRPr="003128FF">
          <w:rPr>
            <w:rStyle w:val="csl-entry"/>
            <w:rFonts w:ascii="Aptos" w:hAnsi="Aptos"/>
            <w:color w:val="000000"/>
          </w:rPr>
          <w:t>, 55 Suppl 2(Suppl 2), pp. S88-92. doi:10.1093/</w:t>
        </w:r>
        <w:proofErr w:type="spellStart"/>
        <w:r w:rsidRPr="003128FF">
          <w:rPr>
            <w:rStyle w:val="csl-entry"/>
            <w:rFonts w:ascii="Aptos" w:hAnsi="Aptos"/>
            <w:color w:val="000000"/>
          </w:rPr>
          <w:t>cid</w:t>
        </w:r>
        <w:proofErr w:type="spellEnd"/>
        <w:r w:rsidRPr="003128FF">
          <w:rPr>
            <w:rStyle w:val="csl-entry"/>
            <w:rFonts w:ascii="Aptos" w:hAnsi="Aptos"/>
            <w:color w:val="000000"/>
          </w:rPr>
          <w:t>/cis335.</w:t>
        </w:r>
      </w:hyperlink>
    </w:p>
    <w:p w14:paraId="2B6520EE" w14:textId="77777777" w:rsidR="003128FF" w:rsidRPr="003128FF" w:rsidRDefault="003128FF" w:rsidP="003128FF">
      <w:pPr>
        <w:pStyle w:val="NormalWeb"/>
        <w:spacing w:afterLines="100" w:after="240"/>
        <w:rPr>
          <w:rFonts w:ascii="Aptos" w:hAnsi="Aptos"/>
          <w:color w:val="000000"/>
        </w:rPr>
      </w:pPr>
      <w:hyperlink r:id="rId81" w:history="1">
        <w:r w:rsidRPr="003128FF">
          <w:rPr>
            <w:rStyle w:val="csl-entry"/>
            <w:rFonts w:ascii="Aptos" w:hAnsi="Aptos"/>
            <w:color w:val="000000"/>
          </w:rPr>
          <w:t xml:space="preserve">Gerding, D.N. </w:t>
        </w:r>
        <w:r w:rsidRPr="003128FF">
          <w:rPr>
            <w:rStyle w:val="csl-entry"/>
            <w:rFonts w:ascii="Aptos" w:hAnsi="Aptos"/>
            <w:i/>
            <w:iCs/>
            <w:color w:val="000000"/>
          </w:rPr>
          <w:t>et al.</w:t>
        </w:r>
        <w:r w:rsidRPr="003128FF">
          <w:rPr>
            <w:rStyle w:val="csl-entry"/>
            <w:rFonts w:ascii="Aptos" w:hAnsi="Aptos"/>
            <w:color w:val="000000"/>
          </w:rPr>
          <w:t xml:space="preserve"> (2015) “Administration of spores of nontoxigenic Clostridium difficile strain M3 for prevention of recurrent C. difficile infection: a randomized clinical trial.,” </w:t>
        </w:r>
        <w:r w:rsidRPr="003128FF">
          <w:rPr>
            <w:rStyle w:val="csl-entry"/>
            <w:rFonts w:ascii="Aptos" w:hAnsi="Aptos"/>
            <w:i/>
            <w:iCs/>
            <w:color w:val="000000"/>
          </w:rPr>
          <w:t>The Journal of the American Medical Association</w:t>
        </w:r>
        <w:r w:rsidRPr="003128FF">
          <w:rPr>
            <w:rStyle w:val="csl-entry"/>
            <w:rFonts w:ascii="Aptos" w:hAnsi="Aptos"/>
            <w:color w:val="000000"/>
          </w:rPr>
          <w:t>, 313(17), pp. 1719–1727. doi:10.1001/jama.2015.3725.</w:t>
        </w:r>
      </w:hyperlink>
    </w:p>
    <w:p w14:paraId="61AD1696" w14:textId="77777777" w:rsidR="003128FF" w:rsidRPr="003128FF" w:rsidRDefault="003128FF" w:rsidP="003128FF">
      <w:pPr>
        <w:pStyle w:val="NormalWeb"/>
        <w:spacing w:afterLines="100" w:after="240"/>
        <w:rPr>
          <w:rFonts w:ascii="Aptos" w:hAnsi="Aptos"/>
          <w:color w:val="000000"/>
        </w:rPr>
      </w:pPr>
      <w:hyperlink r:id="rId82" w:history="1">
        <w:r w:rsidRPr="003128FF">
          <w:rPr>
            <w:rStyle w:val="csl-entry"/>
            <w:rFonts w:ascii="Aptos" w:hAnsi="Aptos"/>
            <w:color w:val="000000"/>
          </w:rPr>
          <w:t xml:space="preserve">Grainger, T.N. </w:t>
        </w:r>
        <w:r w:rsidRPr="003128FF">
          <w:rPr>
            <w:rStyle w:val="csl-entry"/>
            <w:rFonts w:ascii="Aptos" w:hAnsi="Aptos"/>
            <w:i/>
            <w:iCs/>
            <w:color w:val="000000"/>
          </w:rPr>
          <w:t>et al.</w:t>
        </w:r>
        <w:r w:rsidRPr="003128FF">
          <w:rPr>
            <w:rStyle w:val="csl-entry"/>
            <w:rFonts w:ascii="Aptos" w:hAnsi="Aptos"/>
            <w:color w:val="000000"/>
          </w:rPr>
          <w:t xml:space="preserve"> (2019) “Applying modern coexistence theory to priority effects.,” </w:t>
        </w:r>
        <w:r w:rsidRPr="003128FF">
          <w:rPr>
            <w:rStyle w:val="csl-entry"/>
            <w:rFonts w:ascii="Aptos" w:hAnsi="Aptos"/>
            <w:i/>
            <w:iCs/>
            <w:color w:val="000000"/>
          </w:rPr>
          <w:t>Proceedings of the National Academy of Sciences of the United States of America</w:t>
        </w:r>
        <w:r w:rsidRPr="003128FF">
          <w:rPr>
            <w:rStyle w:val="csl-entry"/>
            <w:rFonts w:ascii="Aptos" w:hAnsi="Aptos"/>
            <w:color w:val="000000"/>
          </w:rPr>
          <w:t>, 116(13), pp. 6205–6210. doi:10.1073/pnas.1803122116.</w:t>
        </w:r>
      </w:hyperlink>
    </w:p>
    <w:p w14:paraId="48486750" w14:textId="77777777" w:rsidR="003128FF" w:rsidRPr="003128FF" w:rsidRDefault="003128FF" w:rsidP="003128FF">
      <w:pPr>
        <w:pStyle w:val="NormalWeb"/>
        <w:spacing w:afterLines="100" w:after="240"/>
        <w:rPr>
          <w:rFonts w:ascii="Aptos" w:hAnsi="Aptos"/>
          <w:color w:val="000000"/>
        </w:rPr>
      </w:pPr>
      <w:hyperlink r:id="rId83" w:history="1">
        <w:r w:rsidRPr="003128FF">
          <w:rPr>
            <w:rStyle w:val="csl-entry"/>
            <w:rFonts w:ascii="Aptos" w:hAnsi="Aptos"/>
            <w:color w:val="000000"/>
          </w:rPr>
          <w:t xml:space="preserve">Ho, P.-Y. </w:t>
        </w:r>
        <w:r w:rsidRPr="003128FF">
          <w:rPr>
            <w:rStyle w:val="csl-entry"/>
            <w:rFonts w:ascii="Aptos" w:hAnsi="Aptos"/>
            <w:i/>
            <w:iCs/>
            <w:color w:val="000000"/>
          </w:rPr>
          <w:t>et al.</w:t>
        </w:r>
        <w:r w:rsidRPr="003128FF">
          <w:rPr>
            <w:rStyle w:val="csl-entry"/>
            <w:rFonts w:ascii="Aptos" w:hAnsi="Aptos"/>
            <w:color w:val="000000"/>
          </w:rPr>
          <w:t xml:space="preserve"> (2024) “Resource competition predicts assembly of gut bacterial communities in vitro.,” </w:t>
        </w:r>
        <w:r w:rsidRPr="003128FF">
          <w:rPr>
            <w:rStyle w:val="csl-entry"/>
            <w:rFonts w:ascii="Aptos" w:hAnsi="Aptos"/>
            <w:i/>
            <w:iCs/>
            <w:color w:val="000000"/>
          </w:rPr>
          <w:t>Nature Microbiology</w:t>
        </w:r>
        <w:r w:rsidRPr="003128FF">
          <w:rPr>
            <w:rStyle w:val="csl-entry"/>
            <w:rFonts w:ascii="Aptos" w:hAnsi="Aptos"/>
            <w:color w:val="000000"/>
          </w:rPr>
          <w:t>, 9(4), pp. 1036–1048. doi:10.1038/s41564-024-01625-w.</w:t>
        </w:r>
      </w:hyperlink>
    </w:p>
    <w:p w14:paraId="1CB03458" w14:textId="77777777" w:rsidR="003128FF" w:rsidRPr="003128FF" w:rsidRDefault="003128FF" w:rsidP="003128FF">
      <w:pPr>
        <w:pStyle w:val="NormalWeb"/>
        <w:spacing w:afterLines="100" w:after="240"/>
        <w:rPr>
          <w:rFonts w:ascii="Aptos" w:hAnsi="Aptos"/>
          <w:color w:val="000000"/>
        </w:rPr>
      </w:pPr>
      <w:hyperlink r:id="rId84" w:history="1">
        <w:r w:rsidRPr="003128FF">
          <w:rPr>
            <w:rStyle w:val="csl-entry"/>
            <w:rFonts w:ascii="Aptos" w:hAnsi="Aptos"/>
            <w:color w:val="000000"/>
          </w:rPr>
          <w:t xml:space="preserve">Jain, C. </w:t>
        </w:r>
        <w:r w:rsidRPr="003128FF">
          <w:rPr>
            <w:rStyle w:val="csl-entry"/>
            <w:rFonts w:ascii="Aptos" w:hAnsi="Aptos"/>
            <w:i/>
            <w:iCs/>
            <w:color w:val="000000"/>
          </w:rPr>
          <w:t>et al.</w:t>
        </w:r>
        <w:r w:rsidRPr="003128FF">
          <w:rPr>
            <w:rStyle w:val="csl-entry"/>
            <w:rFonts w:ascii="Aptos" w:hAnsi="Aptos"/>
            <w:color w:val="000000"/>
          </w:rPr>
          <w:t xml:space="preserve"> (2018) “High throughput ANI analysis of 90K prokaryotic genomes reveals clear species boundaries.,” </w:t>
        </w:r>
        <w:r w:rsidRPr="003128FF">
          <w:rPr>
            <w:rStyle w:val="csl-entry"/>
            <w:rFonts w:ascii="Aptos" w:hAnsi="Aptos"/>
            <w:i/>
            <w:iCs/>
            <w:color w:val="000000"/>
          </w:rPr>
          <w:t>Nature Communications</w:t>
        </w:r>
        <w:r w:rsidRPr="003128FF">
          <w:rPr>
            <w:rStyle w:val="csl-entry"/>
            <w:rFonts w:ascii="Aptos" w:hAnsi="Aptos"/>
            <w:color w:val="000000"/>
          </w:rPr>
          <w:t>, 9(1), p. 5114. doi:10.1038/s41467-018-07641-9.</w:t>
        </w:r>
      </w:hyperlink>
    </w:p>
    <w:p w14:paraId="2ED4C400" w14:textId="77777777" w:rsidR="003128FF" w:rsidRPr="003128FF" w:rsidRDefault="003128FF" w:rsidP="003128FF">
      <w:pPr>
        <w:pStyle w:val="NormalWeb"/>
        <w:spacing w:afterLines="100" w:after="240"/>
        <w:rPr>
          <w:rFonts w:ascii="Aptos" w:hAnsi="Aptos"/>
          <w:color w:val="000000"/>
        </w:rPr>
      </w:pPr>
      <w:hyperlink r:id="rId85" w:history="1">
        <w:proofErr w:type="spellStart"/>
        <w:r w:rsidRPr="003128FF">
          <w:rPr>
            <w:rStyle w:val="csl-entry"/>
            <w:rFonts w:ascii="Aptos" w:hAnsi="Aptos"/>
            <w:color w:val="000000"/>
          </w:rPr>
          <w:t>Jenior</w:t>
        </w:r>
        <w:proofErr w:type="spellEnd"/>
        <w:r w:rsidRPr="003128FF">
          <w:rPr>
            <w:rStyle w:val="csl-entry"/>
            <w:rFonts w:ascii="Aptos" w:hAnsi="Aptos"/>
            <w:color w:val="000000"/>
          </w:rPr>
          <w:t xml:space="preserve">, M.L. </w:t>
        </w:r>
        <w:r w:rsidRPr="003128FF">
          <w:rPr>
            <w:rStyle w:val="csl-entry"/>
            <w:rFonts w:ascii="Aptos" w:hAnsi="Aptos"/>
            <w:i/>
            <w:iCs/>
            <w:color w:val="000000"/>
          </w:rPr>
          <w:t>et al.</w:t>
        </w:r>
        <w:r w:rsidRPr="003128FF">
          <w:rPr>
            <w:rStyle w:val="csl-entry"/>
            <w:rFonts w:ascii="Aptos" w:hAnsi="Aptos"/>
            <w:color w:val="000000"/>
          </w:rPr>
          <w:t xml:space="preserve"> (2017) “Clostridium difficile Colonizes Alternative Nutrient Niches during Infection across Distinct Murine Gut Microbiomes.,” </w:t>
        </w:r>
        <w:proofErr w:type="spellStart"/>
        <w:r w:rsidRPr="003128FF">
          <w:rPr>
            <w:rStyle w:val="csl-entry"/>
            <w:rFonts w:ascii="Aptos" w:hAnsi="Aptos"/>
            <w:i/>
            <w:iCs/>
            <w:color w:val="000000"/>
          </w:rPr>
          <w:t>mSystems</w:t>
        </w:r>
        <w:proofErr w:type="spellEnd"/>
        <w:r w:rsidRPr="003128FF">
          <w:rPr>
            <w:rStyle w:val="csl-entry"/>
            <w:rFonts w:ascii="Aptos" w:hAnsi="Aptos"/>
            <w:color w:val="000000"/>
          </w:rPr>
          <w:t>, 2(4). doi:10.1128/mSystems.00063-17.</w:t>
        </w:r>
      </w:hyperlink>
    </w:p>
    <w:p w14:paraId="336FF809" w14:textId="77777777" w:rsidR="003128FF" w:rsidRPr="003128FF" w:rsidRDefault="003128FF" w:rsidP="003128FF">
      <w:pPr>
        <w:pStyle w:val="NormalWeb"/>
        <w:spacing w:afterLines="100" w:after="240"/>
        <w:rPr>
          <w:rFonts w:ascii="Aptos" w:hAnsi="Aptos"/>
          <w:color w:val="000000"/>
        </w:rPr>
      </w:pPr>
      <w:hyperlink r:id="rId86" w:history="1">
        <w:r w:rsidRPr="003128FF">
          <w:rPr>
            <w:rStyle w:val="csl-entry"/>
            <w:rFonts w:ascii="Aptos" w:hAnsi="Aptos"/>
            <w:color w:val="000000"/>
          </w:rPr>
          <w:t xml:space="preserve">Jump, R.L. (2013) “Clostridium difficile infection in older adults.,” </w:t>
        </w:r>
        <w:r w:rsidRPr="003128FF">
          <w:rPr>
            <w:rStyle w:val="csl-entry"/>
            <w:rFonts w:ascii="Aptos" w:hAnsi="Aptos"/>
            <w:i/>
            <w:iCs/>
            <w:color w:val="000000"/>
          </w:rPr>
          <w:t>Aging Health</w:t>
        </w:r>
        <w:r w:rsidRPr="003128FF">
          <w:rPr>
            <w:rStyle w:val="csl-entry"/>
            <w:rFonts w:ascii="Aptos" w:hAnsi="Aptos"/>
            <w:color w:val="000000"/>
          </w:rPr>
          <w:t>, 9(4), pp. 403–414. doi:10.2217/ahe.13.37.</w:t>
        </w:r>
      </w:hyperlink>
    </w:p>
    <w:p w14:paraId="698B4869" w14:textId="77777777" w:rsidR="003128FF" w:rsidRPr="003128FF" w:rsidRDefault="003128FF" w:rsidP="003128FF">
      <w:pPr>
        <w:pStyle w:val="NormalWeb"/>
        <w:spacing w:afterLines="100" w:after="240"/>
        <w:rPr>
          <w:rFonts w:ascii="Aptos" w:hAnsi="Aptos"/>
          <w:color w:val="000000"/>
        </w:rPr>
      </w:pPr>
      <w:hyperlink r:id="rId87" w:history="1">
        <w:r w:rsidRPr="003128FF">
          <w:rPr>
            <w:rStyle w:val="csl-entry"/>
            <w:rFonts w:ascii="Aptos" w:hAnsi="Aptos"/>
            <w:color w:val="000000"/>
          </w:rPr>
          <w:t xml:space="preserve">Kelly, C.P. and LaMont, J.T. (2008) “Clostridium difficile--more difficult than ever.,” </w:t>
        </w:r>
        <w:r w:rsidRPr="003128FF">
          <w:rPr>
            <w:rStyle w:val="csl-entry"/>
            <w:rFonts w:ascii="Aptos" w:hAnsi="Aptos"/>
            <w:i/>
            <w:iCs/>
            <w:color w:val="000000"/>
          </w:rPr>
          <w:t>The New England Journal of Medicine</w:t>
        </w:r>
        <w:r w:rsidRPr="003128FF">
          <w:rPr>
            <w:rStyle w:val="csl-entry"/>
            <w:rFonts w:ascii="Aptos" w:hAnsi="Aptos"/>
            <w:color w:val="000000"/>
          </w:rPr>
          <w:t>, 359(18), pp. 1932–1940. doi:10.1056/NEJMra0707500.</w:t>
        </w:r>
      </w:hyperlink>
    </w:p>
    <w:p w14:paraId="1F65C780" w14:textId="77777777" w:rsidR="003128FF" w:rsidRPr="003128FF" w:rsidRDefault="003128FF" w:rsidP="003128FF">
      <w:pPr>
        <w:pStyle w:val="NormalWeb"/>
        <w:spacing w:afterLines="100" w:after="240"/>
        <w:rPr>
          <w:rFonts w:ascii="Aptos" w:hAnsi="Aptos"/>
          <w:color w:val="000000"/>
        </w:rPr>
      </w:pPr>
      <w:hyperlink r:id="rId88" w:history="1">
        <w:r w:rsidRPr="003128FF">
          <w:rPr>
            <w:rStyle w:val="csl-entry"/>
            <w:rFonts w:ascii="Aptos" w:hAnsi="Aptos"/>
            <w:color w:val="000000"/>
          </w:rPr>
          <w:t xml:space="preserve">Khan, I. </w:t>
        </w:r>
        <w:r w:rsidRPr="003128FF">
          <w:rPr>
            <w:rStyle w:val="csl-entry"/>
            <w:rFonts w:ascii="Aptos" w:hAnsi="Aptos"/>
            <w:i/>
            <w:iCs/>
            <w:color w:val="000000"/>
          </w:rPr>
          <w:t>et al.</w:t>
        </w:r>
        <w:r w:rsidRPr="003128FF">
          <w:rPr>
            <w:rStyle w:val="csl-entry"/>
            <w:rFonts w:ascii="Aptos" w:hAnsi="Aptos"/>
            <w:color w:val="000000"/>
          </w:rPr>
          <w:t xml:space="preserve"> (2021) “Mechanism of the gut microbiota colonization resistance and enteric pathogen infection.,” </w:t>
        </w:r>
        <w:r w:rsidRPr="003128FF">
          <w:rPr>
            <w:rStyle w:val="csl-entry"/>
            <w:rFonts w:ascii="Aptos" w:hAnsi="Aptos"/>
            <w:i/>
            <w:iCs/>
            <w:color w:val="000000"/>
          </w:rPr>
          <w:t>Frontiers in cellular and infection microbiology</w:t>
        </w:r>
        <w:r w:rsidRPr="003128FF">
          <w:rPr>
            <w:rStyle w:val="csl-entry"/>
            <w:rFonts w:ascii="Aptos" w:hAnsi="Aptos"/>
            <w:color w:val="000000"/>
          </w:rPr>
          <w:t>, 11, p. 716299. doi:10.3389/fcimb.2021.716299.</w:t>
        </w:r>
      </w:hyperlink>
    </w:p>
    <w:p w14:paraId="1EA34DCC" w14:textId="77777777" w:rsidR="003128FF" w:rsidRPr="003128FF" w:rsidRDefault="003128FF" w:rsidP="003128FF">
      <w:pPr>
        <w:pStyle w:val="NormalWeb"/>
        <w:spacing w:afterLines="100" w:after="240"/>
        <w:rPr>
          <w:rFonts w:ascii="Aptos" w:hAnsi="Aptos"/>
          <w:color w:val="000000"/>
        </w:rPr>
      </w:pPr>
      <w:hyperlink r:id="rId89" w:history="1">
        <w:r w:rsidRPr="003128FF">
          <w:rPr>
            <w:rStyle w:val="csl-entry"/>
            <w:rFonts w:ascii="Aptos" w:hAnsi="Aptos"/>
            <w:color w:val="000000"/>
          </w:rPr>
          <w:t xml:space="preserve">Leslie, J.L. </w:t>
        </w:r>
        <w:r w:rsidRPr="003128FF">
          <w:rPr>
            <w:rStyle w:val="csl-entry"/>
            <w:rFonts w:ascii="Aptos" w:hAnsi="Aptos"/>
            <w:i/>
            <w:iCs/>
            <w:color w:val="000000"/>
          </w:rPr>
          <w:t>et al.</w:t>
        </w:r>
        <w:r w:rsidRPr="003128FF">
          <w:rPr>
            <w:rStyle w:val="csl-entry"/>
            <w:rFonts w:ascii="Aptos" w:hAnsi="Aptos"/>
            <w:color w:val="000000"/>
          </w:rPr>
          <w:t xml:space="preserve"> (2021) “Protection from Lethal Clostridioides difficile Infection via Intraspecies Competition for </w:t>
        </w:r>
        <w:proofErr w:type="spellStart"/>
        <w:r w:rsidRPr="003128FF">
          <w:rPr>
            <w:rStyle w:val="csl-entry"/>
            <w:rFonts w:ascii="Aptos" w:hAnsi="Aptos"/>
            <w:color w:val="000000"/>
          </w:rPr>
          <w:t>Cogerminant</w:t>
        </w:r>
        <w:proofErr w:type="spellEnd"/>
        <w:r w:rsidRPr="003128FF">
          <w:rPr>
            <w:rStyle w:val="csl-entry"/>
            <w:rFonts w:ascii="Aptos" w:hAnsi="Aptos"/>
            <w:color w:val="000000"/>
          </w:rPr>
          <w:t xml:space="preserve">.,” </w:t>
        </w:r>
        <w:r w:rsidRPr="003128FF">
          <w:rPr>
            <w:rStyle w:val="csl-entry"/>
            <w:rFonts w:ascii="Aptos" w:hAnsi="Aptos"/>
            <w:i/>
            <w:iCs/>
            <w:color w:val="000000"/>
          </w:rPr>
          <w:t>mBio</w:t>
        </w:r>
        <w:r w:rsidRPr="003128FF">
          <w:rPr>
            <w:rStyle w:val="csl-entry"/>
            <w:rFonts w:ascii="Aptos" w:hAnsi="Aptos"/>
            <w:color w:val="000000"/>
          </w:rPr>
          <w:t>, 12(2). doi:10.1128/mBio.00522-21.</w:t>
        </w:r>
      </w:hyperlink>
    </w:p>
    <w:p w14:paraId="79EC4BD8" w14:textId="77777777" w:rsidR="003128FF" w:rsidRPr="003128FF" w:rsidRDefault="003128FF" w:rsidP="003128FF">
      <w:pPr>
        <w:pStyle w:val="NormalWeb"/>
        <w:spacing w:afterLines="100" w:after="240"/>
        <w:rPr>
          <w:rFonts w:ascii="Aptos" w:hAnsi="Aptos"/>
          <w:color w:val="000000"/>
        </w:rPr>
      </w:pPr>
      <w:hyperlink r:id="rId90" w:history="1">
        <w:proofErr w:type="spellStart"/>
        <w:r w:rsidRPr="003128FF">
          <w:rPr>
            <w:rStyle w:val="csl-entry"/>
            <w:rFonts w:ascii="Aptos" w:hAnsi="Aptos"/>
            <w:color w:val="000000"/>
          </w:rPr>
          <w:t>Liubakka</w:t>
        </w:r>
        <w:proofErr w:type="spellEnd"/>
        <w:r w:rsidRPr="003128FF">
          <w:rPr>
            <w:rStyle w:val="csl-entry"/>
            <w:rFonts w:ascii="Aptos" w:hAnsi="Aptos"/>
            <w:color w:val="000000"/>
          </w:rPr>
          <w:t xml:space="preserve">, A. and Vaughn, B.P. (2016) “Clostridium difficile Infection and Fecal Microbiota Transplant.,” </w:t>
        </w:r>
        <w:r w:rsidRPr="003128FF">
          <w:rPr>
            <w:rStyle w:val="csl-entry"/>
            <w:rFonts w:ascii="Aptos" w:hAnsi="Aptos"/>
            <w:i/>
            <w:iCs/>
            <w:color w:val="000000"/>
          </w:rPr>
          <w:t>AACN Advanced Critical Care</w:t>
        </w:r>
        <w:r w:rsidRPr="003128FF">
          <w:rPr>
            <w:rStyle w:val="csl-entry"/>
            <w:rFonts w:ascii="Aptos" w:hAnsi="Aptos"/>
            <w:color w:val="000000"/>
          </w:rPr>
          <w:t>, 27(3), pp. 324–337. doi:10.4037/aacnacc2016703.</w:t>
        </w:r>
      </w:hyperlink>
    </w:p>
    <w:p w14:paraId="79269B45" w14:textId="77777777" w:rsidR="003128FF" w:rsidRPr="003128FF" w:rsidRDefault="003128FF" w:rsidP="003128FF">
      <w:pPr>
        <w:pStyle w:val="NormalWeb"/>
        <w:spacing w:afterLines="100" w:after="240"/>
        <w:rPr>
          <w:rFonts w:ascii="Aptos" w:hAnsi="Aptos"/>
          <w:color w:val="000000"/>
        </w:rPr>
      </w:pPr>
      <w:hyperlink r:id="rId91" w:history="1">
        <w:r w:rsidRPr="003128FF">
          <w:rPr>
            <w:rStyle w:val="csl-entry"/>
            <w:rFonts w:ascii="Aptos" w:hAnsi="Aptos"/>
            <w:color w:val="000000"/>
          </w:rPr>
          <w:t xml:space="preserve">McDonald, L.C. </w:t>
        </w:r>
        <w:r w:rsidRPr="003128FF">
          <w:rPr>
            <w:rStyle w:val="csl-entry"/>
            <w:rFonts w:ascii="Aptos" w:hAnsi="Aptos"/>
            <w:i/>
            <w:iCs/>
            <w:color w:val="000000"/>
          </w:rPr>
          <w:t>et al.</w:t>
        </w:r>
        <w:r w:rsidRPr="003128FF">
          <w:rPr>
            <w:rStyle w:val="csl-entry"/>
            <w:rFonts w:ascii="Aptos" w:hAnsi="Aptos"/>
            <w:color w:val="000000"/>
          </w:rPr>
          <w:t xml:space="preserve"> (2018) “Clinical Practice Guidelines for Clostridium difficile Infection in Adults and Children: 2017 Update by the Infectious Diseases Society of America (IDSA) </w:t>
        </w:r>
        <w:r w:rsidRPr="003128FF">
          <w:rPr>
            <w:rStyle w:val="csl-entry"/>
            <w:rFonts w:ascii="Aptos" w:hAnsi="Aptos"/>
            <w:color w:val="000000"/>
          </w:rPr>
          <w:lastRenderedPageBreak/>
          <w:t xml:space="preserve">and Society for Healthcare Epidemiology of America (SHEA).,” </w:t>
        </w:r>
        <w:r w:rsidRPr="003128FF">
          <w:rPr>
            <w:rStyle w:val="csl-entry"/>
            <w:rFonts w:ascii="Aptos" w:hAnsi="Aptos"/>
            <w:i/>
            <w:iCs/>
            <w:color w:val="000000"/>
          </w:rPr>
          <w:t>Clinical Infectious Diseases</w:t>
        </w:r>
        <w:r w:rsidRPr="003128FF">
          <w:rPr>
            <w:rStyle w:val="csl-entry"/>
            <w:rFonts w:ascii="Aptos" w:hAnsi="Aptos"/>
            <w:color w:val="000000"/>
          </w:rPr>
          <w:t>, 66(7), pp. e1–e48. doi:10.1093/</w:t>
        </w:r>
        <w:proofErr w:type="spellStart"/>
        <w:r w:rsidRPr="003128FF">
          <w:rPr>
            <w:rStyle w:val="csl-entry"/>
            <w:rFonts w:ascii="Aptos" w:hAnsi="Aptos"/>
            <w:color w:val="000000"/>
          </w:rPr>
          <w:t>cid</w:t>
        </w:r>
        <w:proofErr w:type="spellEnd"/>
        <w:r w:rsidRPr="003128FF">
          <w:rPr>
            <w:rStyle w:val="csl-entry"/>
            <w:rFonts w:ascii="Aptos" w:hAnsi="Aptos"/>
            <w:color w:val="000000"/>
          </w:rPr>
          <w:t>/cix1085.</w:t>
        </w:r>
      </w:hyperlink>
    </w:p>
    <w:p w14:paraId="591FA55E" w14:textId="77777777" w:rsidR="003128FF" w:rsidRPr="003128FF" w:rsidRDefault="003128FF" w:rsidP="003128FF">
      <w:pPr>
        <w:pStyle w:val="NormalWeb"/>
        <w:spacing w:afterLines="100" w:after="240"/>
        <w:rPr>
          <w:rFonts w:ascii="Aptos" w:hAnsi="Aptos"/>
          <w:color w:val="000000"/>
        </w:rPr>
      </w:pPr>
      <w:hyperlink r:id="rId92" w:history="1">
        <w:r w:rsidRPr="003128FF">
          <w:rPr>
            <w:rStyle w:val="csl-entry"/>
            <w:rFonts w:ascii="Aptos" w:hAnsi="Aptos"/>
            <w:color w:val="000000"/>
          </w:rPr>
          <w:t xml:space="preserve">Merrigan, M.M. </w:t>
        </w:r>
        <w:r w:rsidRPr="003128FF">
          <w:rPr>
            <w:rStyle w:val="csl-entry"/>
            <w:rFonts w:ascii="Aptos" w:hAnsi="Aptos"/>
            <w:i/>
            <w:iCs/>
            <w:color w:val="000000"/>
          </w:rPr>
          <w:t>et al.</w:t>
        </w:r>
        <w:r w:rsidRPr="003128FF">
          <w:rPr>
            <w:rStyle w:val="csl-entry"/>
            <w:rFonts w:ascii="Aptos" w:hAnsi="Aptos"/>
            <w:color w:val="000000"/>
          </w:rPr>
          <w:t xml:space="preserve"> (2003) “Prevention of fatal Clostridium difficile-associated disease during continuous administration of clindamycin in hamsters.,” </w:t>
        </w:r>
        <w:r w:rsidRPr="003128FF">
          <w:rPr>
            <w:rStyle w:val="csl-entry"/>
            <w:rFonts w:ascii="Aptos" w:hAnsi="Aptos"/>
            <w:i/>
            <w:iCs/>
            <w:color w:val="000000"/>
          </w:rPr>
          <w:t>The Journal of Infectious Diseases</w:t>
        </w:r>
        <w:r w:rsidRPr="003128FF">
          <w:rPr>
            <w:rStyle w:val="csl-entry"/>
            <w:rFonts w:ascii="Aptos" w:hAnsi="Aptos"/>
            <w:color w:val="000000"/>
          </w:rPr>
          <w:t>, 188(12), pp. 1922–1927. doi:10.1086/379836.</w:t>
        </w:r>
      </w:hyperlink>
    </w:p>
    <w:p w14:paraId="2E17F85E" w14:textId="77777777" w:rsidR="003128FF" w:rsidRPr="003128FF" w:rsidRDefault="003128FF" w:rsidP="003128FF">
      <w:pPr>
        <w:pStyle w:val="NormalWeb"/>
        <w:spacing w:afterLines="100" w:after="240"/>
        <w:rPr>
          <w:rFonts w:ascii="Aptos" w:hAnsi="Aptos"/>
          <w:color w:val="000000"/>
        </w:rPr>
      </w:pPr>
      <w:hyperlink r:id="rId93" w:history="1">
        <w:r w:rsidRPr="003128FF">
          <w:rPr>
            <w:rStyle w:val="csl-entry"/>
            <w:rFonts w:ascii="Aptos" w:hAnsi="Aptos"/>
            <w:color w:val="000000"/>
          </w:rPr>
          <w:t xml:space="preserve">Miles-Jay, A. </w:t>
        </w:r>
        <w:r w:rsidRPr="003128FF">
          <w:rPr>
            <w:rStyle w:val="csl-entry"/>
            <w:rFonts w:ascii="Aptos" w:hAnsi="Aptos"/>
            <w:i/>
            <w:iCs/>
            <w:color w:val="000000"/>
          </w:rPr>
          <w:t>et al.</w:t>
        </w:r>
        <w:r w:rsidRPr="003128FF">
          <w:rPr>
            <w:rStyle w:val="csl-entry"/>
            <w:rFonts w:ascii="Aptos" w:hAnsi="Aptos"/>
            <w:color w:val="000000"/>
          </w:rPr>
          <w:t xml:space="preserve"> (2021) “A multisite genomic epidemiology study of Clostridioides difficile infections in the USA supports differential roles of healthcare versus community spread for two common strains.,” </w:t>
        </w:r>
        <w:r w:rsidRPr="003128FF">
          <w:rPr>
            <w:rStyle w:val="csl-entry"/>
            <w:rFonts w:ascii="Aptos" w:hAnsi="Aptos"/>
            <w:i/>
            <w:iCs/>
            <w:color w:val="000000"/>
          </w:rPr>
          <w:t>Microbial genomics</w:t>
        </w:r>
        <w:r w:rsidRPr="003128FF">
          <w:rPr>
            <w:rStyle w:val="csl-entry"/>
            <w:rFonts w:ascii="Aptos" w:hAnsi="Aptos"/>
            <w:color w:val="000000"/>
          </w:rPr>
          <w:t>, 7(6). doi:10.1099/mgen.0.000590.</w:t>
        </w:r>
      </w:hyperlink>
    </w:p>
    <w:p w14:paraId="689FF33B" w14:textId="77777777" w:rsidR="003128FF" w:rsidRPr="003128FF" w:rsidRDefault="003128FF" w:rsidP="003128FF">
      <w:pPr>
        <w:pStyle w:val="NormalWeb"/>
        <w:spacing w:afterLines="100" w:after="240"/>
        <w:rPr>
          <w:rFonts w:ascii="Aptos" w:hAnsi="Aptos"/>
          <w:color w:val="000000"/>
        </w:rPr>
      </w:pPr>
      <w:hyperlink r:id="rId94" w:history="1">
        <w:proofErr w:type="spellStart"/>
        <w:r w:rsidRPr="003128FF">
          <w:rPr>
            <w:rStyle w:val="csl-entry"/>
            <w:rFonts w:ascii="Aptos" w:hAnsi="Aptos"/>
            <w:color w:val="000000"/>
          </w:rPr>
          <w:t>Mombaerts</w:t>
        </w:r>
        <w:proofErr w:type="spellEnd"/>
        <w:r w:rsidRPr="003128FF">
          <w:rPr>
            <w:rStyle w:val="csl-entry"/>
            <w:rFonts w:ascii="Aptos" w:hAnsi="Aptos"/>
            <w:color w:val="000000"/>
          </w:rPr>
          <w:t xml:space="preserve">, P. </w:t>
        </w:r>
        <w:r w:rsidRPr="003128FF">
          <w:rPr>
            <w:rStyle w:val="csl-entry"/>
            <w:rFonts w:ascii="Aptos" w:hAnsi="Aptos"/>
            <w:i/>
            <w:iCs/>
            <w:color w:val="000000"/>
          </w:rPr>
          <w:t>et al.</w:t>
        </w:r>
        <w:r w:rsidRPr="003128FF">
          <w:rPr>
            <w:rStyle w:val="csl-entry"/>
            <w:rFonts w:ascii="Aptos" w:hAnsi="Aptos"/>
            <w:color w:val="000000"/>
          </w:rPr>
          <w:t xml:space="preserve"> (1992) “RAG-1-deficient mice have no mature B and T lymphocytes.,” </w:t>
        </w:r>
        <w:r w:rsidRPr="003128FF">
          <w:rPr>
            <w:rStyle w:val="csl-entry"/>
            <w:rFonts w:ascii="Aptos" w:hAnsi="Aptos"/>
            <w:i/>
            <w:iCs/>
            <w:color w:val="000000"/>
          </w:rPr>
          <w:t>Cell</w:t>
        </w:r>
        <w:r w:rsidRPr="003128FF">
          <w:rPr>
            <w:rStyle w:val="csl-entry"/>
            <w:rFonts w:ascii="Aptos" w:hAnsi="Aptos"/>
            <w:color w:val="000000"/>
          </w:rPr>
          <w:t>, 68(5), pp. 869–877. doi:10.1016/0092-8674(92)90030-g.</w:t>
        </w:r>
      </w:hyperlink>
    </w:p>
    <w:p w14:paraId="5B430A67" w14:textId="77777777" w:rsidR="003128FF" w:rsidRPr="003128FF" w:rsidRDefault="003128FF" w:rsidP="003128FF">
      <w:pPr>
        <w:pStyle w:val="NormalWeb"/>
        <w:spacing w:afterLines="100" w:after="240"/>
        <w:rPr>
          <w:rFonts w:ascii="Aptos" w:hAnsi="Aptos"/>
          <w:color w:val="000000"/>
        </w:rPr>
      </w:pPr>
      <w:hyperlink r:id="rId95" w:history="1">
        <w:r w:rsidRPr="003128FF">
          <w:rPr>
            <w:rStyle w:val="csl-entry"/>
            <w:rFonts w:ascii="Aptos" w:hAnsi="Aptos"/>
            <w:color w:val="000000"/>
          </w:rPr>
          <w:t xml:space="preserve">Nhu, N.T.Q. </w:t>
        </w:r>
        <w:r w:rsidRPr="003128FF">
          <w:rPr>
            <w:rStyle w:val="csl-entry"/>
            <w:rFonts w:ascii="Aptos" w:hAnsi="Aptos"/>
            <w:i/>
            <w:iCs/>
            <w:color w:val="000000"/>
          </w:rPr>
          <w:t>et al.</w:t>
        </w:r>
        <w:r w:rsidRPr="003128FF">
          <w:rPr>
            <w:rStyle w:val="csl-entry"/>
            <w:rFonts w:ascii="Aptos" w:hAnsi="Aptos"/>
            <w:color w:val="000000"/>
          </w:rPr>
          <w:t xml:space="preserve"> (2025) “Flagellar switch inverted repeats impact heterogeneity in flagellar gene expression and thus C. difficile RT027/MLST1 virulence.,” </w:t>
        </w:r>
        <w:r w:rsidRPr="003128FF">
          <w:rPr>
            <w:rStyle w:val="csl-entry"/>
            <w:rFonts w:ascii="Aptos" w:hAnsi="Aptos"/>
            <w:i/>
            <w:iCs/>
            <w:color w:val="000000"/>
          </w:rPr>
          <w:t>Cell reports</w:t>
        </w:r>
        <w:r w:rsidRPr="003128FF">
          <w:rPr>
            <w:rStyle w:val="csl-entry"/>
            <w:rFonts w:ascii="Aptos" w:hAnsi="Aptos"/>
            <w:color w:val="000000"/>
          </w:rPr>
          <w:t>, 44(6), p. 115830. doi:10.1016/j.celrep.2025.115830.</w:t>
        </w:r>
      </w:hyperlink>
    </w:p>
    <w:p w14:paraId="35F307CE" w14:textId="77777777" w:rsidR="003128FF" w:rsidRPr="003128FF" w:rsidRDefault="003128FF" w:rsidP="003128FF">
      <w:pPr>
        <w:pStyle w:val="NormalWeb"/>
        <w:spacing w:afterLines="100" w:after="240"/>
        <w:rPr>
          <w:rFonts w:ascii="Aptos" w:hAnsi="Aptos"/>
          <w:color w:val="000000"/>
        </w:rPr>
      </w:pPr>
      <w:hyperlink r:id="rId96" w:history="1">
        <w:r w:rsidRPr="003128FF">
          <w:rPr>
            <w:rStyle w:val="csl-entry"/>
            <w:rFonts w:ascii="Aptos" w:hAnsi="Aptos"/>
            <w:color w:val="000000"/>
          </w:rPr>
          <w:t xml:space="preserve">van Nood, E. </w:t>
        </w:r>
        <w:r w:rsidRPr="003128FF">
          <w:rPr>
            <w:rStyle w:val="csl-entry"/>
            <w:rFonts w:ascii="Aptos" w:hAnsi="Aptos"/>
            <w:i/>
            <w:iCs/>
            <w:color w:val="000000"/>
          </w:rPr>
          <w:t>et al.</w:t>
        </w:r>
        <w:r w:rsidRPr="003128FF">
          <w:rPr>
            <w:rStyle w:val="csl-entry"/>
            <w:rFonts w:ascii="Aptos" w:hAnsi="Aptos"/>
            <w:color w:val="000000"/>
          </w:rPr>
          <w:t xml:space="preserve"> (2013) “Duodenal infusion of donor feces for recurrent Clostridium difficile.,” </w:t>
        </w:r>
        <w:r w:rsidRPr="003128FF">
          <w:rPr>
            <w:rStyle w:val="csl-entry"/>
            <w:rFonts w:ascii="Aptos" w:hAnsi="Aptos"/>
            <w:i/>
            <w:iCs/>
            <w:color w:val="000000"/>
          </w:rPr>
          <w:t>The New England Journal of Medicine</w:t>
        </w:r>
        <w:r w:rsidRPr="003128FF">
          <w:rPr>
            <w:rStyle w:val="csl-entry"/>
            <w:rFonts w:ascii="Aptos" w:hAnsi="Aptos"/>
            <w:color w:val="000000"/>
          </w:rPr>
          <w:t>, 368(5), pp. 407–415. doi:10.1056/NEJMoa1205037.</w:t>
        </w:r>
      </w:hyperlink>
    </w:p>
    <w:p w14:paraId="477F4360" w14:textId="77777777" w:rsidR="003128FF" w:rsidRPr="003128FF" w:rsidRDefault="003128FF" w:rsidP="003128FF">
      <w:pPr>
        <w:pStyle w:val="NormalWeb"/>
        <w:spacing w:afterLines="100" w:after="240"/>
        <w:rPr>
          <w:rFonts w:ascii="Aptos" w:hAnsi="Aptos"/>
          <w:color w:val="000000"/>
        </w:rPr>
      </w:pPr>
      <w:hyperlink r:id="rId97" w:history="1">
        <w:r w:rsidRPr="003128FF">
          <w:rPr>
            <w:rStyle w:val="csl-entry"/>
            <w:rFonts w:ascii="Aptos" w:hAnsi="Aptos"/>
            <w:color w:val="000000"/>
          </w:rPr>
          <w:t xml:space="preserve">Norsigian, C.J. </w:t>
        </w:r>
        <w:r w:rsidRPr="003128FF">
          <w:rPr>
            <w:rStyle w:val="csl-entry"/>
            <w:rFonts w:ascii="Aptos" w:hAnsi="Aptos"/>
            <w:i/>
            <w:iCs/>
            <w:color w:val="000000"/>
          </w:rPr>
          <w:t>et al.</w:t>
        </w:r>
        <w:r w:rsidRPr="003128FF">
          <w:rPr>
            <w:rStyle w:val="csl-entry"/>
            <w:rFonts w:ascii="Aptos" w:hAnsi="Aptos"/>
            <w:color w:val="000000"/>
          </w:rPr>
          <w:t xml:space="preserve"> (2022) “Systems biology approach to functionally assess the Clostridioides difficile pangenome reveals genetic diversity with discriminatory power.,” </w:t>
        </w:r>
        <w:r w:rsidRPr="003128FF">
          <w:rPr>
            <w:rStyle w:val="csl-entry"/>
            <w:rFonts w:ascii="Aptos" w:hAnsi="Aptos"/>
            <w:i/>
            <w:iCs/>
            <w:color w:val="000000"/>
          </w:rPr>
          <w:t>Proceedings of the National Academy of Sciences of the United States of America</w:t>
        </w:r>
        <w:r w:rsidRPr="003128FF">
          <w:rPr>
            <w:rStyle w:val="csl-entry"/>
            <w:rFonts w:ascii="Aptos" w:hAnsi="Aptos"/>
            <w:color w:val="000000"/>
          </w:rPr>
          <w:t>, 119(18), p. e2119396119. doi:10.1073/pnas.2119396119.</w:t>
        </w:r>
      </w:hyperlink>
    </w:p>
    <w:p w14:paraId="78489609" w14:textId="77777777" w:rsidR="003128FF" w:rsidRPr="003128FF" w:rsidRDefault="003128FF" w:rsidP="003128FF">
      <w:pPr>
        <w:pStyle w:val="NormalWeb"/>
        <w:spacing w:afterLines="100" w:after="240"/>
        <w:rPr>
          <w:rFonts w:ascii="Aptos" w:hAnsi="Aptos"/>
          <w:color w:val="000000"/>
        </w:rPr>
      </w:pPr>
      <w:hyperlink r:id="rId98" w:history="1">
        <w:r w:rsidRPr="003128FF">
          <w:rPr>
            <w:rStyle w:val="csl-entry"/>
            <w:rFonts w:ascii="Aptos" w:hAnsi="Aptos"/>
            <w:color w:val="000000"/>
          </w:rPr>
          <w:t xml:space="preserve">Page, A.J. </w:t>
        </w:r>
        <w:r w:rsidRPr="003128FF">
          <w:rPr>
            <w:rStyle w:val="csl-entry"/>
            <w:rFonts w:ascii="Aptos" w:hAnsi="Aptos"/>
            <w:i/>
            <w:iCs/>
            <w:color w:val="000000"/>
          </w:rPr>
          <w:t>et al.</w:t>
        </w:r>
        <w:r w:rsidRPr="003128FF">
          <w:rPr>
            <w:rStyle w:val="csl-entry"/>
            <w:rFonts w:ascii="Aptos" w:hAnsi="Aptos"/>
            <w:color w:val="000000"/>
          </w:rPr>
          <w:t xml:space="preserve"> (2015) “Roary: rapid large-scale prokaryote </w:t>
        </w:r>
        <w:proofErr w:type="gramStart"/>
        <w:r w:rsidRPr="003128FF">
          <w:rPr>
            <w:rStyle w:val="csl-entry"/>
            <w:rFonts w:ascii="Aptos" w:hAnsi="Aptos"/>
            <w:color w:val="000000"/>
          </w:rPr>
          <w:t>pan</w:t>
        </w:r>
        <w:proofErr w:type="gramEnd"/>
        <w:r w:rsidRPr="003128FF">
          <w:rPr>
            <w:rStyle w:val="csl-entry"/>
            <w:rFonts w:ascii="Aptos" w:hAnsi="Aptos"/>
            <w:color w:val="000000"/>
          </w:rPr>
          <w:t xml:space="preserve"> genome analysis.,” </w:t>
        </w:r>
        <w:r w:rsidRPr="003128FF">
          <w:rPr>
            <w:rStyle w:val="csl-entry"/>
            <w:rFonts w:ascii="Aptos" w:hAnsi="Aptos"/>
            <w:i/>
            <w:iCs/>
            <w:color w:val="000000"/>
          </w:rPr>
          <w:t>Bioinformatics</w:t>
        </w:r>
        <w:r w:rsidRPr="003128FF">
          <w:rPr>
            <w:rStyle w:val="csl-entry"/>
            <w:rFonts w:ascii="Aptos" w:hAnsi="Aptos"/>
            <w:color w:val="000000"/>
          </w:rPr>
          <w:t>, 31(22), pp. 3691–3693. doi:10.1093/bioinformatics/btv421.</w:t>
        </w:r>
      </w:hyperlink>
    </w:p>
    <w:p w14:paraId="13B0C125" w14:textId="77777777" w:rsidR="003128FF" w:rsidRPr="003128FF" w:rsidRDefault="003128FF" w:rsidP="003128FF">
      <w:pPr>
        <w:pStyle w:val="NormalWeb"/>
        <w:spacing w:afterLines="100" w:after="240"/>
        <w:rPr>
          <w:rFonts w:ascii="Aptos" w:hAnsi="Aptos"/>
          <w:color w:val="000000"/>
        </w:rPr>
      </w:pPr>
      <w:hyperlink r:id="rId99" w:history="1">
        <w:r w:rsidRPr="003128FF">
          <w:rPr>
            <w:rStyle w:val="csl-entry"/>
            <w:rFonts w:ascii="Aptos" w:hAnsi="Aptos"/>
            <w:color w:val="000000"/>
          </w:rPr>
          <w:t xml:space="preserve">Rao, K. </w:t>
        </w:r>
        <w:r w:rsidRPr="003128FF">
          <w:rPr>
            <w:rStyle w:val="csl-entry"/>
            <w:rFonts w:ascii="Aptos" w:hAnsi="Aptos"/>
            <w:i/>
            <w:iCs/>
            <w:color w:val="000000"/>
          </w:rPr>
          <w:t>et al.</w:t>
        </w:r>
        <w:r w:rsidRPr="003128FF">
          <w:rPr>
            <w:rStyle w:val="csl-entry"/>
            <w:rFonts w:ascii="Aptos" w:hAnsi="Aptos"/>
            <w:color w:val="000000"/>
          </w:rPr>
          <w:t xml:space="preserve"> (2015) “Clostridium difficile </w:t>
        </w:r>
        <w:proofErr w:type="spellStart"/>
        <w:r w:rsidRPr="003128FF">
          <w:rPr>
            <w:rStyle w:val="csl-entry"/>
            <w:rFonts w:ascii="Aptos" w:hAnsi="Aptos"/>
            <w:color w:val="000000"/>
          </w:rPr>
          <w:t>ribotype</w:t>
        </w:r>
        <w:proofErr w:type="spellEnd"/>
        <w:r w:rsidRPr="003128FF">
          <w:rPr>
            <w:rStyle w:val="csl-entry"/>
            <w:rFonts w:ascii="Aptos" w:hAnsi="Aptos"/>
            <w:color w:val="000000"/>
          </w:rPr>
          <w:t xml:space="preserve"> 027: relationship to age, detectability of toxins A or B in stool with rapid testing, severe infection, and mortality.,” </w:t>
        </w:r>
        <w:r w:rsidRPr="003128FF">
          <w:rPr>
            <w:rStyle w:val="csl-entry"/>
            <w:rFonts w:ascii="Aptos" w:hAnsi="Aptos"/>
            <w:i/>
            <w:iCs/>
            <w:color w:val="000000"/>
          </w:rPr>
          <w:t>Clinical Infectious Diseases</w:t>
        </w:r>
        <w:r w:rsidRPr="003128FF">
          <w:rPr>
            <w:rStyle w:val="csl-entry"/>
            <w:rFonts w:ascii="Aptos" w:hAnsi="Aptos"/>
            <w:color w:val="000000"/>
          </w:rPr>
          <w:t>, 61(2), pp. 233–241. doi:10.1093/</w:t>
        </w:r>
        <w:proofErr w:type="spellStart"/>
        <w:r w:rsidRPr="003128FF">
          <w:rPr>
            <w:rStyle w:val="csl-entry"/>
            <w:rFonts w:ascii="Aptos" w:hAnsi="Aptos"/>
            <w:color w:val="000000"/>
          </w:rPr>
          <w:t>cid</w:t>
        </w:r>
        <w:proofErr w:type="spellEnd"/>
        <w:r w:rsidRPr="003128FF">
          <w:rPr>
            <w:rStyle w:val="csl-entry"/>
            <w:rFonts w:ascii="Aptos" w:hAnsi="Aptos"/>
            <w:color w:val="000000"/>
          </w:rPr>
          <w:t>/civ254.</w:t>
        </w:r>
      </w:hyperlink>
    </w:p>
    <w:p w14:paraId="7EEE753D" w14:textId="77777777" w:rsidR="003128FF" w:rsidRPr="003128FF" w:rsidRDefault="003128FF" w:rsidP="003128FF">
      <w:pPr>
        <w:pStyle w:val="NormalWeb"/>
        <w:spacing w:afterLines="100" w:after="240"/>
        <w:rPr>
          <w:rFonts w:ascii="Aptos" w:hAnsi="Aptos"/>
          <w:color w:val="000000"/>
        </w:rPr>
      </w:pPr>
      <w:hyperlink r:id="rId100" w:history="1">
        <w:r w:rsidRPr="003128FF">
          <w:rPr>
            <w:rStyle w:val="csl-entry"/>
            <w:rFonts w:ascii="Aptos" w:hAnsi="Aptos"/>
            <w:color w:val="000000"/>
          </w:rPr>
          <w:t xml:space="preserve">Revolinski, S.L. and Munoz-Price, L.S. (2019) “Clostridium difficile in Immunocompromised Hosts: A Review of Epidemiology, Risk Factors, Treatment, and Prevention.,” </w:t>
        </w:r>
        <w:r w:rsidRPr="003128FF">
          <w:rPr>
            <w:rStyle w:val="csl-entry"/>
            <w:rFonts w:ascii="Aptos" w:hAnsi="Aptos"/>
            <w:i/>
            <w:iCs/>
            <w:color w:val="000000"/>
          </w:rPr>
          <w:t>Clinical Infectious Diseases</w:t>
        </w:r>
        <w:r w:rsidRPr="003128FF">
          <w:rPr>
            <w:rStyle w:val="csl-entry"/>
            <w:rFonts w:ascii="Aptos" w:hAnsi="Aptos"/>
            <w:color w:val="000000"/>
          </w:rPr>
          <w:t>, 68(12), pp. 2144–2153. doi:10.1093/</w:t>
        </w:r>
        <w:proofErr w:type="spellStart"/>
        <w:r w:rsidRPr="003128FF">
          <w:rPr>
            <w:rStyle w:val="csl-entry"/>
            <w:rFonts w:ascii="Aptos" w:hAnsi="Aptos"/>
            <w:color w:val="000000"/>
          </w:rPr>
          <w:t>cid</w:t>
        </w:r>
        <w:proofErr w:type="spellEnd"/>
        <w:r w:rsidRPr="003128FF">
          <w:rPr>
            <w:rStyle w:val="csl-entry"/>
            <w:rFonts w:ascii="Aptos" w:hAnsi="Aptos"/>
            <w:color w:val="000000"/>
          </w:rPr>
          <w:t>/ciy845.</w:t>
        </w:r>
      </w:hyperlink>
    </w:p>
    <w:p w14:paraId="1D14AC55" w14:textId="77777777" w:rsidR="003128FF" w:rsidRPr="003128FF" w:rsidRDefault="003128FF" w:rsidP="003128FF">
      <w:pPr>
        <w:pStyle w:val="NormalWeb"/>
        <w:spacing w:afterLines="100" w:after="240"/>
        <w:rPr>
          <w:rFonts w:ascii="Aptos" w:hAnsi="Aptos"/>
          <w:color w:val="000000"/>
        </w:rPr>
      </w:pPr>
      <w:hyperlink r:id="rId101" w:history="1">
        <w:r w:rsidRPr="003128FF">
          <w:rPr>
            <w:rStyle w:val="csl-entry"/>
            <w:rFonts w:ascii="Aptos" w:hAnsi="Aptos"/>
            <w:color w:val="000000"/>
          </w:rPr>
          <w:t xml:space="preserve">Round, J.L. and Mazmanian, S.K. (2009) “The gut microbiota shapes intestinal immune responses during health and disease.,” </w:t>
        </w:r>
        <w:r w:rsidRPr="003128FF">
          <w:rPr>
            <w:rStyle w:val="csl-entry"/>
            <w:rFonts w:ascii="Aptos" w:hAnsi="Aptos"/>
            <w:i/>
            <w:iCs/>
            <w:color w:val="000000"/>
          </w:rPr>
          <w:t>Nature Reviews. Immunology</w:t>
        </w:r>
        <w:r w:rsidRPr="003128FF">
          <w:rPr>
            <w:rStyle w:val="csl-entry"/>
            <w:rFonts w:ascii="Aptos" w:hAnsi="Aptos"/>
            <w:color w:val="000000"/>
          </w:rPr>
          <w:t>, 9(5), pp. 313–323. doi:10.1038/nri2515.</w:t>
        </w:r>
      </w:hyperlink>
    </w:p>
    <w:p w14:paraId="3D24066E" w14:textId="77777777" w:rsidR="003128FF" w:rsidRPr="003128FF" w:rsidRDefault="003128FF" w:rsidP="003128FF">
      <w:pPr>
        <w:pStyle w:val="NormalWeb"/>
        <w:spacing w:afterLines="100" w:after="240"/>
        <w:rPr>
          <w:rFonts w:ascii="Aptos" w:hAnsi="Aptos"/>
          <w:color w:val="000000"/>
        </w:rPr>
      </w:pPr>
      <w:hyperlink r:id="rId102" w:history="1">
        <w:r w:rsidRPr="003128FF">
          <w:rPr>
            <w:rStyle w:val="csl-entry"/>
            <w:rFonts w:ascii="Aptos" w:hAnsi="Aptos"/>
            <w:color w:val="000000"/>
          </w:rPr>
          <w:t xml:space="preserve">Rupnik, M., Wilcox, M.H. and Gerding, D.N. (2009) “Clostridium difficile infection: new developments in epidemiology and pathogenesis.,” </w:t>
        </w:r>
        <w:r w:rsidRPr="003128FF">
          <w:rPr>
            <w:rStyle w:val="csl-entry"/>
            <w:rFonts w:ascii="Aptos" w:hAnsi="Aptos"/>
            <w:i/>
            <w:iCs/>
            <w:color w:val="000000"/>
          </w:rPr>
          <w:t>Nature Reviews Microbiology</w:t>
        </w:r>
        <w:r w:rsidRPr="003128FF">
          <w:rPr>
            <w:rStyle w:val="csl-entry"/>
            <w:rFonts w:ascii="Aptos" w:hAnsi="Aptos"/>
            <w:color w:val="000000"/>
          </w:rPr>
          <w:t>, 7(7), pp. 526–536. doi:10.1038/nrmicro2164.</w:t>
        </w:r>
      </w:hyperlink>
    </w:p>
    <w:p w14:paraId="2A1783BA" w14:textId="77777777" w:rsidR="003128FF" w:rsidRPr="003128FF" w:rsidRDefault="003128FF" w:rsidP="003128FF">
      <w:pPr>
        <w:pStyle w:val="NormalWeb"/>
        <w:spacing w:afterLines="100" w:after="240"/>
        <w:rPr>
          <w:rFonts w:ascii="Aptos" w:hAnsi="Aptos"/>
          <w:color w:val="000000"/>
        </w:rPr>
      </w:pPr>
      <w:hyperlink r:id="rId103" w:history="1">
        <w:r w:rsidRPr="003128FF">
          <w:rPr>
            <w:rStyle w:val="csl-entry"/>
            <w:rFonts w:ascii="Aptos" w:hAnsi="Aptos"/>
            <w:i/>
            <w:iCs/>
            <w:color w:val="000000"/>
          </w:rPr>
          <w:t>Safety Alert Regarding Use of Fecal Microbiota for Transplantation and Risk of Serious Adverse Events Likely Due to Transmission of Pathogenic Organisms | FDA</w:t>
        </w:r>
        <w:r w:rsidRPr="003128FF">
          <w:rPr>
            <w:rStyle w:val="csl-entry"/>
            <w:rFonts w:ascii="Aptos" w:hAnsi="Aptos"/>
            <w:color w:val="000000"/>
          </w:rPr>
          <w:t xml:space="preserve"> (no date). Available at: https://www.fda.gov/vaccines-blood-biologics/safety-availability-biologics/safety-alert-regarding-use-fecal-microbiota-transplantation-and-risk-serious-adverse-events-likely (Accessed: June 26, 2025).</w:t>
        </w:r>
      </w:hyperlink>
    </w:p>
    <w:p w14:paraId="63254146" w14:textId="77777777" w:rsidR="003128FF" w:rsidRPr="003128FF" w:rsidRDefault="003128FF" w:rsidP="003128FF">
      <w:pPr>
        <w:pStyle w:val="NormalWeb"/>
        <w:spacing w:afterLines="100" w:after="240"/>
        <w:rPr>
          <w:rFonts w:ascii="Aptos" w:hAnsi="Aptos"/>
          <w:color w:val="000000"/>
        </w:rPr>
      </w:pPr>
      <w:hyperlink r:id="rId104" w:history="1">
        <w:r w:rsidRPr="003128FF">
          <w:rPr>
            <w:rStyle w:val="csl-entry"/>
            <w:rFonts w:ascii="Aptos" w:hAnsi="Aptos"/>
            <w:color w:val="000000"/>
          </w:rPr>
          <w:t xml:space="preserve">Seekatz, A.M. and Young, V.B. (2014) “Clostridium difficile and the microbiota.,” </w:t>
        </w:r>
        <w:r w:rsidRPr="003128FF">
          <w:rPr>
            <w:rStyle w:val="csl-entry"/>
            <w:rFonts w:ascii="Aptos" w:hAnsi="Aptos"/>
            <w:i/>
            <w:iCs/>
            <w:color w:val="000000"/>
          </w:rPr>
          <w:t>The Journal of Clinical Investigation</w:t>
        </w:r>
        <w:r w:rsidRPr="003128FF">
          <w:rPr>
            <w:rStyle w:val="csl-entry"/>
            <w:rFonts w:ascii="Aptos" w:hAnsi="Aptos"/>
            <w:color w:val="000000"/>
          </w:rPr>
          <w:t>, 124(10), pp. 4182–4189. doi:10.1172/JCI72336.</w:t>
        </w:r>
      </w:hyperlink>
    </w:p>
    <w:p w14:paraId="2745F7F1" w14:textId="77777777" w:rsidR="003128FF" w:rsidRPr="003128FF" w:rsidRDefault="003128FF" w:rsidP="003128FF">
      <w:pPr>
        <w:pStyle w:val="NormalWeb"/>
        <w:spacing w:afterLines="100" w:after="240"/>
        <w:rPr>
          <w:rFonts w:ascii="Aptos" w:hAnsi="Aptos"/>
          <w:color w:val="000000"/>
        </w:rPr>
      </w:pPr>
      <w:hyperlink r:id="rId105" w:history="1">
        <w:r w:rsidRPr="003128FF">
          <w:rPr>
            <w:rStyle w:val="csl-entry"/>
            <w:rFonts w:ascii="Aptos" w:hAnsi="Aptos"/>
            <w:color w:val="000000"/>
          </w:rPr>
          <w:t>Seemann, T. (2014) “</w:t>
        </w:r>
        <w:proofErr w:type="spellStart"/>
        <w:r w:rsidRPr="003128FF">
          <w:rPr>
            <w:rStyle w:val="csl-entry"/>
            <w:rFonts w:ascii="Aptos" w:hAnsi="Aptos"/>
            <w:color w:val="000000"/>
          </w:rPr>
          <w:t>Prokka</w:t>
        </w:r>
        <w:proofErr w:type="spellEnd"/>
        <w:r w:rsidRPr="003128FF">
          <w:rPr>
            <w:rStyle w:val="csl-entry"/>
            <w:rFonts w:ascii="Aptos" w:hAnsi="Aptos"/>
            <w:color w:val="000000"/>
          </w:rPr>
          <w:t xml:space="preserve">: rapid prokaryotic genome annotation.,” </w:t>
        </w:r>
        <w:r w:rsidRPr="003128FF">
          <w:rPr>
            <w:rStyle w:val="csl-entry"/>
            <w:rFonts w:ascii="Aptos" w:hAnsi="Aptos"/>
            <w:i/>
            <w:iCs/>
            <w:color w:val="000000"/>
          </w:rPr>
          <w:t>Bioinformatics</w:t>
        </w:r>
        <w:r w:rsidRPr="003128FF">
          <w:rPr>
            <w:rStyle w:val="csl-entry"/>
            <w:rFonts w:ascii="Aptos" w:hAnsi="Aptos"/>
            <w:color w:val="000000"/>
          </w:rPr>
          <w:t>, 30(14), pp. 2068–2069. doi:10.1093/bioinformatics/btu153.</w:t>
        </w:r>
      </w:hyperlink>
    </w:p>
    <w:p w14:paraId="4245A667" w14:textId="77777777" w:rsidR="003128FF" w:rsidRPr="003128FF" w:rsidRDefault="003128FF" w:rsidP="003128FF">
      <w:pPr>
        <w:pStyle w:val="NormalWeb"/>
        <w:spacing w:afterLines="100" w:after="240"/>
        <w:rPr>
          <w:rFonts w:ascii="Aptos" w:hAnsi="Aptos"/>
          <w:color w:val="000000"/>
        </w:rPr>
      </w:pPr>
      <w:hyperlink r:id="rId106" w:history="1">
        <w:r w:rsidRPr="003128FF">
          <w:rPr>
            <w:rStyle w:val="csl-entry"/>
            <w:rFonts w:ascii="Aptos" w:hAnsi="Aptos"/>
            <w:color w:val="000000"/>
          </w:rPr>
          <w:t xml:space="preserve">Shim, J.K. </w:t>
        </w:r>
        <w:r w:rsidRPr="003128FF">
          <w:rPr>
            <w:rStyle w:val="csl-entry"/>
            <w:rFonts w:ascii="Aptos" w:hAnsi="Aptos"/>
            <w:i/>
            <w:iCs/>
            <w:color w:val="000000"/>
          </w:rPr>
          <w:t>et al.</w:t>
        </w:r>
        <w:r w:rsidRPr="003128FF">
          <w:rPr>
            <w:rStyle w:val="csl-entry"/>
            <w:rFonts w:ascii="Aptos" w:hAnsi="Aptos"/>
            <w:color w:val="000000"/>
          </w:rPr>
          <w:t xml:space="preserve"> (1998) “Primary symptomless </w:t>
        </w:r>
        <w:proofErr w:type="spellStart"/>
        <w:r w:rsidRPr="003128FF">
          <w:rPr>
            <w:rStyle w:val="csl-entry"/>
            <w:rFonts w:ascii="Aptos" w:hAnsi="Aptos"/>
            <w:color w:val="000000"/>
          </w:rPr>
          <w:t>colonisation</w:t>
        </w:r>
        <w:proofErr w:type="spellEnd"/>
        <w:r w:rsidRPr="003128FF">
          <w:rPr>
            <w:rStyle w:val="csl-entry"/>
            <w:rFonts w:ascii="Aptos" w:hAnsi="Aptos"/>
            <w:color w:val="000000"/>
          </w:rPr>
          <w:t xml:space="preserve"> by Clostridium difficile and decreased risk of subsequent </w:t>
        </w:r>
        <w:proofErr w:type="spellStart"/>
        <w:r w:rsidRPr="003128FF">
          <w:rPr>
            <w:rStyle w:val="csl-entry"/>
            <w:rFonts w:ascii="Aptos" w:hAnsi="Aptos"/>
            <w:color w:val="000000"/>
          </w:rPr>
          <w:t>diarrhoea</w:t>
        </w:r>
        <w:proofErr w:type="spellEnd"/>
        <w:r w:rsidRPr="003128FF">
          <w:rPr>
            <w:rStyle w:val="csl-entry"/>
            <w:rFonts w:ascii="Aptos" w:hAnsi="Aptos"/>
            <w:color w:val="000000"/>
          </w:rPr>
          <w:t xml:space="preserve">.,” </w:t>
        </w:r>
        <w:r w:rsidRPr="003128FF">
          <w:rPr>
            <w:rStyle w:val="csl-entry"/>
            <w:rFonts w:ascii="Aptos" w:hAnsi="Aptos"/>
            <w:i/>
            <w:iCs/>
            <w:color w:val="000000"/>
          </w:rPr>
          <w:t>The Lancet</w:t>
        </w:r>
        <w:r w:rsidRPr="003128FF">
          <w:rPr>
            <w:rStyle w:val="csl-entry"/>
            <w:rFonts w:ascii="Aptos" w:hAnsi="Aptos"/>
            <w:color w:val="000000"/>
          </w:rPr>
          <w:t>, 351(9103), pp. 633–636. doi:10.1016/S0140-6736(97)08062-8.</w:t>
        </w:r>
      </w:hyperlink>
    </w:p>
    <w:p w14:paraId="050D8CB2" w14:textId="77777777" w:rsidR="003128FF" w:rsidRPr="003128FF" w:rsidRDefault="003128FF" w:rsidP="003128FF">
      <w:pPr>
        <w:pStyle w:val="NormalWeb"/>
        <w:spacing w:afterLines="100" w:after="240"/>
        <w:rPr>
          <w:rFonts w:ascii="Aptos" w:hAnsi="Aptos"/>
          <w:color w:val="000000"/>
        </w:rPr>
      </w:pPr>
      <w:hyperlink r:id="rId107" w:history="1">
        <w:r w:rsidRPr="003128FF">
          <w:rPr>
            <w:rStyle w:val="csl-entry"/>
            <w:rFonts w:ascii="Aptos" w:hAnsi="Aptos"/>
            <w:color w:val="000000"/>
          </w:rPr>
          <w:t xml:space="preserve">Stein, R.R. </w:t>
        </w:r>
        <w:r w:rsidRPr="003128FF">
          <w:rPr>
            <w:rStyle w:val="csl-entry"/>
            <w:rFonts w:ascii="Aptos" w:hAnsi="Aptos"/>
            <w:i/>
            <w:iCs/>
            <w:color w:val="000000"/>
          </w:rPr>
          <w:t>et al.</w:t>
        </w:r>
        <w:r w:rsidRPr="003128FF">
          <w:rPr>
            <w:rStyle w:val="csl-entry"/>
            <w:rFonts w:ascii="Aptos" w:hAnsi="Aptos"/>
            <w:color w:val="000000"/>
          </w:rPr>
          <w:t xml:space="preserve"> (2013) “Ecological modeling from time-series inference: insight into dynamics and stability of intestinal microbiota.,” </w:t>
        </w:r>
        <w:proofErr w:type="spellStart"/>
        <w:r w:rsidRPr="003128FF">
          <w:rPr>
            <w:rStyle w:val="csl-entry"/>
            <w:rFonts w:ascii="Aptos" w:hAnsi="Aptos"/>
            <w:i/>
            <w:iCs/>
            <w:color w:val="000000"/>
          </w:rPr>
          <w:t>PLoS</w:t>
        </w:r>
        <w:proofErr w:type="spellEnd"/>
        <w:r w:rsidRPr="003128FF">
          <w:rPr>
            <w:rStyle w:val="csl-entry"/>
            <w:rFonts w:ascii="Aptos" w:hAnsi="Aptos"/>
            <w:i/>
            <w:iCs/>
            <w:color w:val="000000"/>
          </w:rPr>
          <w:t xml:space="preserve"> Computational Biology</w:t>
        </w:r>
        <w:r w:rsidRPr="003128FF">
          <w:rPr>
            <w:rStyle w:val="csl-entry"/>
            <w:rFonts w:ascii="Aptos" w:hAnsi="Aptos"/>
            <w:color w:val="000000"/>
          </w:rPr>
          <w:t>, 9(12), p. e1003388. doi:10.1371/journal.pcbi.1003388.</w:t>
        </w:r>
      </w:hyperlink>
    </w:p>
    <w:p w14:paraId="73DB42E1" w14:textId="77777777" w:rsidR="003128FF" w:rsidRPr="003128FF" w:rsidRDefault="003128FF" w:rsidP="003128FF">
      <w:pPr>
        <w:pStyle w:val="NormalWeb"/>
        <w:spacing w:afterLines="100" w:after="240"/>
        <w:rPr>
          <w:rFonts w:ascii="Aptos" w:hAnsi="Aptos"/>
          <w:color w:val="000000"/>
        </w:rPr>
      </w:pPr>
      <w:hyperlink r:id="rId108" w:history="1">
        <w:r w:rsidRPr="003128FF">
          <w:rPr>
            <w:rStyle w:val="csl-entry"/>
            <w:rFonts w:ascii="Aptos" w:hAnsi="Aptos"/>
            <w:color w:val="000000"/>
          </w:rPr>
          <w:t xml:space="preserve">Theriot, C.M., Bowman, A.A. and Young, V.B. (2016) “Antibiotic-Induced Alterations of the Gut Microbiota Alter Secondary Bile Acid Production and Allow for Clostridium difficile Spore Germination and Outgrowth in the Large Intestine.,” </w:t>
        </w:r>
        <w:proofErr w:type="spellStart"/>
        <w:r w:rsidRPr="003128FF">
          <w:rPr>
            <w:rStyle w:val="csl-entry"/>
            <w:rFonts w:ascii="Aptos" w:hAnsi="Aptos"/>
            <w:i/>
            <w:iCs/>
            <w:color w:val="000000"/>
          </w:rPr>
          <w:t>mSphere</w:t>
        </w:r>
        <w:proofErr w:type="spellEnd"/>
        <w:r w:rsidRPr="003128FF">
          <w:rPr>
            <w:rStyle w:val="csl-entry"/>
            <w:rFonts w:ascii="Aptos" w:hAnsi="Aptos"/>
            <w:color w:val="000000"/>
          </w:rPr>
          <w:t>, 1(1). doi:10.1128/mSphere.00045-15.</w:t>
        </w:r>
      </w:hyperlink>
    </w:p>
    <w:p w14:paraId="510274BB" w14:textId="3DA1B71C" w:rsidR="003128FF" w:rsidRPr="0069662D" w:rsidRDefault="003128FF" w:rsidP="003128FF">
      <w:pPr>
        <w:spacing w:afterLines="100" w:after="240" w:line="240" w:lineRule="auto"/>
        <w:ind w:left="240" w:hanging="240"/>
      </w:pPr>
      <w:hyperlink r:id="rId109" w:history="1">
        <w:r w:rsidRPr="003128FF">
          <w:rPr>
            <w:rStyle w:val="csl-entry"/>
            <w:rFonts w:ascii="Aptos" w:hAnsi="Aptos"/>
            <w:color w:val="000000"/>
          </w:rPr>
          <w:t xml:space="preserve">Yu, W., Li, S. and 1 Zhejiang </w:t>
        </w:r>
        <w:proofErr w:type="spellStart"/>
        <w:r w:rsidRPr="003128FF">
          <w:rPr>
            <w:rStyle w:val="csl-entry"/>
            <w:rFonts w:ascii="Aptos" w:hAnsi="Aptos"/>
            <w:color w:val="000000"/>
          </w:rPr>
          <w:t>Tiantong</w:t>
        </w:r>
        <w:proofErr w:type="spellEnd"/>
        <w:r w:rsidRPr="003128FF">
          <w:rPr>
            <w:rStyle w:val="csl-entry"/>
            <w:rFonts w:ascii="Aptos" w:hAnsi="Aptos"/>
            <w:color w:val="000000"/>
          </w:rPr>
          <w:t xml:space="preserve"> Forest Ecosystem National Observation and Research Station, School of Ecological and Environmental Sciences, East China Normal University, Shanghai 2002412 Institute of Eco-Chongming, Shanghai 202162 (2020) “Modern coexistence theory as a framework for invasion ecology,” </w:t>
        </w:r>
        <w:r w:rsidRPr="003128FF">
          <w:rPr>
            <w:rStyle w:val="csl-entry"/>
            <w:rFonts w:ascii="Aptos" w:hAnsi="Aptos"/>
            <w:i/>
            <w:iCs/>
            <w:color w:val="000000"/>
          </w:rPr>
          <w:t>Biodiversity Science</w:t>
        </w:r>
        <w:r w:rsidRPr="003128FF">
          <w:rPr>
            <w:rStyle w:val="csl-entry"/>
            <w:rFonts w:ascii="Aptos" w:hAnsi="Aptos"/>
            <w:color w:val="000000"/>
          </w:rPr>
          <w:t>, 28(11), pp. 1362–1375. doi:10.17520/biods.2020243.</w:t>
        </w:r>
      </w:hyperlink>
      <w:r w:rsidRPr="003128FF">
        <w:rPr>
          <w:rFonts w:ascii="Aptos" w:hAnsi="Aptos"/>
          <w:color w:val="000000"/>
        </w:rPr>
        <w:t xml:space="preserve"> </w:t>
      </w:r>
    </w:p>
    <w:sectPr w:rsidR="003128FF" w:rsidRPr="006966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F390" w14:textId="77777777" w:rsidR="00281B72" w:rsidRDefault="00281B72" w:rsidP="00534659">
      <w:pPr>
        <w:spacing w:after="0" w:line="240" w:lineRule="auto"/>
      </w:pPr>
      <w:r>
        <w:separator/>
      </w:r>
    </w:p>
  </w:endnote>
  <w:endnote w:type="continuationSeparator" w:id="0">
    <w:p w14:paraId="6AF4024E" w14:textId="77777777" w:rsidR="00281B72" w:rsidRDefault="00281B72" w:rsidP="00534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36EF" w14:textId="77777777" w:rsidR="00281B72" w:rsidRDefault="00281B72" w:rsidP="00534659">
      <w:pPr>
        <w:spacing w:after="0" w:line="240" w:lineRule="auto"/>
      </w:pPr>
      <w:r>
        <w:separator/>
      </w:r>
    </w:p>
  </w:footnote>
  <w:footnote w:type="continuationSeparator" w:id="0">
    <w:p w14:paraId="4E17F2CC" w14:textId="77777777" w:rsidR="00281B72" w:rsidRDefault="00281B72" w:rsidP="00534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B4474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483570F"/>
    <w:multiLevelType w:val="hybridMultilevel"/>
    <w:tmpl w:val="03D2FAF6"/>
    <w:lvl w:ilvl="0" w:tplc="3C307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264112"/>
    <w:multiLevelType w:val="multilevel"/>
    <w:tmpl w:val="2D2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2D110B"/>
    <w:multiLevelType w:val="hybridMultilevel"/>
    <w:tmpl w:val="5D2CF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42D55"/>
    <w:multiLevelType w:val="hybridMultilevel"/>
    <w:tmpl w:val="90C66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C238A9"/>
    <w:multiLevelType w:val="hybridMultilevel"/>
    <w:tmpl w:val="F336E0BE"/>
    <w:lvl w:ilvl="0" w:tplc="8FF8BFFE">
      <w:start w:val="1"/>
      <w:numFmt w:val="decimal"/>
      <w:lvlText w:val="%1)"/>
      <w:lvlJc w:val="left"/>
      <w:pPr>
        <w:ind w:left="1080" w:hanging="360"/>
      </w:pPr>
      <w:rPr>
        <w:rFonts w:ascii="Aptos" w:eastAsia="Times New Roman" w:hAnsi="Aptos" w:cstheme="minorBidi" w:hint="default"/>
        <w:color w:val="auto"/>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1597223">
    <w:abstractNumId w:val="3"/>
  </w:num>
  <w:num w:numId="2" w16cid:durableId="1256134077">
    <w:abstractNumId w:val="4"/>
  </w:num>
  <w:num w:numId="3" w16cid:durableId="510722485">
    <w:abstractNumId w:val="2"/>
  </w:num>
  <w:num w:numId="4" w16cid:durableId="363604162">
    <w:abstractNumId w:val="5"/>
  </w:num>
  <w:num w:numId="5" w16cid:durableId="1357460757">
    <w:abstractNumId w:val="1"/>
  </w:num>
  <w:num w:numId="6" w16cid:durableId="46577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B8"/>
    <w:rsid w:val="00000550"/>
    <w:rsid w:val="0000112C"/>
    <w:rsid w:val="00002851"/>
    <w:rsid w:val="00011BFA"/>
    <w:rsid w:val="000153B5"/>
    <w:rsid w:val="000174DE"/>
    <w:rsid w:val="0002255C"/>
    <w:rsid w:val="00037193"/>
    <w:rsid w:val="00040541"/>
    <w:rsid w:val="000555F6"/>
    <w:rsid w:val="00060282"/>
    <w:rsid w:val="00063D96"/>
    <w:rsid w:val="00073C9A"/>
    <w:rsid w:val="00077421"/>
    <w:rsid w:val="000806FE"/>
    <w:rsid w:val="00093A24"/>
    <w:rsid w:val="000943AA"/>
    <w:rsid w:val="000A14E0"/>
    <w:rsid w:val="000B4015"/>
    <w:rsid w:val="000B7122"/>
    <w:rsid w:val="000C3AA3"/>
    <w:rsid w:val="000C3DF6"/>
    <w:rsid w:val="000C4CFE"/>
    <w:rsid w:val="000E1C42"/>
    <w:rsid w:val="000E39FA"/>
    <w:rsid w:val="000F17FF"/>
    <w:rsid w:val="000F6D56"/>
    <w:rsid w:val="0011667B"/>
    <w:rsid w:val="00124CAF"/>
    <w:rsid w:val="0012610D"/>
    <w:rsid w:val="001402A5"/>
    <w:rsid w:val="00143C15"/>
    <w:rsid w:val="001444BC"/>
    <w:rsid w:val="0015195E"/>
    <w:rsid w:val="00162EA8"/>
    <w:rsid w:val="00182853"/>
    <w:rsid w:val="0018331F"/>
    <w:rsid w:val="00186DBC"/>
    <w:rsid w:val="00193222"/>
    <w:rsid w:val="0019335C"/>
    <w:rsid w:val="0019707F"/>
    <w:rsid w:val="00197F2A"/>
    <w:rsid w:val="001A2A60"/>
    <w:rsid w:val="001A5B45"/>
    <w:rsid w:val="001B309C"/>
    <w:rsid w:val="001B522F"/>
    <w:rsid w:val="001B5903"/>
    <w:rsid w:val="001B60E2"/>
    <w:rsid w:val="001C4D9E"/>
    <w:rsid w:val="001D5315"/>
    <w:rsid w:val="001D5A6A"/>
    <w:rsid w:val="001E2EEC"/>
    <w:rsid w:val="001E4D0A"/>
    <w:rsid w:val="001F37AC"/>
    <w:rsid w:val="001F527C"/>
    <w:rsid w:val="001F5E2D"/>
    <w:rsid w:val="00213B3C"/>
    <w:rsid w:val="00220FD1"/>
    <w:rsid w:val="002239B7"/>
    <w:rsid w:val="00224BDA"/>
    <w:rsid w:val="00226450"/>
    <w:rsid w:val="00226D08"/>
    <w:rsid w:val="00234649"/>
    <w:rsid w:val="002352EB"/>
    <w:rsid w:val="002434F4"/>
    <w:rsid w:val="00244F9E"/>
    <w:rsid w:val="00253E5B"/>
    <w:rsid w:val="00255325"/>
    <w:rsid w:val="0026624C"/>
    <w:rsid w:val="00267E53"/>
    <w:rsid w:val="00273BB8"/>
    <w:rsid w:val="00280D6E"/>
    <w:rsid w:val="00281B72"/>
    <w:rsid w:val="00287233"/>
    <w:rsid w:val="00291DB2"/>
    <w:rsid w:val="0029694B"/>
    <w:rsid w:val="002A58C3"/>
    <w:rsid w:val="002B2EF9"/>
    <w:rsid w:val="002B58F6"/>
    <w:rsid w:val="002B7239"/>
    <w:rsid w:val="002C329A"/>
    <w:rsid w:val="002C34E0"/>
    <w:rsid w:val="002C36C0"/>
    <w:rsid w:val="002C417D"/>
    <w:rsid w:val="002D0BD2"/>
    <w:rsid w:val="002D30FE"/>
    <w:rsid w:val="002E0AE9"/>
    <w:rsid w:val="002E18CB"/>
    <w:rsid w:val="002F40F9"/>
    <w:rsid w:val="002F438F"/>
    <w:rsid w:val="003074E0"/>
    <w:rsid w:val="00307C71"/>
    <w:rsid w:val="00310C99"/>
    <w:rsid w:val="003128FF"/>
    <w:rsid w:val="00312E4D"/>
    <w:rsid w:val="00321597"/>
    <w:rsid w:val="0032229A"/>
    <w:rsid w:val="00331127"/>
    <w:rsid w:val="00334D81"/>
    <w:rsid w:val="0033543B"/>
    <w:rsid w:val="00337842"/>
    <w:rsid w:val="00343950"/>
    <w:rsid w:val="00343C9C"/>
    <w:rsid w:val="0034663A"/>
    <w:rsid w:val="00355439"/>
    <w:rsid w:val="00366DB3"/>
    <w:rsid w:val="0038739A"/>
    <w:rsid w:val="00391E00"/>
    <w:rsid w:val="003934FE"/>
    <w:rsid w:val="003951C5"/>
    <w:rsid w:val="00395F6D"/>
    <w:rsid w:val="00396C04"/>
    <w:rsid w:val="003C32A4"/>
    <w:rsid w:val="003C7D3D"/>
    <w:rsid w:val="003D13CA"/>
    <w:rsid w:val="003E142C"/>
    <w:rsid w:val="003F5C41"/>
    <w:rsid w:val="00407EBC"/>
    <w:rsid w:val="00411A6F"/>
    <w:rsid w:val="00417F89"/>
    <w:rsid w:val="00425FD6"/>
    <w:rsid w:val="004263FF"/>
    <w:rsid w:val="004306B9"/>
    <w:rsid w:val="00430AA1"/>
    <w:rsid w:val="004328B2"/>
    <w:rsid w:val="00442429"/>
    <w:rsid w:val="0044397A"/>
    <w:rsid w:val="0045673E"/>
    <w:rsid w:val="00472097"/>
    <w:rsid w:val="004A0CBF"/>
    <w:rsid w:val="004A1FD0"/>
    <w:rsid w:val="004A6CF9"/>
    <w:rsid w:val="004B100C"/>
    <w:rsid w:val="004B18B6"/>
    <w:rsid w:val="004B489C"/>
    <w:rsid w:val="004C0320"/>
    <w:rsid w:val="004D5180"/>
    <w:rsid w:val="004F61BC"/>
    <w:rsid w:val="004F6E34"/>
    <w:rsid w:val="00503D75"/>
    <w:rsid w:val="005235D2"/>
    <w:rsid w:val="00530EA1"/>
    <w:rsid w:val="00534659"/>
    <w:rsid w:val="00535A72"/>
    <w:rsid w:val="00536BF4"/>
    <w:rsid w:val="00554A18"/>
    <w:rsid w:val="00556E18"/>
    <w:rsid w:val="00561CCB"/>
    <w:rsid w:val="00563C8E"/>
    <w:rsid w:val="0057246E"/>
    <w:rsid w:val="00573E42"/>
    <w:rsid w:val="00577715"/>
    <w:rsid w:val="00591DB7"/>
    <w:rsid w:val="00594A2B"/>
    <w:rsid w:val="00597E1C"/>
    <w:rsid w:val="005A55CF"/>
    <w:rsid w:val="005B0A22"/>
    <w:rsid w:val="005C0645"/>
    <w:rsid w:val="005C6099"/>
    <w:rsid w:val="005D0BC6"/>
    <w:rsid w:val="005D2D9F"/>
    <w:rsid w:val="005D665A"/>
    <w:rsid w:val="005E025F"/>
    <w:rsid w:val="005F557C"/>
    <w:rsid w:val="005F7E92"/>
    <w:rsid w:val="006026FE"/>
    <w:rsid w:val="0061337C"/>
    <w:rsid w:val="006217D1"/>
    <w:rsid w:val="00637613"/>
    <w:rsid w:val="00644996"/>
    <w:rsid w:val="006524D6"/>
    <w:rsid w:val="00653A72"/>
    <w:rsid w:val="006608D3"/>
    <w:rsid w:val="00666F9C"/>
    <w:rsid w:val="006679F0"/>
    <w:rsid w:val="0067698F"/>
    <w:rsid w:val="006832F8"/>
    <w:rsid w:val="006852BE"/>
    <w:rsid w:val="00686548"/>
    <w:rsid w:val="0069150B"/>
    <w:rsid w:val="00693D36"/>
    <w:rsid w:val="00696101"/>
    <w:rsid w:val="0069657F"/>
    <w:rsid w:val="0069662D"/>
    <w:rsid w:val="006B225A"/>
    <w:rsid w:val="006B7F1F"/>
    <w:rsid w:val="006C30E5"/>
    <w:rsid w:val="006D03A3"/>
    <w:rsid w:val="006D0741"/>
    <w:rsid w:val="006D639C"/>
    <w:rsid w:val="006E5366"/>
    <w:rsid w:val="006F0B60"/>
    <w:rsid w:val="006F4554"/>
    <w:rsid w:val="006F4E56"/>
    <w:rsid w:val="00703037"/>
    <w:rsid w:val="00703698"/>
    <w:rsid w:val="00731591"/>
    <w:rsid w:val="00732BD5"/>
    <w:rsid w:val="00733968"/>
    <w:rsid w:val="007414A2"/>
    <w:rsid w:val="00741AA3"/>
    <w:rsid w:val="00760AF0"/>
    <w:rsid w:val="00763E24"/>
    <w:rsid w:val="00765024"/>
    <w:rsid w:val="00782A49"/>
    <w:rsid w:val="007836D8"/>
    <w:rsid w:val="00797479"/>
    <w:rsid w:val="007A38D7"/>
    <w:rsid w:val="007B1BFB"/>
    <w:rsid w:val="007B4C98"/>
    <w:rsid w:val="007B56D1"/>
    <w:rsid w:val="007C34E3"/>
    <w:rsid w:val="007D2BF2"/>
    <w:rsid w:val="007D6A19"/>
    <w:rsid w:val="007F3993"/>
    <w:rsid w:val="00815F81"/>
    <w:rsid w:val="00817F51"/>
    <w:rsid w:val="00823C29"/>
    <w:rsid w:val="00823E34"/>
    <w:rsid w:val="0082499D"/>
    <w:rsid w:val="00827815"/>
    <w:rsid w:val="00827DBE"/>
    <w:rsid w:val="00835833"/>
    <w:rsid w:val="00840E38"/>
    <w:rsid w:val="008472B3"/>
    <w:rsid w:val="00862A0F"/>
    <w:rsid w:val="00872221"/>
    <w:rsid w:val="00873CD7"/>
    <w:rsid w:val="008773C8"/>
    <w:rsid w:val="00886CD1"/>
    <w:rsid w:val="008A27A5"/>
    <w:rsid w:val="008A7065"/>
    <w:rsid w:val="008B60EB"/>
    <w:rsid w:val="008C4295"/>
    <w:rsid w:val="008C7FB7"/>
    <w:rsid w:val="008E6964"/>
    <w:rsid w:val="008F3052"/>
    <w:rsid w:val="008F4B98"/>
    <w:rsid w:val="008F5304"/>
    <w:rsid w:val="00900C1D"/>
    <w:rsid w:val="0090139A"/>
    <w:rsid w:val="00904421"/>
    <w:rsid w:val="0090612B"/>
    <w:rsid w:val="00907DD2"/>
    <w:rsid w:val="0091292B"/>
    <w:rsid w:val="00913510"/>
    <w:rsid w:val="00916A9A"/>
    <w:rsid w:val="00916E90"/>
    <w:rsid w:val="0092447C"/>
    <w:rsid w:val="009320BA"/>
    <w:rsid w:val="009358F2"/>
    <w:rsid w:val="00943427"/>
    <w:rsid w:val="009509B6"/>
    <w:rsid w:val="00961BB0"/>
    <w:rsid w:val="00966EF0"/>
    <w:rsid w:val="00967F12"/>
    <w:rsid w:val="009702C8"/>
    <w:rsid w:val="00971194"/>
    <w:rsid w:val="00971BEA"/>
    <w:rsid w:val="00971C4A"/>
    <w:rsid w:val="00982D71"/>
    <w:rsid w:val="00993354"/>
    <w:rsid w:val="00993656"/>
    <w:rsid w:val="00994D34"/>
    <w:rsid w:val="009A1749"/>
    <w:rsid w:val="009C2318"/>
    <w:rsid w:val="009C6FED"/>
    <w:rsid w:val="009D5E90"/>
    <w:rsid w:val="009E1615"/>
    <w:rsid w:val="009E4DBD"/>
    <w:rsid w:val="009E5EF9"/>
    <w:rsid w:val="00A179FB"/>
    <w:rsid w:val="00A234AA"/>
    <w:rsid w:val="00A3076C"/>
    <w:rsid w:val="00A3258C"/>
    <w:rsid w:val="00A325A7"/>
    <w:rsid w:val="00A41E61"/>
    <w:rsid w:val="00A56463"/>
    <w:rsid w:val="00A60F30"/>
    <w:rsid w:val="00A74333"/>
    <w:rsid w:val="00A75451"/>
    <w:rsid w:val="00A779B1"/>
    <w:rsid w:val="00A9051D"/>
    <w:rsid w:val="00A96C4C"/>
    <w:rsid w:val="00AA18E5"/>
    <w:rsid w:val="00AA2FFC"/>
    <w:rsid w:val="00AA69D9"/>
    <w:rsid w:val="00AB01E2"/>
    <w:rsid w:val="00AB0D9E"/>
    <w:rsid w:val="00AB3EC4"/>
    <w:rsid w:val="00AC00B9"/>
    <w:rsid w:val="00AC44EF"/>
    <w:rsid w:val="00AD001C"/>
    <w:rsid w:val="00AD0C19"/>
    <w:rsid w:val="00AD21A2"/>
    <w:rsid w:val="00AD2292"/>
    <w:rsid w:val="00AD2311"/>
    <w:rsid w:val="00AD4B5B"/>
    <w:rsid w:val="00AE1E19"/>
    <w:rsid w:val="00AE4F57"/>
    <w:rsid w:val="00AE5A5D"/>
    <w:rsid w:val="00AF25E0"/>
    <w:rsid w:val="00AF3D87"/>
    <w:rsid w:val="00B05301"/>
    <w:rsid w:val="00B05873"/>
    <w:rsid w:val="00B06FF6"/>
    <w:rsid w:val="00B120D3"/>
    <w:rsid w:val="00B209B0"/>
    <w:rsid w:val="00B26249"/>
    <w:rsid w:val="00B41EAA"/>
    <w:rsid w:val="00B45D17"/>
    <w:rsid w:val="00B47243"/>
    <w:rsid w:val="00B5444A"/>
    <w:rsid w:val="00B602A2"/>
    <w:rsid w:val="00B6093A"/>
    <w:rsid w:val="00B60CA7"/>
    <w:rsid w:val="00B66A37"/>
    <w:rsid w:val="00B720E0"/>
    <w:rsid w:val="00B733A5"/>
    <w:rsid w:val="00B737A2"/>
    <w:rsid w:val="00B84324"/>
    <w:rsid w:val="00B85771"/>
    <w:rsid w:val="00B858AA"/>
    <w:rsid w:val="00B92A47"/>
    <w:rsid w:val="00B92E47"/>
    <w:rsid w:val="00BA0A0F"/>
    <w:rsid w:val="00BB7990"/>
    <w:rsid w:val="00BD4057"/>
    <w:rsid w:val="00BD5E83"/>
    <w:rsid w:val="00BE24F9"/>
    <w:rsid w:val="00BE5F3F"/>
    <w:rsid w:val="00BE6321"/>
    <w:rsid w:val="00BE6421"/>
    <w:rsid w:val="00BF2313"/>
    <w:rsid w:val="00BF42BA"/>
    <w:rsid w:val="00C02991"/>
    <w:rsid w:val="00C24C92"/>
    <w:rsid w:val="00C27680"/>
    <w:rsid w:val="00C4673E"/>
    <w:rsid w:val="00C46DCC"/>
    <w:rsid w:val="00C53156"/>
    <w:rsid w:val="00C536C5"/>
    <w:rsid w:val="00C61401"/>
    <w:rsid w:val="00C70EFD"/>
    <w:rsid w:val="00C7307F"/>
    <w:rsid w:val="00C731D2"/>
    <w:rsid w:val="00C9343F"/>
    <w:rsid w:val="00C97953"/>
    <w:rsid w:val="00CA4331"/>
    <w:rsid w:val="00CB621A"/>
    <w:rsid w:val="00CC093F"/>
    <w:rsid w:val="00CC1A49"/>
    <w:rsid w:val="00CC20C9"/>
    <w:rsid w:val="00CC42FA"/>
    <w:rsid w:val="00CC45B5"/>
    <w:rsid w:val="00CD0147"/>
    <w:rsid w:val="00CD73C4"/>
    <w:rsid w:val="00CE0E1A"/>
    <w:rsid w:val="00CF5D2D"/>
    <w:rsid w:val="00D074B7"/>
    <w:rsid w:val="00D147CD"/>
    <w:rsid w:val="00D14860"/>
    <w:rsid w:val="00D16C02"/>
    <w:rsid w:val="00D26A37"/>
    <w:rsid w:val="00D26CA2"/>
    <w:rsid w:val="00D44497"/>
    <w:rsid w:val="00D44910"/>
    <w:rsid w:val="00D52542"/>
    <w:rsid w:val="00D6254C"/>
    <w:rsid w:val="00D658CC"/>
    <w:rsid w:val="00D65D14"/>
    <w:rsid w:val="00D6713B"/>
    <w:rsid w:val="00D7102A"/>
    <w:rsid w:val="00D91D07"/>
    <w:rsid w:val="00DB126C"/>
    <w:rsid w:val="00DB19EE"/>
    <w:rsid w:val="00DB61CA"/>
    <w:rsid w:val="00DC6A60"/>
    <w:rsid w:val="00DD0F34"/>
    <w:rsid w:val="00DE0720"/>
    <w:rsid w:val="00DE1516"/>
    <w:rsid w:val="00DE30A0"/>
    <w:rsid w:val="00DF5A0B"/>
    <w:rsid w:val="00E00A42"/>
    <w:rsid w:val="00E03F5B"/>
    <w:rsid w:val="00E06028"/>
    <w:rsid w:val="00E21773"/>
    <w:rsid w:val="00E24C19"/>
    <w:rsid w:val="00E26DEF"/>
    <w:rsid w:val="00E32098"/>
    <w:rsid w:val="00E34666"/>
    <w:rsid w:val="00E36D69"/>
    <w:rsid w:val="00E376FB"/>
    <w:rsid w:val="00E460DB"/>
    <w:rsid w:val="00E55157"/>
    <w:rsid w:val="00E65CE7"/>
    <w:rsid w:val="00E67EF4"/>
    <w:rsid w:val="00E7536B"/>
    <w:rsid w:val="00E779A4"/>
    <w:rsid w:val="00E831C2"/>
    <w:rsid w:val="00E904FA"/>
    <w:rsid w:val="00EA6528"/>
    <w:rsid w:val="00EC07CE"/>
    <w:rsid w:val="00EC124D"/>
    <w:rsid w:val="00EC1C72"/>
    <w:rsid w:val="00ED30D7"/>
    <w:rsid w:val="00ED73FF"/>
    <w:rsid w:val="00EE132D"/>
    <w:rsid w:val="00EE2B63"/>
    <w:rsid w:val="00EE2C3D"/>
    <w:rsid w:val="00EE3AD5"/>
    <w:rsid w:val="00EE642F"/>
    <w:rsid w:val="00EF03B5"/>
    <w:rsid w:val="00EF3014"/>
    <w:rsid w:val="00EF7535"/>
    <w:rsid w:val="00F12423"/>
    <w:rsid w:val="00F15D43"/>
    <w:rsid w:val="00F24BB6"/>
    <w:rsid w:val="00F30D74"/>
    <w:rsid w:val="00F33824"/>
    <w:rsid w:val="00F478D6"/>
    <w:rsid w:val="00F50BC3"/>
    <w:rsid w:val="00F56D08"/>
    <w:rsid w:val="00F63714"/>
    <w:rsid w:val="00F72EB6"/>
    <w:rsid w:val="00F8519A"/>
    <w:rsid w:val="00F950E1"/>
    <w:rsid w:val="00FB46FE"/>
    <w:rsid w:val="00FC0551"/>
    <w:rsid w:val="00FD5502"/>
    <w:rsid w:val="00FD6F26"/>
    <w:rsid w:val="00FD706B"/>
    <w:rsid w:val="00FE25F6"/>
    <w:rsid w:val="00FE5BE5"/>
    <w:rsid w:val="00FF198D"/>
    <w:rsid w:val="00FF1C43"/>
    <w:rsid w:val="00FF5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64E4"/>
  <w15:chartTrackingRefBased/>
  <w15:docId w15:val="{C82894DC-03A4-8E46-ACAA-A52771DF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BB8"/>
    <w:rPr>
      <w:rFonts w:eastAsiaTheme="majorEastAsia" w:cstheme="majorBidi"/>
      <w:color w:val="272727" w:themeColor="text1" w:themeTint="D8"/>
    </w:rPr>
  </w:style>
  <w:style w:type="paragraph" w:styleId="Title">
    <w:name w:val="Title"/>
    <w:basedOn w:val="Normal"/>
    <w:next w:val="Normal"/>
    <w:link w:val="TitleChar"/>
    <w:uiPriority w:val="10"/>
    <w:qFormat/>
    <w:rsid w:val="00273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BB8"/>
    <w:pPr>
      <w:spacing w:before="160"/>
      <w:jc w:val="center"/>
    </w:pPr>
    <w:rPr>
      <w:i/>
      <w:iCs/>
      <w:color w:val="404040" w:themeColor="text1" w:themeTint="BF"/>
    </w:rPr>
  </w:style>
  <w:style w:type="character" w:customStyle="1" w:styleId="QuoteChar">
    <w:name w:val="Quote Char"/>
    <w:basedOn w:val="DefaultParagraphFont"/>
    <w:link w:val="Quote"/>
    <w:uiPriority w:val="29"/>
    <w:rsid w:val="00273BB8"/>
    <w:rPr>
      <w:i/>
      <w:iCs/>
      <w:color w:val="404040" w:themeColor="text1" w:themeTint="BF"/>
    </w:rPr>
  </w:style>
  <w:style w:type="paragraph" w:styleId="ListParagraph">
    <w:name w:val="List Paragraph"/>
    <w:basedOn w:val="Normal"/>
    <w:uiPriority w:val="34"/>
    <w:qFormat/>
    <w:rsid w:val="00273BB8"/>
    <w:pPr>
      <w:ind w:left="720"/>
      <w:contextualSpacing/>
    </w:pPr>
  </w:style>
  <w:style w:type="character" w:styleId="IntenseEmphasis">
    <w:name w:val="Intense Emphasis"/>
    <w:basedOn w:val="DefaultParagraphFont"/>
    <w:uiPriority w:val="21"/>
    <w:qFormat/>
    <w:rsid w:val="00273BB8"/>
    <w:rPr>
      <w:i/>
      <w:iCs/>
      <w:color w:val="0F4761" w:themeColor="accent1" w:themeShade="BF"/>
    </w:rPr>
  </w:style>
  <w:style w:type="paragraph" w:styleId="IntenseQuote">
    <w:name w:val="Intense Quote"/>
    <w:basedOn w:val="Normal"/>
    <w:next w:val="Normal"/>
    <w:link w:val="IntenseQuoteChar"/>
    <w:uiPriority w:val="30"/>
    <w:qFormat/>
    <w:rsid w:val="00273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BB8"/>
    <w:rPr>
      <w:i/>
      <w:iCs/>
      <w:color w:val="0F4761" w:themeColor="accent1" w:themeShade="BF"/>
    </w:rPr>
  </w:style>
  <w:style w:type="character" w:styleId="IntenseReference">
    <w:name w:val="Intense Reference"/>
    <w:basedOn w:val="DefaultParagraphFont"/>
    <w:uiPriority w:val="32"/>
    <w:qFormat/>
    <w:rsid w:val="00273BB8"/>
    <w:rPr>
      <w:b/>
      <w:bCs/>
      <w:smallCaps/>
      <w:color w:val="0F4761" w:themeColor="accent1" w:themeShade="BF"/>
      <w:spacing w:val="5"/>
    </w:rPr>
  </w:style>
  <w:style w:type="paragraph" w:styleId="Revision">
    <w:name w:val="Revision"/>
    <w:hidden/>
    <w:uiPriority w:val="99"/>
    <w:semiHidden/>
    <w:rsid w:val="0069662D"/>
    <w:pPr>
      <w:spacing w:after="0" w:line="240" w:lineRule="auto"/>
    </w:pPr>
  </w:style>
  <w:style w:type="paragraph" w:styleId="FootnoteText">
    <w:name w:val="footnote text"/>
    <w:basedOn w:val="Normal"/>
    <w:link w:val="FootnoteTextChar"/>
    <w:uiPriority w:val="99"/>
    <w:semiHidden/>
    <w:unhideWhenUsed/>
    <w:rsid w:val="005346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4659"/>
    <w:rPr>
      <w:sz w:val="20"/>
      <w:szCs w:val="20"/>
    </w:rPr>
  </w:style>
  <w:style w:type="character" w:styleId="FootnoteReference">
    <w:name w:val="footnote reference"/>
    <w:basedOn w:val="DefaultParagraphFont"/>
    <w:uiPriority w:val="99"/>
    <w:semiHidden/>
    <w:unhideWhenUsed/>
    <w:rsid w:val="00534659"/>
    <w:rPr>
      <w:vertAlign w:val="superscript"/>
    </w:rPr>
  </w:style>
  <w:style w:type="character" w:styleId="Hyperlink">
    <w:name w:val="Hyperlink"/>
    <w:basedOn w:val="DefaultParagraphFont"/>
    <w:uiPriority w:val="99"/>
    <w:unhideWhenUsed/>
    <w:rsid w:val="00943427"/>
    <w:rPr>
      <w:color w:val="0000FF"/>
      <w:u w:val="single"/>
    </w:rPr>
  </w:style>
  <w:style w:type="character" w:styleId="FollowedHyperlink">
    <w:name w:val="FollowedHyperlink"/>
    <w:basedOn w:val="DefaultParagraphFont"/>
    <w:uiPriority w:val="99"/>
    <w:semiHidden/>
    <w:unhideWhenUsed/>
    <w:rsid w:val="00F24BB6"/>
    <w:rPr>
      <w:color w:val="96607D" w:themeColor="followedHyperlink"/>
      <w:u w:val="single"/>
    </w:rPr>
  </w:style>
  <w:style w:type="character" w:styleId="CommentReference">
    <w:name w:val="annotation reference"/>
    <w:basedOn w:val="DefaultParagraphFont"/>
    <w:uiPriority w:val="99"/>
    <w:semiHidden/>
    <w:unhideWhenUsed/>
    <w:rsid w:val="00D074B7"/>
    <w:rPr>
      <w:sz w:val="16"/>
      <w:szCs w:val="16"/>
    </w:rPr>
  </w:style>
  <w:style w:type="paragraph" w:styleId="CommentText">
    <w:name w:val="annotation text"/>
    <w:basedOn w:val="Normal"/>
    <w:link w:val="CommentTextChar"/>
    <w:uiPriority w:val="99"/>
    <w:semiHidden/>
    <w:unhideWhenUsed/>
    <w:rsid w:val="00D074B7"/>
    <w:pPr>
      <w:spacing w:line="240" w:lineRule="auto"/>
    </w:pPr>
    <w:rPr>
      <w:sz w:val="20"/>
      <w:szCs w:val="20"/>
    </w:rPr>
  </w:style>
  <w:style w:type="character" w:customStyle="1" w:styleId="CommentTextChar">
    <w:name w:val="Comment Text Char"/>
    <w:basedOn w:val="DefaultParagraphFont"/>
    <w:link w:val="CommentText"/>
    <w:uiPriority w:val="99"/>
    <w:semiHidden/>
    <w:rsid w:val="00D074B7"/>
    <w:rPr>
      <w:sz w:val="20"/>
      <w:szCs w:val="20"/>
    </w:rPr>
  </w:style>
  <w:style w:type="paragraph" w:styleId="CommentSubject">
    <w:name w:val="annotation subject"/>
    <w:basedOn w:val="CommentText"/>
    <w:next w:val="CommentText"/>
    <w:link w:val="CommentSubjectChar"/>
    <w:uiPriority w:val="99"/>
    <w:semiHidden/>
    <w:unhideWhenUsed/>
    <w:rsid w:val="00D074B7"/>
    <w:rPr>
      <w:b/>
      <w:bCs/>
    </w:rPr>
  </w:style>
  <w:style w:type="character" w:customStyle="1" w:styleId="CommentSubjectChar">
    <w:name w:val="Comment Subject Char"/>
    <w:basedOn w:val="CommentTextChar"/>
    <w:link w:val="CommentSubject"/>
    <w:uiPriority w:val="99"/>
    <w:semiHidden/>
    <w:rsid w:val="00D074B7"/>
    <w:rPr>
      <w:b/>
      <w:bCs/>
      <w:sz w:val="20"/>
      <w:szCs w:val="20"/>
    </w:rPr>
  </w:style>
  <w:style w:type="character" w:styleId="PlaceholderText">
    <w:name w:val="Placeholder Text"/>
    <w:basedOn w:val="DefaultParagraphFont"/>
    <w:uiPriority w:val="99"/>
    <w:semiHidden/>
    <w:rsid w:val="00411A6F"/>
    <w:rPr>
      <w:color w:val="666666"/>
    </w:rPr>
  </w:style>
  <w:style w:type="character" w:styleId="UnresolvedMention">
    <w:name w:val="Unresolved Mention"/>
    <w:basedOn w:val="DefaultParagraphFont"/>
    <w:uiPriority w:val="99"/>
    <w:semiHidden/>
    <w:unhideWhenUsed/>
    <w:rsid w:val="0033543B"/>
    <w:rPr>
      <w:color w:val="605E5C"/>
      <w:shd w:val="clear" w:color="auto" w:fill="E1DFDD"/>
    </w:rPr>
  </w:style>
  <w:style w:type="paragraph" w:styleId="BodyText">
    <w:name w:val="Body Text"/>
    <w:basedOn w:val="Normal"/>
    <w:link w:val="BodyTextChar"/>
    <w:qFormat/>
    <w:rsid w:val="00B5444A"/>
    <w:pPr>
      <w:spacing w:before="180" w:after="180" w:line="240" w:lineRule="auto"/>
    </w:pPr>
    <w:rPr>
      <w:kern w:val="0"/>
      <w14:ligatures w14:val="none"/>
    </w:rPr>
  </w:style>
  <w:style w:type="character" w:customStyle="1" w:styleId="BodyTextChar">
    <w:name w:val="Body Text Char"/>
    <w:basedOn w:val="DefaultParagraphFont"/>
    <w:link w:val="BodyText"/>
    <w:rsid w:val="00B5444A"/>
    <w:rPr>
      <w:kern w:val="0"/>
      <w14:ligatures w14:val="none"/>
    </w:rPr>
  </w:style>
  <w:style w:type="paragraph" w:customStyle="1" w:styleId="my-0">
    <w:name w:val="my-0"/>
    <w:basedOn w:val="Normal"/>
    <w:rsid w:val="007836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093F"/>
    <w:rPr>
      <w:b/>
      <w:bCs/>
    </w:rPr>
  </w:style>
  <w:style w:type="character" w:styleId="Emphasis">
    <w:name w:val="Emphasis"/>
    <w:basedOn w:val="DefaultParagraphFont"/>
    <w:uiPriority w:val="20"/>
    <w:qFormat/>
    <w:rsid w:val="00DE30A0"/>
    <w:rPr>
      <w:i/>
      <w:iCs/>
    </w:rPr>
  </w:style>
  <w:style w:type="paragraph" w:customStyle="1" w:styleId="FirstParagraph">
    <w:name w:val="First Paragraph"/>
    <w:basedOn w:val="BodyText"/>
    <w:next w:val="BodyText"/>
    <w:qFormat/>
    <w:rsid w:val="00073C9A"/>
  </w:style>
  <w:style w:type="paragraph" w:customStyle="1" w:styleId="Compact">
    <w:name w:val="Compact"/>
    <w:basedOn w:val="BodyText"/>
    <w:qFormat/>
    <w:rsid w:val="00077421"/>
    <w:pPr>
      <w:spacing w:before="36" w:after="36"/>
    </w:pPr>
  </w:style>
  <w:style w:type="character" w:customStyle="1" w:styleId="CharTok">
    <w:name w:val="CharTok"/>
    <w:basedOn w:val="DefaultParagraphFont"/>
    <w:rsid w:val="00077421"/>
    <w:rPr>
      <w:rFonts w:ascii="Consolas" w:hAnsi="Consolas"/>
      <w:color w:val="4070A0"/>
      <w:sz w:val="22"/>
    </w:rPr>
  </w:style>
  <w:style w:type="paragraph" w:customStyle="1" w:styleId="font-claude-response-body">
    <w:name w:val="font-claude-response-body"/>
    <w:basedOn w:val="Normal"/>
    <w:rsid w:val="008C7FB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69D9"/>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csl-left-margin">
    <w:name w:val="csl-left-margin"/>
    <w:basedOn w:val="DefaultParagraphFont"/>
    <w:rsid w:val="00AA69D9"/>
  </w:style>
  <w:style w:type="character" w:customStyle="1" w:styleId="csl-right-inline">
    <w:name w:val="csl-right-inline"/>
    <w:basedOn w:val="DefaultParagraphFont"/>
    <w:rsid w:val="00AA69D9"/>
  </w:style>
  <w:style w:type="character" w:customStyle="1" w:styleId="csl-entry">
    <w:name w:val="csl-entry"/>
    <w:basedOn w:val="DefaultParagraphFont"/>
    <w:rsid w:val="00093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23">
      <w:bodyDiv w:val="1"/>
      <w:marLeft w:val="0"/>
      <w:marRight w:val="0"/>
      <w:marTop w:val="0"/>
      <w:marBottom w:val="0"/>
      <w:divBdr>
        <w:top w:val="none" w:sz="0" w:space="0" w:color="auto"/>
        <w:left w:val="none" w:sz="0" w:space="0" w:color="auto"/>
        <w:bottom w:val="none" w:sz="0" w:space="0" w:color="auto"/>
        <w:right w:val="none" w:sz="0" w:space="0" w:color="auto"/>
      </w:divBdr>
    </w:div>
    <w:div w:id="18556288">
      <w:bodyDiv w:val="1"/>
      <w:marLeft w:val="0"/>
      <w:marRight w:val="0"/>
      <w:marTop w:val="0"/>
      <w:marBottom w:val="0"/>
      <w:divBdr>
        <w:top w:val="none" w:sz="0" w:space="0" w:color="auto"/>
        <w:left w:val="none" w:sz="0" w:space="0" w:color="auto"/>
        <w:bottom w:val="none" w:sz="0" w:space="0" w:color="auto"/>
        <w:right w:val="none" w:sz="0" w:space="0" w:color="auto"/>
      </w:divBdr>
    </w:div>
    <w:div w:id="24840511">
      <w:bodyDiv w:val="1"/>
      <w:marLeft w:val="0"/>
      <w:marRight w:val="0"/>
      <w:marTop w:val="0"/>
      <w:marBottom w:val="0"/>
      <w:divBdr>
        <w:top w:val="none" w:sz="0" w:space="0" w:color="auto"/>
        <w:left w:val="none" w:sz="0" w:space="0" w:color="auto"/>
        <w:bottom w:val="none" w:sz="0" w:space="0" w:color="auto"/>
        <w:right w:val="none" w:sz="0" w:space="0" w:color="auto"/>
      </w:divBdr>
    </w:div>
    <w:div w:id="28650552">
      <w:bodyDiv w:val="1"/>
      <w:marLeft w:val="0"/>
      <w:marRight w:val="0"/>
      <w:marTop w:val="0"/>
      <w:marBottom w:val="0"/>
      <w:divBdr>
        <w:top w:val="none" w:sz="0" w:space="0" w:color="auto"/>
        <w:left w:val="none" w:sz="0" w:space="0" w:color="auto"/>
        <w:bottom w:val="none" w:sz="0" w:space="0" w:color="auto"/>
        <w:right w:val="none" w:sz="0" w:space="0" w:color="auto"/>
      </w:divBdr>
    </w:div>
    <w:div w:id="44256988">
      <w:bodyDiv w:val="1"/>
      <w:marLeft w:val="0"/>
      <w:marRight w:val="0"/>
      <w:marTop w:val="0"/>
      <w:marBottom w:val="0"/>
      <w:divBdr>
        <w:top w:val="none" w:sz="0" w:space="0" w:color="auto"/>
        <w:left w:val="none" w:sz="0" w:space="0" w:color="auto"/>
        <w:bottom w:val="none" w:sz="0" w:space="0" w:color="auto"/>
        <w:right w:val="none" w:sz="0" w:space="0" w:color="auto"/>
      </w:divBdr>
    </w:div>
    <w:div w:id="45030141">
      <w:bodyDiv w:val="1"/>
      <w:marLeft w:val="0"/>
      <w:marRight w:val="0"/>
      <w:marTop w:val="0"/>
      <w:marBottom w:val="0"/>
      <w:divBdr>
        <w:top w:val="none" w:sz="0" w:space="0" w:color="auto"/>
        <w:left w:val="none" w:sz="0" w:space="0" w:color="auto"/>
        <w:bottom w:val="none" w:sz="0" w:space="0" w:color="auto"/>
        <w:right w:val="none" w:sz="0" w:space="0" w:color="auto"/>
      </w:divBdr>
    </w:div>
    <w:div w:id="57946487">
      <w:bodyDiv w:val="1"/>
      <w:marLeft w:val="0"/>
      <w:marRight w:val="0"/>
      <w:marTop w:val="0"/>
      <w:marBottom w:val="0"/>
      <w:divBdr>
        <w:top w:val="none" w:sz="0" w:space="0" w:color="auto"/>
        <w:left w:val="none" w:sz="0" w:space="0" w:color="auto"/>
        <w:bottom w:val="none" w:sz="0" w:space="0" w:color="auto"/>
        <w:right w:val="none" w:sz="0" w:space="0" w:color="auto"/>
      </w:divBdr>
    </w:div>
    <w:div w:id="63450267">
      <w:bodyDiv w:val="1"/>
      <w:marLeft w:val="0"/>
      <w:marRight w:val="0"/>
      <w:marTop w:val="0"/>
      <w:marBottom w:val="0"/>
      <w:divBdr>
        <w:top w:val="none" w:sz="0" w:space="0" w:color="auto"/>
        <w:left w:val="none" w:sz="0" w:space="0" w:color="auto"/>
        <w:bottom w:val="none" w:sz="0" w:space="0" w:color="auto"/>
        <w:right w:val="none" w:sz="0" w:space="0" w:color="auto"/>
      </w:divBdr>
    </w:div>
    <w:div w:id="134027486">
      <w:bodyDiv w:val="1"/>
      <w:marLeft w:val="0"/>
      <w:marRight w:val="0"/>
      <w:marTop w:val="0"/>
      <w:marBottom w:val="0"/>
      <w:divBdr>
        <w:top w:val="none" w:sz="0" w:space="0" w:color="auto"/>
        <w:left w:val="none" w:sz="0" w:space="0" w:color="auto"/>
        <w:bottom w:val="none" w:sz="0" w:space="0" w:color="auto"/>
        <w:right w:val="none" w:sz="0" w:space="0" w:color="auto"/>
      </w:divBdr>
    </w:div>
    <w:div w:id="158931710">
      <w:bodyDiv w:val="1"/>
      <w:marLeft w:val="0"/>
      <w:marRight w:val="0"/>
      <w:marTop w:val="0"/>
      <w:marBottom w:val="0"/>
      <w:divBdr>
        <w:top w:val="none" w:sz="0" w:space="0" w:color="auto"/>
        <w:left w:val="none" w:sz="0" w:space="0" w:color="auto"/>
        <w:bottom w:val="none" w:sz="0" w:space="0" w:color="auto"/>
        <w:right w:val="none" w:sz="0" w:space="0" w:color="auto"/>
      </w:divBdr>
    </w:div>
    <w:div w:id="160194439">
      <w:bodyDiv w:val="1"/>
      <w:marLeft w:val="0"/>
      <w:marRight w:val="0"/>
      <w:marTop w:val="0"/>
      <w:marBottom w:val="0"/>
      <w:divBdr>
        <w:top w:val="none" w:sz="0" w:space="0" w:color="auto"/>
        <w:left w:val="none" w:sz="0" w:space="0" w:color="auto"/>
        <w:bottom w:val="none" w:sz="0" w:space="0" w:color="auto"/>
        <w:right w:val="none" w:sz="0" w:space="0" w:color="auto"/>
      </w:divBdr>
    </w:div>
    <w:div w:id="180553979">
      <w:bodyDiv w:val="1"/>
      <w:marLeft w:val="0"/>
      <w:marRight w:val="0"/>
      <w:marTop w:val="0"/>
      <w:marBottom w:val="0"/>
      <w:divBdr>
        <w:top w:val="none" w:sz="0" w:space="0" w:color="auto"/>
        <w:left w:val="none" w:sz="0" w:space="0" w:color="auto"/>
        <w:bottom w:val="none" w:sz="0" w:space="0" w:color="auto"/>
        <w:right w:val="none" w:sz="0" w:space="0" w:color="auto"/>
      </w:divBdr>
    </w:div>
    <w:div w:id="188493096">
      <w:bodyDiv w:val="1"/>
      <w:marLeft w:val="0"/>
      <w:marRight w:val="0"/>
      <w:marTop w:val="0"/>
      <w:marBottom w:val="0"/>
      <w:divBdr>
        <w:top w:val="none" w:sz="0" w:space="0" w:color="auto"/>
        <w:left w:val="none" w:sz="0" w:space="0" w:color="auto"/>
        <w:bottom w:val="none" w:sz="0" w:space="0" w:color="auto"/>
        <w:right w:val="none" w:sz="0" w:space="0" w:color="auto"/>
      </w:divBdr>
    </w:div>
    <w:div w:id="190145996">
      <w:bodyDiv w:val="1"/>
      <w:marLeft w:val="0"/>
      <w:marRight w:val="0"/>
      <w:marTop w:val="0"/>
      <w:marBottom w:val="0"/>
      <w:divBdr>
        <w:top w:val="none" w:sz="0" w:space="0" w:color="auto"/>
        <w:left w:val="none" w:sz="0" w:space="0" w:color="auto"/>
        <w:bottom w:val="none" w:sz="0" w:space="0" w:color="auto"/>
        <w:right w:val="none" w:sz="0" w:space="0" w:color="auto"/>
      </w:divBdr>
    </w:div>
    <w:div w:id="198863891">
      <w:bodyDiv w:val="1"/>
      <w:marLeft w:val="0"/>
      <w:marRight w:val="0"/>
      <w:marTop w:val="0"/>
      <w:marBottom w:val="0"/>
      <w:divBdr>
        <w:top w:val="none" w:sz="0" w:space="0" w:color="auto"/>
        <w:left w:val="none" w:sz="0" w:space="0" w:color="auto"/>
        <w:bottom w:val="none" w:sz="0" w:space="0" w:color="auto"/>
        <w:right w:val="none" w:sz="0" w:space="0" w:color="auto"/>
      </w:divBdr>
    </w:div>
    <w:div w:id="227885625">
      <w:bodyDiv w:val="1"/>
      <w:marLeft w:val="0"/>
      <w:marRight w:val="0"/>
      <w:marTop w:val="0"/>
      <w:marBottom w:val="0"/>
      <w:divBdr>
        <w:top w:val="none" w:sz="0" w:space="0" w:color="auto"/>
        <w:left w:val="none" w:sz="0" w:space="0" w:color="auto"/>
        <w:bottom w:val="none" w:sz="0" w:space="0" w:color="auto"/>
        <w:right w:val="none" w:sz="0" w:space="0" w:color="auto"/>
      </w:divBdr>
    </w:div>
    <w:div w:id="307320687">
      <w:bodyDiv w:val="1"/>
      <w:marLeft w:val="0"/>
      <w:marRight w:val="0"/>
      <w:marTop w:val="0"/>
      <w:marBottom w:val="0"/>
      <w:divBdr>
        <w:top w:val="none" w:sz="0" w:space="0" w:color="auto"/>
        <w:left w:val="none" w:sz="0" w:space="0" w:color="auto"/>
        <w:bottom w:val="none" w:sz="0" w:space="0" w:color="auto"/>
        <w:right w:val="none" w:sz="0" w:space="0" w:color="auto"/>
      </w:divBdr>
    </w:div>
    <w:div w:id="309679140">
      <w:bodyDiv w:val="1"/>
      <w:marLeft w:val="0"/>
      <w:marRight w:val="0"/>
      <w:marTop w:val="0"/>
      <w:marBottom w:val="0"/>
      <w:divBdr>
        <w:top w:val="none" w:sz="0" w:space="0" w:color="auto"/>
        <w:left w:val="none" w:sz="0" w:space="0" w:color="auto"/>
        <w:bottom w:val="none" w:sz="0" w:space="0" w:color="auto"/>
        <w:right w:val="none" w:sz="0" w:space="0" w:color="auto"/>
      </w:divBdr>
    </w:div>
    <w:div w:id="336422452">
      <w:bodyDiv w:val="1"/>
      <w:marLeft w:val="0"/>
      <w:marRight w:val="0"/>
      <w:marTop w:val="0"/>
      <w:marBottom w:val="0"/>
      <w:divBdr>
        <w:top w:val="none" w:sz="0" w:space="0" w:color="auto"/>
        <w:left w:val="none" w:sz="0" w:space="0" w:color="auto"/>
        <w:bottom w:val="none" w:sz="0" w:space="0" w:color="auto"/>
        <w:right w:val="none" w:sz="0" w:space="0" w:color="auto"/>
      </w:divBdr>
    </w:div>
    <w:div w:id="338848819">
      <w:bodyDiv w:val="1"/>
      <w:marLeft w:val="0"/>
      <w:marRight w:val="0"/>
      <w:marTop w:val="0"/>
      <w:marBottom w:val="0"/>
      <w:divBdr>
        <w:top w:val="none" w:sz="0" w:space="0" w:color="auto"/>
        <w:left w:val="none" w:sz="0" w:space="0" w:color="auto"/>
        <w:bottom w:val="none" w:sz="0" w:space="0" w:color="auto"/>
        <w:right w:val="none" w:sz="0" w:space="0" w:color="auto"/>
      </w:divBdr>
    </w:div>
    <w:div w:id="361826703">
      <w:bodyDiv w:val="1"/>
      <w:marLeft w:val="0"/>
      <w:marRight w:val="0"/>
      <w:marTop w:val="0"/>
      <w:marBottom w:val="0"/>
      <w:divBdr>
        <w:top w:val="none" w:sz="0" w:space="0" w:color="auto"/>
        <w:left w:val="none" w:sz="0" w:space="0" w:color="auto"/>
        <w:bottom w:val="none" w:sz="0" w:space="0" w:color="auto"/>
        <w:right w:val="none" w:sz="0" w:space="0" w:color="auto"/>
      </w:divBdr>
    </w:div>
    <w:div w:id="413481364">
      <w:bodyDiv w:val="1"/>
      <w:marLeft w:val="0"/>
      <w:marRight w:val="0"/>
      <w:marTop w:val="0"/>
      <w:marBottom w:val="0"/>
      <w:divBdr>
        <w:top w:val="none" w:sz="0" w:space="0" w:color="auto"/>
        <w:left w:val="none" w:sz="0" w:space="0" w:color="auto"/>
        <w:bottom w:val="none" w:sz="0" w:space="0" w:color="auto"/>
        <w:right w:val="none" w:sz="0" w:space="0" w:color="auto"/>
      </w:divBdr>
    </w:div>
    <w:div w:id="431098055">
      <w:bodyDiv w:val="1"/>
      <w:marLeft w:val="0"/>
      <w:marRight w:val="0"/>
      <w:marTop w:val="0"/>
      <w:marBottom w:val="0"/>
      <w:divBdr>
        <w:top w:val="none" w:sz="0" w:space="0" w:color="auto"/>
        <w:left w:val="none" w:sz="0" w:space="0" w:color="auto"/>
        <w:bottom w:val="none" w:sz="0" w:space="0" w:color="auto"/>
        <w:right w:val="none" w:sz="0" w:space="0" w:color="auto"/>
      </w:divBdr>
    </w:div>
    <w:div w:id="460458656">
      <w:bodyDiv w:val="1"/>
      <w:marLeft w:val="0"/>
      <w:marRight w:val="0"/>
      <w:marTop w:val="0"/>
      <w:marBottom w:val="0"/>
      <w:divBdr>
        <w:top w:val="none" w:sz="0" w:space="0" w:color="auto"/>
        <w:left w:val="none" w:sz="0" w:space="0" w:color="auto"/>
        <w:bottom w:val="none" w:sz="0" w:space="0" w:color="auto"/>
        <w:right w:val="none" w:sz="0" w:space="0" w:color="auto"/>
      </w:divBdr>
    </w:div>
    <w:div w:id="484513363">
      <w:bodyDiv w:val="1"/>
      <w:marLeft w:val="0"/>
      <w:marRight w:val="0"/>
      <w:marTop w:val="0"/>
      <w:marBottom w:val="0"/>
      <w:divBdr>
        <w:top w:val="none" w:sz="0" w:space="0" w:color="auto"/>
        <w:left w:val="none" w:sz="0" w:space="0" w:color="auto"/>
        <w:bottom w:val="none" w:sz="0" w:space="0" w:color="auto"/>
        <w:right w:val="none" w:sz="0" w:space="0" w:color="auto"/>
      </w:divBdr>
    </w:div>
    <w:div w:id="518349592">
      <w:bodyDiv w:val="1"/>
      <w:marLeft w:val="0"/>
      <w:marRight w:val="0"/>
      <w:marTop w:val="0"/>
      <w:marBottom w:val="0"/>
      <w:divBdr>
        <w:top w:val="none" w:sz="0" w:space="0" w:color="auto"/>
        <w:left w:val="none" w:sz="0" w:space="0" w:color="auto"/>
        <w:bottom w:val="none" w:sz="0" w:space="0" w:color="auto"/>
        <w:right w:val="none" w:sz="0" w:space="0" w:color="auto"/>
      </w:divBdr>
    </w:div>
    <w:div w:id="532227937">
      <w:bodyDiv w:val="1"/>
      <w:marLeft w:val="0"/>
      <w:marRight w:val="0"/>
      <w:marTop w:val="0"/>
      <w:marBottom w:val="0"/>
      <w:divBdr>
        <w:top w:val="none" w:sz="0" w:space="0" w:color="auto"/>
        <w:left w:val="none" w:sz="0" w:space="0" w:color="auto"/>
        <w:bottom w:val="none" w:sz="0" w:space="0" w:color="auto"/>
        <w:right w:val="none" w:sz="0" w:space="0" w:color="auto"/>
      </w:divBdr>
    </w:div>
    <w:div w:id="540482692">
      <w:bodyDiv w:val="1"/>
      <w:marLeft w:val="0"/>
      <w:marRight w:val="0"/>
      <w:marTop w:val="0"/>
      <w:marBottom w:val="0"/>
      <w:divBdr>
        <w:top w:val="none" w:sz="0" w:space="0" w:color="auto"/>
        <w:left w:val="none" w:sz="0" w:space="0" w:color="auto"/>
        <w:bottom w:val="none" w:sz="0" w:space="0" w:color="auto"/>
        <w:right w:val="none" w:sz="0" w:space="0" w:color="auto"/>
      </w:divBdr>
    </w:div>
    <w:div w:id="559095376">
      <w:bodyDiv w:val="1"/>
      <w:marLeft w:val="0"/>
      <w:marRight w:val="0"/>
      <w:marTop w:val="0"/>
      <w:marBottom w:val="0"/>
      <w:divBdr>
        <w:top w:val="none" w:sz="0" w:space="0" w:color="auto"/>
        <w:left w:val="none" w:sz="0" w:space="0" w:color="auto"/>
        <w:bottom w:val="none" w:sz="0" w:space="0" w:color="auto"/>
        <w:right w:val="none" w:sz="0" w:space="0" w:color="auto"/>
      </w:divBdr>
    </w:div>
    <w:div w:id="565192191">
      <w:bodyDiv w:val="1"/>
      <w:marLeft w:val="0"/>
      <w:marRight w:val="0"/>
      <w:marTop w:val="0"/>
      <w:marBottom w:val="0"/>
      <w:divBdr>
        <w:top w:val="none" w:sz="0" w:space="0" w:color="auto"/>
        <w:left w:val="none" w:sz="0" w:space="0" w:color="auto"/>
        <w:bottom w:val="none" w:sz="0" w:space="0" w:color="auto"/>
        <w:right w:val="none" w:sz="0" w:space="0" w:color="auto"/>
      </w:divBdr>
    </w:div>
    <w:div w:id="670062000">
      <w:bodyDiv w:val="1"/>
      <w:marLeft w:val="0"/>
      <w:marRight w:val="0"/>
      <w:marTop w:val="0"/>
      <w:marBottom w:val="0"/>
      <w:divBdr>
        <w:top w:val="none" w:sz="0" w:space="0" w:color="auto"/>
        <w:left w:val="none" w:sz="0" w:space="0" w:color="auto"/>
        <w:bottom w:val="none" w:sz="0" w:space="0" w:color="auto"/>
        <w:right w:val="none" w:sz="0" w:space="0" w:color="auto"/>
      </w:divBdr>
    </w:div>
    <w:div w:id="696976918">
      <w:bodyDiv w:val="1"/>
      <w:marLeft w:val="0"/>
      <w:marRight w:val="0"/>
      <w:marTop w:val="0"/>
      <w:marBottom w:val="0"/>
      <w:divBdr>
        <w:top w:val="none" w:sz="0" w:space="0" w:color="auto"/>
        <w:left w:val="none" w:sz="0" w:space="0" w:color="auto"/>
        <w:bottom w:val="none" w:sz="0" w:space="0" w:color="auto"/>
        <w:right w:val="none" w:sz="0" w:space="0" w:color="auto"/>
      </w:divBdr>
    </w:div>
    <w:div w:id="700469908">
      <w:bodyDiv w:val="1"/>
      <w:marLeft w:val="0"/>
      <w:marRight w:val="0"/>
      <w:marTop w:val="0"/>
      <w:marBottom w:val="0"/>
      <w:divBdr>
        <w:top w:val="none" w:sz="0" w:space="0" w:color="auto"/>
        <w:left w:val="none" w:sz="0" w:space="0" w:color="auto"/>
        <w:bottom w:val="none" w:sz="0" w:space="0" w:color="auto"/>
        <w:right w:val="none" w:sz="0" w:space="0" w:color="auto"/>
      </w:divBdr>
    </w:div>
    <w:div w:id="711812068">
      <w:bodyDiv w:val="1"/>
      <w:marLeft w:val="0"/>
      <w:marRight w:val="0"/>
      <w:marTop w:val="0"/>
      <w:marBottom w:val="0"/>
      <w:divBdr>
        <w:top w:val="none" w:sz="0" w:space="0" w:color="auto"/>
        <w:left w:val="none" w:sz="0" w:space="0" w:color="auto"/>
        <w:bottom w:val="none" w:sz="0" w:space="0" w:color="auto"/>
        <w:right w:val="none" w:sz="0" w:space="0" w:color="auto"/>
      </w:divBdr>
    </w:div>
    <w:div w:id="724991995">
      <w:bodyDiv w:val="1"/>
      <w:marLeft w:val="0"/>
      <w:marRight w:val="0"/>
      <w:marTop w:val="0"/>
      <w:marBottom w:val="0"/>
      <w:divBdr>
        <w:top w:val="none" w:sz="0" w:space="0" w:color="auto"/>
        <w:left w:val="none" w:sz="0" w:space="0" w:color="auto"/>
        <w:bottom w:val="none" w:sz="0" w:space="0" w:color="auto"/>
        <w:right w:val="none" w:sz="0" w:space="0" w:color="auto"/>
      </w:divBdr>
    </w:div>
    <w:div w:id="728458475">
      <w:bodyDiv w:val="1"/>
      <w:marLeft w:val="0"/>
      <w:marRight w:val="0"/>
      <w:marTop w:val="0"/>
      <w:marBottom w:val="0"/>
      <w:divBdr>
        <w:top w:val="none" w:sz="0" w:space="0" w:color="auto"/>
        <w:left w:val="none" w:sz="0" w:space="0" w:color="auto"/>
        <w:bottom w:val="none" w:sz="0" w:space="0" w:color="auto"/>
        <w:right w:val="none" w:sz="0" w:space="0" w:color="auto"/>
      </w:divBdr>
    </w:div>
    <w:div w:id="741563349">
      <w:bodyDiv w:val="1"/>
      <w:marLeft w:val="0"/>
      <w:marRight w:val="0"/>
      <w:marTop w:val="0"/>
      <w:marBottom w:val="0"/>
      <w:divBdr>
        <w:top w:val="none" w:sz="0" w:space="0" w:color="auto"/>
        <w:left w:val="none" w:sz="0" w:space="0" w:color="auto"/>
        <w:bottom w:val="none" w:sz="0" w:space="0" w:color="auto"/>
        <w:right w:val="none" w:sz="0" w:space="0" w:color="auto"/>
      </w:divBdr>
    </w:div>
    <w:div w:id="755829399">
      <w:bodyDiv w:val="1"/>
      <w:marLeft w:val="0"/>
      <w:marRight w:val="0"/>
      <w:marTop w:val="0"/>
      <w:marBottom w:val="0"/>
      <w:divBdr>
        <w:top w:val="none" w:sz="0" w:space="0" w:color="auto"/>
        <w:left w:val="none" w:sz="0" w:space="0" w:color="auto"/>
        <w:bottom w:val="none" w:sz="0" w:space="0" w:color="auto"/>
        <w:right w:val="none" w:sz="0" w:space="0" w:color="auto"/>
      </w:divBdr>
    </w:div>
    <w:div w:id="771097280">
      <w:bodyDiv w:val="1"/>
      <w:marLeft w:val="0"/>
      <w:marRight w:val="0"/>
      <w:marTop w:val="0"/>
      <w:marBottom w:val="0"/>
      <w:divBdr>
        <w:top w:val="none" w:sz="0" w:space="0" w:color="auto"/>
        <w:left w:val="none" w:sz="0" w:space="0" w:color="auto"/>
        <w:bottom w:val="none" w:sz="0" w:space="0" w:color="auto"/>
        <w:right w:val="none" w:sz="0" w:space="0" w:color="auto"/>
      </w:divBdr>
    </w:div>
    <w:div w:id="790904136">
      <w:bodyDiv w:val="1"/>
      <w:marLeft w:val="0"/>
      <w:marRight w:val="0"/>
      <w:marTop w:val="0"/>
      <w:marBottom w:val="0"/>
      <w:divBdr>
        <w:top w:val="none" w:sz="0" w:space="0" w:color="auto"/>
        <w:left w:val="none" w:sz="0" w:space="0" w:color="auto"/>
        <w:bottom w:val="none" w:sz="0" w:space="0" w:color="auto"/>
        <w:right w:val="none" w:sz="0" w:space="0" w:color="auto"/>
      </w:divBdr>
    </w:div>
    <w:div w:id="813374206">
      <w:bodyDiv w:val="1"/>
      <w:marLeft w:val="0"/>
      <w:marRight w:val="0"/>
      <w:marTop w:val="0"/>
      <w:marBottom w:val="0"/>
      <w:divBdr>
        <w:top w:val="none" w:sz="0" w:space="0" w:color="auto"/>
        <w:left w:val="none" w:sz="0" w:space="0" w:color="auto"/>
        <w:bottom w:val="none" w:sz="0" w:space="0" w:color="auto"/>
        <w:right w:val="none" w:sz="0" w:space="0" w:color="auto"/>
      </w:divBdr>
    </w:div>
    <w:div w:id="825442131">
      <w:bodyDiv w:val="1"/>
      <w:marLeft w:val="0"/>
      <w:marRight w:val="0"/>
      <w:marTop w:val="0"/>
      <w:marBottom w:val="0"/>
      <w:divBdr>
        <w:top w:val="none" w:sz="0" w:space="0" w:color="auto"/>
        <w:left w:val="none" w:sz="0" w:space="0" w:color="auto"/>
        <w:bottom w:val="none" w:sz="0" w:space="0" w:color="auto"/>
        <w:right w:val="none" w:sz="0" w:space="0" w:color="auto"/>
      </w:divBdr>
    </w:div>
    <w:div w:id="826366277">
      <w:bodyDiv w:val="1"/>
      <w:marLeft w:val="0"/>
      <w:marRight w:val="0"/>
      <w:marTop w:val="0"/>
      <w:marBottom w:val="0"/>
      <w:divBdr>
        <w:top w:val="none" w:sz="0" w:space="0" w:color="auto"/>
        <w:left w:val="none" w:sz="0" w:space="0" w:color="auto"/>
        <w:bottom w:val="none" w:sz="0" w:space="0" w:color="auto"/>
        <w:right w:val="none" w:sz="0" w:space="0" w:color="auto"/>
      </w:divBdr>
    </w:div>
    <w:div w:id="842203430">
      <w:bodyDiv w:val="1"/>
      <w:marLeft w:val="0"/>
      <w:marRight w:val="0"/>
      <w:marTop w:val="0"/>
      <w:marBottom w:val="0"/>
      <w:divBdr>
        <w:top w:val="none" w:sz="0" w:space="0" w:color="auto"/>
        <w:left w:val="none" w:sz="0" w:space="0" w:color="auto"/>
        <w:bottom w:val="none" w:sz="0" w:space="0" w:color="auto"/>
        <w:right w:val="none" w:sz="0" w:space="0" w:color="auto"/>
      </w:divBdr>
    </w:div>
    <w:div w:id="866336375">
      <w:bodyDiv w:val="1"/>
      <w:marLeft w:val="0"/>
      <w:marRight w:val="0"/>
      <w:marTop w:val="0"/>
      <w:marBottom w:val="0"/>
      <w:divBdr>
        <w:top w:val="none" w:sz="0" w:space="0" w:color="auto"/>
        <w:left w:val="none" w:sz="0" w:space="0" w:color="auto"/>
        <w:bottom w:val="none" w:sz="0" w:space="0" w:color="auto"/>
        <w:right w:val="none" w:sz="0" w:space="0" w:color="auto"/>
      </w:divBdr>
    </w:div>
    <w:div w:id="873424956">
      <w:bodyDiv w:val="1"/>
      <w:marLeft w:val="0"/>
      <w:marRight w:val="0"/>
      <w:marTop w:val="0"/>
      <w:marBottom w:val="0"/>
      <w:divBdr>
        <w:top w:val="none" w:sz="0" w:space="0" w:color="auto"/>
        <w:left w:val="none" w:sz="0" w:space="0" w:color="auto"/>
        <w:bottom w:val="none" w:sz="0" w:space="0" w:color="auto"/>
        <w:right w:val="none" w:sz="0" w:space="0" w:color="auto"/>
      </w:divBdr>
    </w:div>
    <w:div w:id="887688560">
      <w:bodyDiv w:val="1"/>
      <w:marLeft w:val="0"/>
      <w:marRight w:val="0"/>
      <w:marTop w:val="0"/>
      <w:marBottom w:val="0"/>
      <w:divBdr>
        <w:top w:val="none" w:sz="0" w:space="0" w:color="auto"/>
        <w:left w:val="none" w:sz="0" w:space="0" w:color="auto"/>
        <w:bottom w:val="none" w:sz="0" w:space="0" w:color="auto"/>
        <w:right w:val="none" w:sz="0" w:space="0" w:color="auto"/>
      </w:divBdr>
    </w:div>
    <w:div w:id="894776366">
      <w:bodyDiv w:val="1"/>
      <w:marLeft w:val="0"/>
      <w:marRight w:val="0"/>
      <w:marTop w:val="0"/>
      <w:marBottom w:val="0"/>
      <w:divBdr>
        <w:top w:val="none" w:sz="0" w:space="0" w:color="auto"/>
        <w:left w:val="none" w:sz="0" w:space="0" w:color="auto"/>
        <w:bottom w:val="none" w:sz="0" w:space="0" w:color="auto"/>
        <w:right w:val="none" w:sz="0" w:space="0" w:color="auto"/>
      </w:divBdr>
    </w:div>
    <w:div w:id="975797584">
      <w:bodyDiv w:val="1"/>
      <w:marLeft w:val="0"/>
      <w:marRight w:val="0"/>
      <w:marTop w:val="0"/>
      <w:marBottom w:val="0"/>
      <w:divBdr>
        <w:top w:val="none" w:sz="0" w:space="0" w:color="auto"/>
        <w:left w:val="none" w:sz="0" w:space="0" w:color="auto"/>
        <w:bottom w:val="none" w:sz="0" w:space="0" w:color="auto"/>
        <w:right w:val="none" w:sz="0" w:space="0" w:color="auto"/>
      </w:divBdr>
    </w:div>
    <w:div w:id="1058360720">
      <w:bodyDiv w:val="1"/>
      <w:marLeft w:val="0"/>
      <w:marRight w:val="0"/>
      <w:marTop w:val="0"/>
      <w:marBottom w:val="0"/>
      <w:divBdr>
        <w:top w:val="none" w:sz="0" w:space="0" w:color="auto"/>
        <w:left w:val="none" w:sz="0" w:space="0" w:color="auto"/>
        <w:bottom w:val="none" w:sz="0" w:space="0" w:color="auto"/>
        <w:right w:val="none" w:sz="0" w:space="0" w:color="auto"/>
      </w:divBdr>
    </w:div>
    <w:div w:id="1072509183">
      <w:bodyDiv w:val="1"/>
      <w:marLeft w:val="0"/>
      <w:marRight w:val="0"/>
      <w:marTop w:val="0"/>
      <w:marBottom w:val="0"/>
      <w:divBdr>
        <w:top w:val="none" w:sz="0" w:space="0" w:color="auto"/>
        <w:left w:val="none" w:sz="0" w:space="0" w:color="auto"/>
        <w:bottom w:val="none" w:sz="0" w:space="0" w:color="auto"/>
        <w:right w:val="none" w:sz="0" w:space="0" w:color="auto"/>
      </w:divBdr>
    </w:div>
    <w:div w:id="1079014807">
      <w:bodyDiv w:val="1"/>
      <w:marLeft w:val="0"/>
      <w:marRight w:val="0"/>
      <w:marTop w:val="0"/>
      <w:marBottom w:val="0"/>
      <w:divBdr>
        <w:top w:val="none" w:sz="0" w:space="0" w:color="auto"/>
        <w:left w:val="none" w:sz="0" w:space="0" w:color="auto"/>
        <w:bottom w:val="none" w:sz="0" w:space="0" w:color="auto"/>
        <w:right w:val="none" w:sz="0" w:space="0" w:color="auto"/>
      </w:divBdr>
    </w:div>
    <w:div w:id="1096294320">
      <w:bodyDiv w:val="1"/>
      <w:marLeft w:val="0"/>
      <w:marRight w:val="0"/>
      <w:marTop w:val="0"/>
      <w:marBottom w:val="0"/>
      <w:divBdr>
        <w:top w:val="none" w:sz="0" w:space="0" w:color="auto"/>
        <w:left w:val="none" w:sz="0" w:space="0" w:color="auto"/>
        <w:bottom w:val="none" w:sz="0" w:space="0" w:color="auto"/>
        <w:right w:val="none" w:sz="0" w:space="0" w:color="auto"/>
      </w:divBdr>
    </w:div>
    <w:div w:id="1104150748">
      <w:bodyDiv w:val="1"/>
      <w:marLeft w:val="0"/>
      <w:marRight w:val="0"/>
      <w:marTop w:val="0"/>
      <w:marBottom w:val="0"/>
      <w:divBdr>
        <w:top w:val="none" w:sz="0" w:space="0" w:color="auto"/>
        <w:left w:val="none" w:sz="0" w:space="0" w:color="auto"/>
        <w:bottom w:val="none" w:sz="0" w:space="0" w:color="auto"/>
        <w:right w:val="none" w:sz="0" w:space="0" w:color="auto"/>
      </w:divBdr>
    </w:div>
    <w:div w:id="1120613897">
      <w:bodyDiv w:val="1"/>
      <w:marLeft w:val="0"/>
      <w:marRight w:val="0"/>
      <w:marTop w:val="0"/>
      <w:marBottom w:val="0"/>
      <w:divBdr>
        <w:top w:val="none" w:sz="0" w:space="0" w:color="auto"/>
        <w:left w:val="none" w:sz="0" w:space="0" w:color="auto"/>
        <w:bottom w:val="none" w:sz="0" w:space="0" w:color="auto"/>
        <w:right w:val="none" w:sz="0" w:space="0" w:color="auto"/>
      </w:divBdr>
    </w:div>
    <w:div w:id="1132868096">
      <w:bodyDiv w:val="1"/>
      <w:marLeft w:val="0"/>
      <w:marRight w:val="0"/>
      <w:marTop w:val="0"/>
      <w:marBottom w:val="0"/>
      <w:divBdr>
        <w:top w:val="none" w:sz="0" w:space="0" w:color="auto"/>
        <w:left w:val="none" w:sz="0" w:space="0" w:color="auto"/>
        <w:bottom w:val="none" w:sz="0" w:space="0" w:color="auto"/>
        <w:right w:val="none" w:sz="0" w:space="0" w:color="auto"/>
      </w:divBdr>
    </w:div>
    <w:div w:id="1133870007">
      <w:bodyDiv w:val="1"/>
      <w:marLeft w:val="0"/>
      <w:marRight w:val="0"/>
      <w:marTop w:val="0"/>
      <w:marBottom w:val="0"/>
      <w:divBdr>
        <w:top w:val="none" w:sz="0" w:space="0" w:color="auto"/>
        <w:left w:val="none" w:sz="0" w:space="0" w:color="auto"/>
        <w:bottom w:val="none" w:sz="0" w:space="0" w:color="auto"/>
        <w:right w:val="none" w:sz="0" w:space="0" w:color="auto"/>
      </w:divBdr>
    </w:div>
    <w:div w:id="1158573868">
      <w:bodyDiv w:val="1"/>
      <w:marLeft w:val="0"/>
      <w:marRight w:val="0"/>
      <w:marTop w:val="0"/>
      <w:marBottom w:val="0"/>
      <w:divBdr>
        <w:top w:val="none" w:sz="0" w:space="0" w:color="auto"/>
        <w:left w:val="none" w:sz="0" w:space="0" w:color="auto"/>
        <w:bottom w:val="none" w:sz="0" w:space="0" w:color="auto"/>
        <w:right w:val="none" w:sz="0" w:space="0" w:color="auto"/>
      </w:divBdr>
    </w:div>
    <w:div w:id="1168136862">
      <w:bodyDiv w:val="1"/>
      <w:marLeft w:val="0"/>
      <w:marRight w:val="0"/>
      <w:marTop w:val="0"/>
      <w:marBottom w:val="0"/>
      <w:divBdr>
        <w:top w:val="none" w:sz="0" w:space="0" w:color="auto"/>
        <w:left w:val="none" w:sz="0" w:space="0" w:color="auto"/>
        <w:bottom w:val="none" w:sz="0" w:space="0" w:color="auto"/>
        <w:right w:val="none" w:sz="0" w:space="0" w:color="auto"/>
      </w:divBdr>
    </w:div>
    <w:div w:id="1178498301">
      <w:bodyDiv w:val="1"/>
      <w:marLeft w:val="0"/>
      <w:marRight w:val="0"/>
      <w:marTop w:val="0"/>
      <w:marBottom w:val="0"/>
      <w:divBdr>
        <w:top w:val="none" w:sz="0" w:space="0" w:color="auto"/>
        <w:left w:val="none" w:sz="0" w:space="0" w:color="auto"/>
        <w:bottom w:val="none" w:sz="0" w:space="0" w:color="auto"/>
        <w:right w:val="none" w:sz="0" w:space="0" w:color="auto"/>
      </w:divBdr>
    </w:div>
    <w:div w:id="1179462428">
      <w:bodyDiv w:val="1"/>
      <w:marLeft w:val="0"/>
      <w:marRight w:val="0"/>
      <w:marTop w:val="0"/>
      <w:marBottom w:val="0"/>
      <w:divBdr>
        <w:top w:val="none" w:sz="0" w:space="0" w:color="auto"/>
        <w:left w:val="none" w:sz="0" w:space="0" w:color="auto"/>
        <w:bottom w:val="none" w:sz="0" w:space="0" w:color="auto"/>
        <w:right w:val="none" w:sz="0" w:space="0" w:color="auto"/>
      </w:divBdr>
    </w:div>
    <w:div w:id="1194197786">
      <w:bodyDiv w:val="1"/>
      <w:marLeft w:val="0"/>
      <w:marRight w:val="0"/>
      <w:marTop w:val="0"/>
      <w:marBottom w:val="0"/>
      <w:divBdr>
        <w:top w:val="none" w:sz="0" w:space="0" w:color="auto"/>
        <w:left w:val="none" w:sz="0" w:space="0" w:color="auto"/>
        <w:bottom w:val="none" w:sz="0" w:space="0" w:color="auto"/>
        <w:right w:val="none" w:sz="0" w:space="0" w:color="auto"/>
      </w:divBdr>
    </w:div>
    <w:div w:id="1212617599">
      <w:bodyDiv w:val="1"/>
      <w:marLeft w:val="0"/>
      <w:marRight w:val="0"/>
      <w:marTop w:val="0"/>
      <w:marBottom w:val="0"/>
      <w:divBdr>
        <w:top w:val="none" w:sz="0" w:space="0" w:color="auto"/>
        <w:left w:val="none" w:sz="0" w:space="0" w:color="auto"/>
        <w:bottom w:val="none" w:sz="0" w:space="0" w:color="auto"/>
        <w:right w:val="none" w:sz="0" w:space="0" w:color="auto"/>
      </w:divBdr>
    </w:div>
    <w:div w:id="1223371975">
      <w:bodyDiv w:val="1"/>
      <w:marLeft w:val="0"/>
      <w:marRight w:val="0"/>
      <w:marTop w:val="0"/>
      <w:marBottom w:val="0"/>
      <w:divBdr>
        <w:top w:val="none" w:sz="0" w:space="0" w:color="auto"/>
        <w:left w:val="none" w:sz="0" w:space="0" w:color="auto"/>
        <w:bottom w:val="none" w:sz="0" w:space="0" w:color="auto"/>
        <w:right w:val="none" w:sz="0" w:space="0" w:color="auto"/>
      </w:divBdr>
    </w:div>
    <w:div w:id="1230533386">
      <w:bodyDiv w:val="1"/>
      <w:marLeft w:val="0"/>
      <w:marRight w:val="0"/>
      <w:marTop w:val="0"/>
      <w:marBottom w:val="0"/>
      <w:divBdr>
        <w:top w:val="none" w:sz="0" w:space="0" w:color="auto"/>
        <w:left w:val="none" w:sz="0" w:space="0" w:color="auto"/>
        <w:bottom w:val="none" w:sz="0" w:space="0" w:color="auto"/>
        <w:right w:val="none" w:sz="0" w:space="0" w:color="auto"/>
      </w:divBdr>
    </w:div>
    <w:div w:id="1257060732">
      <w:bodyDiv w:val="1"/>
      <w:marLeft w:val="0"/>
      <w:marRight w:val="0"/>
      <w:marTop w:val="0"/>
      <w:marBottom w:val="0"/>
      <w:divBdr>
        <w:top w:val="none" w:sz="0" w:space="0" w:color="auto"/>
        <w:left w:val="none" w:sz="0" w:space="0" w:color="auto"/>
        <w:bottom w:val="none" w:sz="0" w:space="0" w:color="auto"/>
        <w:right w:val="none" w:sz="0" w:space="0" w:color="auto"/>
      </w:divBdr>
    </w:div>
    <w:div w:id="1308315978">
      <w:bodyDiv w:val="1"/>
      <w:marLeft w:val="0"/>
      <w:marRight w:val="0"/>
      <w:marTop w:val="0"/>
      <w:marBottom w:val="0"/>
      <w:divBdr>
        <w:top w:val="none" w:sz="0" w:space="0" w:color="auto"/>
        <w:left w:val="none" w:sz="0" w:space="0" w:color="auto"/>
        <w:bottom w:val="none" w:sz="0" w:space="0" w:color="auto"/>
        <w:right w:val="none" w:sz="0" w:space="0" w:color="auto"/>
      </w:divBdr>
    </w:div>
    <w:div w:id="1326203068">
      <w:bodyDiv w:val="1"/>
      <w:marLeft w:val="0"/>
      <w:marRight w:val="0"/>
      <w:marTop w:val="0"/>
      <w:marBottom w:val="0"/>
      <w:divBdr>
        <w:top w:val="none" w:sz="0" w:space="0" w:color="auto"/>
        <w:left w:val="none" w:sz="0" w:space="0" w:color="auto"/>
        <w:bottom w:val="none" w:sz="0" w:space="0" w:color="auto"/>
        <w:right w:val="none" w:sz="0" w:space="0" w:color="auto"/>
      </w:divBdr>
    </w:div>
    <w:div w:id="1327710395">
      <w:bodyDiv w:val="1"/>
      <w:marLeft w:val="0"/>
      <w:marRight w:val="0"/>
      <w:marTop w:val="0"/>
      <w:marBottom w:val="0"/>
      <w:divBdr>
        <w:top w:val="none" w:sz="0" w:space="0" w:color="auto"/>
        <w:left w:val="none" w:sz="0" w:space="0" w:color="auto"/>
        <w:bottom w:val="none" w:sz="0" w:space="0" w:color="auto"/>
        <w:right w:val="none" w:sz="0" w:space="0" w:color="auto"/>
      </w:divBdr>
    </w:div>
    <w:div w:id="1362710824">
      <w:bodyDiv w:val="1"/>
      <w:marLeft w:val="0"/>
      <w:marRight w:val="0"/>
      <w:marTop w:val="0"/>
      <w:marBottom w:val="0"/>
      <w:divBdr>
        <w:top w:val="none" w:sz="0" w:space="0" w:color="auto"/>
        <w:left w:val="none" w:sz="0" w:space="0" w:color="auto"/>
        <w:bottom w:val="none" w:sz="0" w:space="0" w:color="auto"/>
        <w:right w:val="none" w:sz="0" w:space="0" w:color="auto"/>
      </w:divBdr>
    </w:div>
    <w:div w:id="1365593793">
      <w:bodyDiv w:val="1"/>
      <w:marLeft w:val="0"/>
      <w:marRight w:val="0"/>
      <w:marTop w:val="0"/>
      <w:marBottom w:val="0"/>
      <w:divBdr>
        <w:top w:val="none" w:sz="0" w:space="0" w:color="auto"/>
        <w:left w:val="none" w:sz="0" w:space="0" w:color="auto"/>
        <w:bottom w:val="none" w:sz="0" w:space="0" w:color="auto"/>
        <w:right w:val="none" w:sz="0" w:space="0" w:color="auto"/>
      </w:divBdr>
    </w:div>
    <w:div w:id="1385714543">
      <w:bodyDiv w:val="1"/>
      <w:marLeft w:val="0"/>
      <w:marRight w:val="0"/>
      <w:marTop w:val="0"/>
      <w:marBottom w:val="0"/>
      <w:divBdr>
        <w:top w:val="none" w:sz="0" w:space="0" w:color="auto"/>
        <w:left w:val="none" w:sz="0" w:space="0" w:color="auto"/>
        <w:bottom w:val="none" w:sz="0" w:space="0" w:color="auto"/>
        <w:right w:val="none" w:sz="0" w:space="0" w:color="auto"/>
      </w:divBdr>
    </w:div>
    <w:div w:id="1411005212">
      <w:bodyDiv w:val="1"/>
      <w:marLeft w:val="0"/>
      <w:marRight w:val="0"/>
      <w:marTop w:val="0"/>
      <w:marBottom w:val="0"/>
      <w:divBdr>
        <w:top w:val="none" w:sz="0" w:space="0" w:color="auto"/>
        <w:left w:val="none" w:sz="0" w:space="0" w:color="auto"/>
        <w:bottom w:val="none" w:sz="0" w:space="0" w:color="auto"/>
        <w:right w:val="none" w:sz="0" w:space="0" w:color="auto"/>
      </w:divBdr>
    </w:div>
    <w:div w:id="1427922188">
      <w:bodyDiv w:val="1"/>
      <w:marLeft w:val="0"/>
      <w:marRight w:val="0"/>
      <w:marTop w:val="0"/>
      <w:marBottom w:val="0"/>
      <w:divBdr>
        <w:top w:val="none" w:sz="0" w:space="0" w:color="auto"/>
        <w:left w:val="none" w:sz="0" w:space="0" w:color="auto"/>
        <w:bottom w:val="none" w:sz="0" w:space="0" w:color="auto"/>
        <w:right w:val="none" w:sz="0" w:space="0" w:color="auto"/>
      </w:divBdr>
    </w:div>
    <w:div w:id="1439761032">
      <w:bodyDiv w:val="1"/>
      <w:marLeft w:val="0"/>
      <w:marRight w:val="0"/>
      <w:marTop w:val="0"/>
      <w:marBottom w:val="0"/>
      <w:divBdr>
        <w:top w:val="none" w:sz="0" w:space="0" w:color="auto"/>
        <w:left w:val="none" w:sz="0" w:space="0" w:color="auto"/>
        <w:bottom w:val="none" w:sz="0" w:space="0" w:color="auto"/>
        <w:right w:val="none" w:sz="0" w:space="0" w:color="auto"/>
      </w:divBdr>
    </w:div>
    <w:div w:id="1443069697">
      <w:bodyDiv w:val="1"/>
      <w:marLeft w:val="0"/>
      <w:marRight w:val="0"/>
      <w:marTop w:val="0"/>
      <w:marBottom w:val="0"/>
      <w:divBdr>
        <w:top w:val="none" w:sz="0" w:space="0" w:color="auto"/>
        <w:left w:val="none" w:sz="0" w:space="0" w:color="auto"/>
        <w:bottom w:val="none" w:sz="0" w:space="0" w:color="auto"/>
        <w:right w:val="none" w:sz="0" w:space="0" w:color="auto"/>
      </w:divBdr>
    </w:div>
    <w:div w:id="1485321521">
      <w:bodyDiv w:val="1"/>
      <w:marLeft w:val="0"/>
      <w:marRight w:val="0"/>
      <w:marTop w:val="0"/>
      <w:marBottom w:val="0"/>
      <w:divBdr>
        <w:top w:val="none" w:sz="0" w:space="0" w:color="auto"/>
        <w:left w:val="none" w:sz="0" w:space="0" w:color="auto"/>
        <w:bottom w:val="none" w:sz="0" w:space="0" w:color="auto"/>
        <w:right w:val="none" w:sz="0" w:space="0" w:color="auto"/>
      </w:divBdr>
    </w:div>
    <w:div w:id="1599366355">
      <w:bodyDiv w:val="1"/>
      <w:marLeft w:val="0"/>
      <w:marRight w:val="0"/>
      <w:marTop w:val="0"/>
      <w:marBottom w:val="0"/>
      <w:divBdr>
        <w:top w:val="none" w:sz="0" w:space="0" w:color="auto"/>
        <w:left w:val="none" w:sz="0" w:space="0" w:color="auto"/>
        <w:bottom w:val="none" w:sz="0" w:space="0" w:color="auto"/>
        <w:right w:val="none" w:sz="0" w:space="0" w:color="auto"/>
      </w:divBdr>
    </w:div>
    <w:div w:id="1651909521">
      <w:bodyDiv w:val="1"/>
      <w:marLeft w:val="0"/>
      <w:marRight w:val="0"/>
      <w:marTop w:val="0"/>
      <w:marBottom w:val="0"/>
      <w:divBdr>
        <w:top w:val="none" w:sz="0" w:space="0" w:color="auto"/>
        <w:left w:val="none" w:sz="0" w:space="0" w:color="auto"/>
        <w:bottom w:val="none" w:sz="0" w:space="0" w:color="auto"/>
        <w:right w:val="none" w:sz="0" w:space="0" w:color="auto"/>
      </w:divBdr>
    </w:div>
    <w:div w:id="1731297213">
      <w:bodyDiv w:val="1"/>
      <w:marLeft w:val="0"/>
      <w:marRight w:val="0"/>
      <w:marTop w:val="0"/>
      <w:marBottom w:val="0"/>
      <w:divBdr>
        <w:top w:val="none" w:sz="0" w:space="0" w:color="auto"/>
        <w:left w:val="none" w:sz="0" w:space="0" w:color="auto"/>
        <w:bottom w:val="none" w:sz="0" w:space="0" w:color="auto"/>
        <w:right w:val="none" w:sz="0" w:space="0" w:color="auto"/>
      </w:divBdr>
    </w:div>
    <w:div w:id="1742289344">
      <w:bodyDiv w:val="1"/>
      <w:marLeft w:val="0"/>
      <w:marRight w:val="0"/>
      <w:marTop w:val="0"/>
      <w:marBottom w:val="0"/>
      <w:divBdr>
        <w:top w:val="none" w:sz="0" w:space="0" w:color="auto"/>
        <w:left w:val="none" w:sz="0" w:space="0" w:color="auto"/>
        <w:bottom w:val="none" w:sz="0" w:space="0" w:color="auto"/>
        <w:right w:val="none" w:sz="0" w:space="0" w:color="auto"/>
      </w:divBdr>
    </w:div>
    <w:div w:id="1763526107">
      <w:bodyDiv w:val="1"/>
      <w:marLeft w:val="0"/>
      <w:marRight w:val="0"/>
      <w:marTop w:val="0"/>
      <w:marBottom w:val="0"/>
      <w:divBdr>
        <w:top w:val="none" w:sz="0" w:space="0" w:color="auto"/>
        <w:left w:val="none" w:sz="0" w:space="0" w:color="auto"/>
        <w:bottom w:val="none" w:sz="0" w:space="0" w:color="auto"/>
        <w:right w:val="none" w:sz="0" w:space="0" w:color="auto"/>
      </w:divBdr>
    </w:div>
    <w:div w:id="1782188534">
      <w:bodyDiv w:val="1"/>
      <w:marLeft w:val="0"/>
      <w:marRight w:val="0"/>
      <w:marTop w:val="0"/>
      <w:marBottom w:val="0"/>
      <w:divBdr>
        <w:top w:val="none" w:sz="0" w:space="0" w:color="auto"/>
        <w:left w:val="none" w:sz="0" w:space="0" w:color="auto"/>
        <w:bottom w:val="none" w:sz="0" w:space="0" w:color="auto"/>
        <w:right w:val="none" w:sz="0" w:space="0" w:color="auto"/>
      </w:divBdr>
    </w:div>
    <w:div w:id="1795756354">
      <w:bodyDiv w:val="1"/>
      <w:marLeft w:val="0"/>
      <w:marRight w:val="0"/>
      <w:marTop w:val="0"/>
      <w:marBottom w:val="0"/>
      <w:divBdr>
        <w:top w:val="none" w:sz="0" w:space="0" w:color="auto"/>
        <w:left w:val="none" w:sz="0" w:space="0" w:color="auto"/>
        <w:bottom w:val="none" w:sz="0" w:space="0" w:color="auto"/>
        <w:right w:val="none" w:sz="0" w:space="0" w:color="auto"/>
      </w:divBdr>
    </w:div>
    <w:div w:id="1864902114">
      <w:bodyDiv w:val="1"/>
      <w:marLeft w:val="0"/>
      <w:marRight w:val="0"/>
      <w:marTop w:val="0"/>
      <w:marBottom w:val="0"/>
      <w:divBdr>
        <w:top w:val="none" w:sz="0" w:space="0" w:color="auto"/>
        <w:left w:val="none" w:sz="0" w:space="0" w:color="auto"/>
        <w:bottom w:val="none" w:sz="0" w:space="0" w:color="auto"/>
        <w:right w:val="none" w:sz="0" w:space="0" w:color="auto"/>
      </w:divBdr>
    </w:div>
    <w:div w:id="1919631155">
      <w:bodyDiv w:val="1"/>
      <w:marLeft w:val="0"/>
      <w:marRight w:val="0"/>
      <w:marTop w:val="0"/>
      <w:marBottom w:val="0"/>
      <w:divBdr>
        <w:top w:val="none" w:sz="0" w:space="0" w:color="auto"/>
        <w:left w:val="none" w:sz="0" w:space="0" w:color="auto"/>
        <w:bottom w:val="none" w:sz="0" w:space="0" w:color="auto"/>
        <w:right w:val="none" w:sz="0" w:space="0" w:color="auto"/>
      </w:divBdr>
    </w:div>
    <w:div w:id="1941719212">
      <w:bodyDiv w:val="1"/>
      <w:marLeft w:val="0"/>
      <w:marRight w:val="0"/>
      <w:marTop w:val="0"/>
      <w:marBottom w:val="0"/>
      <w:divBdr>
        <w:top w:val="none" w:sz="0" w:space="0" w:color="auto"/>
        <w:left w:val="none" w:sz="0" w:space="0" w:color="auto"/>
        <w:bottom w:val="none" w:sz="0" w:space="0" w:color="auto"/>
        <w:right w:val="none" w:sz="0" w:space="0" w:color="auto"/>
      </w:divBdr>
    </w:div>
    <w:div w:id="1961574125">
      <w:bodyDiv w:val="1"/>
      <w:marLeft w:val="0"/>
      <w:marRight w:val="0"/>
      <w:marTop w:val="0"/>
      <w:marBottom w:val="0"/>
      <w:divBdr>
        <w:top w:val="none" w:sz="0" w:space="0" w:color="auto"/>
        <w:left w:val="none" w:sz="0" w:space="0" w:color="auto"/>
        <w:bottom w:val="none" w:sz="0" w:space="0" w:color="auto"/>
        <w:right w:val="none" w:sz="0" w:space="0" w:color="auto"/>
      </w:divBdr>
    </w:div>
    <w:div w:id="1966696210">
      <w:bodyDiv w:val="1"/>
      <w:marLeft w:val="0"/>
      <w:marRight w:val="0"/>
      <w:marTop w:val="0"/>
      <w:marBottom w:val="0"/>
      <w:divBdr>
        <w:top w:val="none" w:sz="0" w:space="0" w:color="auto"/>
        <w:left w:val="none" w:sz="0" w:space="0" w:color="auto"/>
        <w:bottom w:val="none" w:sz="0" w:space="0" w:color="auto"/>
        <w:right w:val="none" w:sz="0" w:space="0" w:color="auto"/>
      </w:divBdr>
    </w:div>
    <w:div w:id="2005471491">
      <w:bodyDiv w:val="1"/>
      <w:marLeft w:val="0"/>
      <w:marRight w:val="0"/>
      <w:marTop w:val="0"/>
      <w:marBottom w:val="0"/>
      <w:divBdr>
        <w:top w:val="none" w:sz="0" w:space="0" w:color="auto"/>
        <w:left w:val="none" w:sz="0" w:space="0" w:color="auto"/>
        <w:bottom w:val="none" w:sz="0" w:space="0" w:color="auto"/>
        <w:right w:val="none" w:sz="0" w:space="0" w:color="auto"/>
      </w:divBdr>
    </w:div>
    <w:div w:id="2021811675">
      <w:bodyDiv w:val="1"/>
      <w:marLeft w:val="0"/>
      <w:marRight w:val="0"/>
      <w:marTop w:val="0"/>
      <w:marBottom w:val="0"/>
      <w:divBdr>
        <w:top w:val="none" w:sz="0" w:space="0" w:color="auto"/>
        <w:left w:val="none" w:sz="0" w:space="0" w:color="auto"/>
        <w:bottom w:val="none" w:sz="0" w:space="0" w:color="auto"/>
        <w:right w:val="none" w:sz="0" w:space="0" w:color="auto"/>
      </w:divBdr>
    </w:div>
    <w:div w:id="2041856302">
      <w:bodyDiv w:val="1"/>
      <w:marLeft w:val="0"/>
      <w:marRight w:val="0"/>
      <w:marTop w:val="0"/>
      <w:marBottom w:val="0"/>
      <w:divBdr>
        <w:top w:val="none" w:sz="0" w:space="0" w:color="auto"/>
        <w:left w:val="none" w:sz="0" w:space="0" w:color="auto"/>
        <w:bottom w:val="none" w:sz="0" w:space="0" w:color="auto"/>
        <w:right w:val="none" w:sz="0" w:space="0" w:color="auto"/>
      </w:divBdr>
    </w:div>
    <w:div w:id="2047828751">
      <w:bodyDiv w:val="1"/>
      <w:marLeft w:val="0"/>
      <w:marRight w:val="0"/>
      <w:marTop w:val="0"/>
      <w:marBottom w:val="0"/>
      <w:divBdr>
        <w:top w:val="none" w:sz="0" w:space="0" w:color="auto"/>
        <w:left w:val="none" w:sz="0" w:space="0" w:color="auto"/>
        <w:bottom w:val="none" w:sz="0" w:space="0" w:color="auto"/>
        <w:right w:val="none" w:sz="0" w:space="0" w:color="auto"/>
      </w:divBdr>
    </w:div>
    <w:div w:id="2097088374">
      <w:bodyDiv w:val="1"/>
      <w:marLeft w:val="0"/>
      <w:marRight w:val="0"/>
      <w:marTop w:val="0"/>
      <w:marBottom w:val="0"/>
      <w:divBdr>
        <w:top w:val="none" w:sz="0" w:space="0" w:color="auto"/>
        <w:left w:val="none" w:sz="0" w:space="0" w:color="auto"/>
        <w:bottom w:val="none" w:sz="0" w:space="0" w:color="auto"/>
        <w:right w:val="none" w:sz="0" w:space="0" w:color="auto"/>
      </w:divBdr>
    </w:div>
    <w:div w:id="2107115880">
      <w:bodyDiv w:val="1"/>
      <w:marLeft w:val="0"/>
      <w:marRight w:val="0"/>
      <w:marTop w:val="0"/>
      <w:marBottom w:val="0"/>
      <w:divBdr>
        <w:top w:val="none" w:sz="0" w:space="0" w:color="auto"/>
        <w:left w:val="none" w:sz="0" w:space="0" w:color="auto"/>
        <w:bottom w:val="none" w:sz="0" w:space="0" w:color="auto"/>
        <w:right w:val="none" w:sz="0" w:space="0" w:color="auto"/>
      </w:divBdr>
    </w:div>
    <w:div w:id="2112164223">
      <w:bodyDiv w:val="1"/>
      <w:marLeft w:val="0"/>
      <w:marRight w:val="0"/>
      <w:marTop w:val="0"/>
      <w:marBottom w:val="0"/>
      <w:divBdr>
        <w:top w:val="none" w:sz="0" w:space="0" w:color="auto"/>
        <w:left w:val="none" w:sz="0" w:space="0" w:color="auto"/>
        <w:bottom w:val="none" w:sz="0" w:space="0" w:color="auto"/>
        <w:right w:val="none" w:sz="0" w:space="0" w:color="auto"/>
      </w:divBdr>
    </w:div>
    <w:div w:id="2113744839">
      <w:bodyDiv w:val="1"/>
      <w:marLeft w:val="0"/>
      <w:marRight w:val="0"/>
      <w:marTop w:val="0"/>
      <w:marBottom w:val="0"/>
      <w:divBdr>
        <w:top w:val="none" w:sz="0" w:space="0" w:color="auto"/>
        <w:left w:val="none" w:sz="0" w:space="0" w:color="auto"/>
        <w:bottom w:val="none" w:sz="0" w:space="0" w:color="auto"/>
        <w:right w:val="none" w:sz="0" w:space="0" w:color="auto"/>
      </w:divBdr>
    </w:div>
    <w:div w:id="2134204370">
      <w:bodyDiv w:val="1"/>
      <w:marLeft w:val="0"/>
      <w:marRight w:val="0"/>
      <w:marTop w:val="0"/>
      <w:marBottom w:val="0"/>
      <w:divBdr>
        <w:top w:val="none" w:sz="0" w:space="0" w:color="auto"/>
        <w:left w:val="none" w:sz="0" w:space="0" w:color="auto"/>
        <w:bottom w:val="none" w:sz="0" w:space="0" w:color="auto"/>
        <w:right w:val="none" w:sz="0" w:space="0" w:color="auto"/>
      </w:divBdr>
    </w:div>
    <w:div w:id="2135169475">
      <w:bodyDiv w:val="1"/>
      <w:marLeft w:val="0"/>
      <w:marRight w:val="0"/>
      <w:marTop w:val="0"/>
      <w:marBottom w:val="0"/>
      <w:divBdr>
        <w:top w:val="none" w:sz="0" w:space="0" w:color="auto"/>
        <w:left w:val="none" w:sz="0" w:space="0" w:color="auto"/>
        <w:bottom w:val="none" w:sz="0" w:space="0" w:color="auto"/>
        <w:right w:val="none" w:sz="0" w:space="0" w:color="auto"/>
      </w:divBdr>
    </w:div>
    <w:div w:id="214461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3488659&amp;pre=&amp;suf=&amp;sa=0&amp;dbf=0" TargetMode="External"/><Relationship Id="rId21" Type="http://schemas.openxmlformats.org/officeDocument/2006/relationships/hyperlink" Target="https://sciwheel.com/work/citation?ids=3856045&amp;pre=&amp;suf=&amp;sa=0&amp;dbf=0" TargetMode="External"/><Relationship Id="rId42" Type="http://schemas.openxmlformats.org/officeDocument/2006/relationships/hyperlink" Target="https://sciwheel.com/work/citation?ids=17229991&amp;pre=&amp;suf=&amp;sa=0&amp;dbf=0" TargetMode="External"/><Relationship Id="rId47" Type="http://schemas.openxmlformats.org/officeDocument/2006/relationships/hyperlink" Target="https://sciwheel.com/work/citation?ids=17229991&amp;pre=&amp;suf=&amp;sa=0&amp;dbf=0" TargetMode="External"/><Relationship Id="rId63" Type="http://schemas.openxmlformats.org/officeDocument/2006/relationships/hyperlink" Target="https://sciwheel.com/work/citation?ids=10933807&amp;pre=&amp;suf=&amp;sa=0&amp;dbf=0" TargetMode="External"/><Relationship Id="rId68" Type="http://schemas.openxmlformats.org/officeDocument/2006/relationships/hyperlink" Target="https://sciwheel.com/work/bibliography/13579073" TargetMode="External"/><Relationship Id="rId84" Type="http://schemas.openxmlformats.org/officeDocument/2006/relationships/hyperlink" Target="https://sciwheel.com/work/bibliography/6087081" TargetMode="External"/><Relationship Id="rId89" Type="http://schemas.openxmlformats.org/officeDocument/2006/relationships/hyperlink" Target="https://sciwheel.com/work/bibliography/10933807" TargetMode="External"/><Relationship Id="rId16" Type="http://schemas.openxmlformats.org/officeDocument/2006/relationships/hyperlink" Target="https://sciwheel.com/work/citation?ids=74693&amp;pre=&amp;suf=&amp;sa=0&amp;dbf=0" TargetMode="External"/><Relationship Id="rId107" Type="http://schemas.openxmlformats.org/officeDocument/2006/relationships/hyperlink" Target="https://sciwheel.com/work/bibliography/32482" TargetMode="External"/><Relationship Id="rId11" Type="http://schemas.openxmlformats.org/officeDocument/2006/relationships/hyperlink" Target="https://sciwheel.com/work/citation?ids=1340507&amp;pre=&amp;suf=&amp;sa=0&amp;dbf=0" TargetMode="External"/><Relationship Id="rId32" Type="http://schemas.openxmlformats.org/officeDocument/2006/relationships/hyperlink" Target="https://sciwheel.com/work/citation?ids=17952841&amp;pre=&amp;suf=&amp;sa=0&amp;dbf=0" TargetMode="External"/><Relationship Id="rId37" Type="http://schemas.openxmlformats.org/officeDocument/2006/relationships/hyperlink" Target="https://sciwheel.com/work/citation?ids=16216059&amp;pre=&amp;suf=&amp;sa=0&amp;dbf=0" TargetMode="External"/><Relationship Id="rId53" Type="http://schemas.openxmlformats.org/officeDocument/2006/relationships/hyperlink" Target="https://sciwheel.com/work/citation?ids=17229991&amp;pre=&amp;suf=&amp;sa=0&amp;dbf=0" TargetMode="External"/><Relationship Id="rId58" Type="http://schemas.openxmlformats.org/officeDocument/2006/relationships/hyperlink" Target="https://sciwheel.com/work/citation?ids=17229991&amp;pre=&amp;suf=&amp;sa=0&amp;dbf=0" TargetMode="External"/><Relationship Id="rId74" Type="http://schemas.openxmlformats.org/officeDocument/2006/relationships/hyperlink" Target="https://sciwheel.com/work/bibliography/241439" TargetMode="External"/><Relationship Id="rId79" Type="http://schemas.openxmlformats.org/officeDocument/2006/relationships/hyperlink" Target="https://sciwheel.com/work/bibliography/17229991" TargetMode="External"/><Relationship Id="rId102" Type="http://schemas.openxmlformats.org/officeDocument/2006/relationships/hyperlink" Target="https://sciwheel.com/work/bibliography/978411" TargetMode="External"/><Relationship Id="rId5" Type="http://schemas.openxmlformats.org/officeDocument/2006/relationships/webSettings" Target="webSettings.xml"/><Relationship Id="rId90" Type="http://schemas.openxmlformats.org/officeDocument/2006/relationships/hyperlink" Target="https://sciwheel.com/work/bibliography/6518191" TargetMode="External"/><Relationship Id="rId95" Type="http://schemas.openxmlformats.org/officeDocument/2006/relationships/hyperlink" Target="https://sciwheel.com/work/bibliography/18010908" TargetMode="External"/><Relationship Id="rId22" Type="http://schemas.openxmlformats.org/officeDocument/2006/relationships/hyperlink" Target="https://sciwheel.com/work/citation?ids=6658857&amp;pre=&amp;suf=&amp;sa=0&amp;dbf=0" TargetMode="External"/><Relationship Id="rId27" Type="http://schemas.openxmlformats.org/officeDocument/2006/relationships/hyperlink" Target="https://sciwheel.com/work/citation?ids=16601375&amp;pre=&amp;suf=&amp;sa=0&amp;dbf=0" TargetMode="External"/><Relationship Id="rId43" Type="http://schemas.openxmlformats.org/officeDocument/2006/relationships/hyperlink" Target="https://sciwheel.com/work/citation?ids=10933807,3856045&amp;pre=&amp;pre=&amp;suf=&amp;suf=&amp;sa=0,0&amp;dbf=0&amp;dbf=0" TargetMode="External"/><Relationship Id="rId48" Type="http://schemas.openxmlformats.org/officeDocument/2006/relationships/hyperlink" Target="https://sciwheel.com/work/citation?ids=32482&amp;pre=&amp;suf=&amp;sa=0&amp;dbf=0" TargetMode="External"/><Relationship Id="rId64" Type="http://schemas.openxmlformats.org/officeDocument/2006/relationships/hyperlink" Target="https://sciwheel.com/work/citation?ids=17229991&amp;pre=&amp;suf=&amp;sa=0&amp;dbf=0" TargetMode="External"/><Relationship Id="rId69" Type="http://schemas.openxmlformats.org/officeDocument/2006/relationships/hyperlink" Target="https://sciwheel.com/work/bibliography/17952841" TargetMode="External"/><Relationship Id="rId80" Type="http://schemas.openxmlformats.org/officeDocument/2006/relationships/hyperlink" Target="https://sciwheel.com/work/bibliography/1340507" TargetMode="External"/><Relationship Id="rId85" Type="http://schemas.openxmlformats.org/officeDocument/2006/relationships/hyperlink" Target="https://sciwheel.com/work/bibliography/5080445" TargetMode="External"/><Relationship Id="rId12" Type="http://schemas.openxmlformats.org/officeDocument/2006/relationships/hyperlink" Target="https://sciwheel.com/work/citation?ids=241439&amp;pre=&amp;suf=&amp;sa=0&amp;dbf=0" TargetMode="External"/><Relationship Id="rId17" Type="http://schemas.openxmlformats.org/officeDocument/2006/relationships/hyperlink" Target="https://sciwheel.com/work/citation?ids=4841853&amp;pre=&amp;suf=&amp;sa=0&amp;dbf=0" TargetMode="External"/><Relationship Id="rId33" Type="http://schemas.openxmlformats.org/officeDocument/2006/relationships/hyperlink" Target="https://sciwheel.com/work/citation?ids=2837948&amp;pre=&amp;suf=&amp;sa=0&amp;dbf=0" TargetMode="External"/><Relationship Id="rId38" Type="http://schemas.openxmlformats.org/officeDocument/2006/relationships/hyperlink" Target="https://sciwheel.com/work/citation?ids=17229991&amp;pre=&amp;suf=&amp;sa=0&amp;dbf=0" TargetMode="External"/><Relationship Id="rId59" Type="http://schemas.openxmlformats.org/officeDocument/2006/relationships/hyperlink" Target="https://sciwheel.com/work/citation?ids=17229991&amp;pre=&amp;suf=&amp;sa=0&amp;dbf=0" TargetMode="External"/><Relationship Id="rId103" Type="http://schemas.openxmlformats.org/officeDocument/2006/relationships/hyperlink" Target="https://sciwheel.com/work/bibliography/18004625" TargetMode="External"/><Relationship Id="rId108" Type="http://schemas.openxmlformats.org/officeDocument/2006/relationships/hyperlink" Target="https://sciwheel.com/work/bibliography/1945039" TargetMode="External"/><Relationship Id="rId54" Type="http://schemas.openxmlformats.org/officeDocument/2006/relationships/hyperlink" Target="https://sciwheel.com/work/citation?ids=17229991&amp;pre=&amp;suf=&amp;sa=0&amp;dbf=0" TargetMode="External"/><Relationship Id="rId70" Type="http://schemas.openxmlformats.org/officeDocument/2006/relationships/hyperlink" Target="https://sciwheel.com/work/bibliography/18389790" TargetMode="External"/><Relationship Id="rId75" Type="http://schemas.openxmlformats.org/officeDocument/2006/relationships/hyperlink" Target="https://sciwheel.com/work/bibliography/2837948" TargetMode="External"/><Relationship Id="rId91" Type="http://schemas.openxmlformats.org/officeDocument/2006/relationships/hyperlink" Target="https://sciwheel.com/work/bibliography/4841853" TargetMode="External"/><Relationship Id="rId96" Type="http://schemas.openxmlformats.org/officeDocument/2006/relationships/hyperlink" Target="https://sciwheel.com/work/bibliography/7469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6518191&amp;pre=&amp;suf=&amp;sa=0&amp;dbf=0" TargetMode="External"/><Relationship Id="rId23" Type="http://schemas.openxmlformats.org/officeDocument/2006/relationships/hyperlink" Target="https://sciwheel.com/work/citation?ids=3267729&amp;pre=&amp;suf=&amp;sa=0&amp;dbf=0" TargetMode="External"/><Relationship Id="rId28" Type="http://schemas.openxmlformats.org/officeDocument/2006/relationships/hyperlink" Target="https://sciwheel.com/work/citation?ids=18010908&amp;pre=&amp;suf=&amp;sa=0&amp;dbf=0" TargetMode="External"/><Relationship Id="rId36" Type="http://schemas.openxmlformats.org/officeDocument/2006/relationships/hyperlink" Target="https://sciwheel.com/work/citation?ids=18389790&amp;pre=&amp;suf=&amp;sa=0&amp;dbf=0" TargetMode="External"/><Relationship Id="rId49" Type="http://schemas.openxmlformats.org/officeDocument/2006/relationships/hyperlink" Target="https://sciwheel.com/work/citation?ids=1945039&amp;pre=&amp;suf=&amp;sa=0&amp;dbf=0" TargetMode="External"/><Relationship Id="rId57" Type="http://schemas.openxmlformats.org/officeDocument/2006/relationships/hyperlink" Target="https://sciwheel.com/work/citation?ids=13488659&amp;pre=&amp;suf=&amp;sa=0&amp;dbf=0" TargetMode="External"/><Relationship Id="rId106" Type="http://schemas.openxmlformats.org/officeDocument/2006/relationships/hyperlink" Target="https://sciwheel.com/work/bibliography/3856045" TargetMode="External"/><Relationship Id="rId10" Type="http://schemas.openxmlformats.org/officeDocument/2006/relationships/hyperlink" Target="https://sciwheel.com/work/citation?ids=8652709&amp;pre=&amp;suf=&amp;sa=0&amp;dbf=0" TargetMode="External"/><Relationship Id="rId31" Type="http://schemas.openxmlformats.org/officeDocument/2006/relationships/hyperlink" Target="https://sciwheel.com/work/citation?ids=17229991&amp;pre=&amp;suf=&amp;sa=0&amp;dbf=0" TargetMode="External"/><Relationship Id="rId44" Type="http://schemas.openxmlformats.org/officeDocument/2006/relationships/hyperlink" Target="https://sciwheel.com/work/citation?ids=355655&amp;pre=&amp;suf=&amp;sa=0&amp;dbf=0" TargetMode="External"/><Relationship Id="rId52" Type="http://schemas.openxmlformats.org/officeDocument/2006/relationships/hyperlink" Target="https://sciwheel.com/work/citation?ids=15246130&amp;pre=&amp;suf=&amp;sa=0&amp;dbf=0" TargetMode="External"/><Relationship Id="rId60" Type="http://schemas.openxmlformats.org/officeDocument/2006/relationships/hyperlink" Target="https://sciwheel.com/work/citation?ids=5944445&amp;pre=&amp;suf=&amp;sa=0&amp;dbf=0" TargetMode="External"/><Relationship Id="rId65" Type="http://schemas.openxmlformats.org/officeDocument/2006/relationships/hyperlink" Target="https://sciwheel.com/work/citation?ids=17229991&amp;pre=&amp;suf=&amp;sa=0&amp;dbf=0" TargetMode="External"/><Relationship Id="rId73" Type="http://schemas.openxmlformats.org/officeDocument/2006/relationships/hyperlink" Target="https://sciwheel.com/work/bibliography/13368338" TargetMode="External"/><Relationship Id="rId78" Type="http://schemas.openxmlformats.org/officeDocument/2006/relationships/hyperlink" Target="https://sciwheel.com/work/bibliography/15246130" TargetMode="External"/><Relationship Id="rId81" Type="http://schemas.openxmlformats.org/officeDocument/2006/relationships/hyperlink" Target="https://sciwheel.com/work/bibliography/234491" TargetMode="External"/><Relationship Id="rId86" Type="http://schemas.openxmlformats.org/officeDocument/2006/relationships/hyperlink" Target="https://sciwheel.com/work/bibliography/3175799" TargetMode="External"/><Relationship Id="rId94" Type="http://schemas.openxmlformats.org/officeDocument/2006/relationships/hyperlink" Target="https://sciwheel.com/work/bibliography/183158" TargetMode="External"/><Relationship Id="rId99" Type="http://schemas.openxmlformats.org/officeDocument/2006/relationships/hyperlink" Target="https://sciwheel.com/work/bibliography/1594251" TargetMode="External"/><Relationship Id="rId101" Type="http://schemas.openxmlformats.org/officeDocument/2006/relationships/hyperlink" Target="https://sciwheel.com/work/bibliography/355655" TargetMode="External"/><Relationship Id="rId4" Type="http://schemas.openxmlformats.org/officeDocument/2006/relationships/settings" Target="settings.xml"/><Relationship Id="rId9" Type="http://schemas.openxmlformats.org/officeDocument/2006/relationships/hyperlink" Target="https://sciwheel.com/work/citation?ids=3175799&amp;pre=&amp;suf=&amp;sa=0&amp;dbf=0" TargetMode="External"/><Relationship Id="rId13" Type="http://schemas.openxmlformats.org/officeDocument/2006/relationships/hyperlink" Target="https://sciwheel.com/work/citation?ids=978411&amp;pre=&amp;suf=&amp;sa=0&amp;dbf=0" TargetMode="External"/><Relationship Id="rId18" Type="http://schemas.openxmlformats.org/officeDocument/2006/relationships/hyperlink" Target="https://sciwheel.com/work/citation?ids=18004625&amp;pre=&amp;suf=&amp;sa=0&amp;dbf=0" TargetMode="External"/><Relationship Id="rId39" Type="http://schemas.openxmlformats.org/officeDocument/2006/relationships/hyperlink" Target="https://sciwheel.com/work/citation?ids=13329449&amp;pre=&amp;suf=&amp;sa=0&amp;dbf=0" TargetMode="External"/><Relationship Id="rId109" Type="http://schemas.openxmlformats.org/officeDocument/2006/relationships/hyperlink" Target="https://sciwheel.com/work/bibliography/18756664" TargetMode="External"/><Relationship Id="rId34" Type="http://schemas.openxmlformats.org/officeDocument/2006/relationships/hyperlink" Target="https://sciwheel.com/work/citation?ids=9695927,18756664&amp;pre=&amp;pre=&amp;suf=&amp;suf=&amp;sa=0,0&amp;dbf=0&amp;dbf=0" TargetMode="External"/><Relationship Id="rId50" Type="http://schemas.openxmlformats.org/officeDocument/2006/relationships/hyperlink" Target="https://sciwheel.com/work/citation?ids=5080445&amp;pre=&amp;suf=&amp;sa=0&amp;dbf=0" TargetMode="External"/><Relationship Id="rId55" Type="http://schemas.openxmlformats.org/officeDocument/2006/relationships/hyperlink" Target="https://sciwheel.com/work/citation?ids=429229&amp;pre=&amp;suf=&amp;sa=0&amp;dbf=0" TargetMode="External"/><Relationship Id="rId76" Type="http://schemas.openxmlformats.org/officeDocument/2006/relationships/hyperlink" Target="https://sciwheel.com/work/bibliography/4691262" TargetMode="External"/><Relationship Id="rId97" Type="http://schemas.openxmlformats.org/officeDocument/2006/relationships/hyperlink" Target="https://sciwheel.com/work/bibliography/13488659" TargetMode="External"/><Relationship Id="rId104" Type="http://schemas.openxmlformats.org/officeDocument/2006/relationships/hyperlink" Target="https://sciwheel.com/work/bibliography/356588" TargetMode="External"/><Relationship Id="rId7" Type="http://schemas.openxmlformats.org/officeDocument/2006/relationships/endnotes" Target="endnotes.xml"/><Relationship Id="rId71" Type="http://schemas.openxmlformats.org/officeDocument/2006/relationships/hyperlink" Target="https://sciwheel.com/work/bibliography/5944445" TargetMode="External"/><Relationship Id="rId92" Type="http://schemas.openxmlformats.org/officeDocument/2006/relationships/hyperlink" Target="https://sciwheel.com/work/bibliography/3267729" TargetMode="External"/><Relationship Id="rId2" Type="http://schemas.openxmlformats.org/officeDocument/2006/relationships/numbering" Target="numbering.xml"/><Relationship Id="rId29" Type="http://schemas.openxmlformats.org/officeDocument/2006/relationships/hyperlink" Target="https://sciwheel.com/work/citation?ids=1594251&amp;pre=&amp;suf=&amp;sa=0&amp;dbf=0" TargetMode="External"/><Relationship Id="rId24" Type="http://schemas.openxmlformats.org/officeDocument/2006/relationships/hyperlink" Target="https://sciwheel.com/work/citation?ids=234491&amp;pre=&amp;suf=&amp;sa=0&amp;dbf=0" TargetMode="External"/><Relationship Id="rId40" Type="http://schemas.openxmlformats.org/officeDocument/2006/relationships/hyperlink" Target="https://sciwheel.com/work/citation?ids=16601375&amp;pre=&amp;suf=&amp;sa=0&amp;dbf=0" TargetMode="External"/><Relationship Id="rId45" Type="http://schemas.openxmlformats.org/officeDocument/2006/relationships/hyperlink" Target="https://sciwheel.com/work/citation?ids=183158&amp;pre=&amp;suf=&amp;sa=0&amp;dbf=0" TargetMode="External"/><Relationship Id="rId66" Type="http://schemas.openxmlformats.org/officeDocument/2006/relationships/hyperlink" Target="https://sciwheel.com/work/citation?ids=6087081&amp;pre=&amp;suf=&amp;sa=0&amp;dbf=0" TargetMode="External"/><Relationship Id="rId87" Type="http://schemas.openxmlformats.org/officeDocument/2006/relationships/hyperlink" Target="https://sciwheel.com/work/bibliography/1193747" TargetMode="External"/><Relationship Id="rId110" Type="http://schemas.openxmlformats.org/officeDocument/2006/relationships/fontTable" Target="fontTable.xml"/><Relationship Id="rId61" Type="http://schemas.openxmlformats.org/officeDocument/2006/relationships/hyperlink" Target="https://sciwheel.com/work/citation?ids=2837948&amp;pre=&amp;suf=&amp;sa=0&amp;dbf=0" TargetMode="External"/><Relationship Id="rId82" Type="http://schemas.openxmlformats.org/officeDocument/2006/relationships/hyperlink" Target="https://sciwheel.com/work/bibliography/9695927" TargetMode="External"/><Relationship Id="rId19" Type="http://schemas.openxmlformats.org/officeDocument/2006/relationships/hyperlink" Target="https://sciwheel.com/work/citation?ids=13579073&amp;pre=&amp;suf=&amp;sa=0&amp;dbf=0" TargetMode="External"/><Relationship Id="rId14" Type="http://schemas.openxmlformats.org/officeDocument/2006/relationships/hyperlink" Target="https://sciwheel.com/work/citation?ids=1193747&amp;pre=&amp;suf=&amp;sa=0&amp;dbf=0" TargetMode="External"/><Relationship Id="rId30" Type="http://schemas.openxmlformats.org/officeDocument/2006/relationships/hyperlink" Target="https://sciwheel.com/work/citation?ids=4691262&amp;pre=&amp;suf=&amp;sa=0&amp;dbf=0" TargetMode="External"/><Relationship Id="rId35" Type="http://schemas.openxmlformats.org/officeDocument/2006/relationships/hyperlink" Target="https://sciwheel.com/work/citation?ids=13368338&amp;pre=&amp;suf=&amp;sa=0&amp;dbf=0" TargetMode="External"/><Relationship Id="rId56" Type="http://schemas.openxmlformats.org/officeDocument/2006/relationships/hyperlink" Target="https://sciwheel.com/work/citation?ids=2588714&amp;pre=&amp;suf=&amp;sa=0&amp;dbf=0" TargetMode="External"/><Relationship Id="rId77" Type="http://schemas.openxmlformats.org/officeDocument/2006/relationships/hyperlink" Target="https://sciwheel.com/work/bibliography/16601375" TargetMode="External"/><Relationship Id="rId100" Type="http://schemas.openxmlformats.org/officeDocument/2006/relationships/hyperlink" Target="https://sciwheel.com/work/bibliography/8652709" TargetMode="External"/><Relationship Id="rId105" Type="http://schemas.openxmlformats.org/officeDocument/2006/relationships/hyperlink" Target="https://sciwheel.com/work/bibliography/429229" TargetMode="External"/><Relationship Id="rId8" Type="http://schemas.openxmlformats.org/officeDocument/2006/relationships/hyperlink" Target="https://sciwheel.com/work/citation?ids=356588&amp;pre=&amp;suf=&amp;sa=0&amp;dbf=0" TargetMode="External"/><Relationship Id="rId51" Type="http://schemas.openxmlformats.org/officeDocument/2006/relationships/hyperlink" Target="https://sciwheel.com/work/citation?ids=15246130&amp;pre=&amp;suf=&amp;sa=0&amp;dbf=0" TargetMode="External"/><Relationship Id="rId72" Type="http://schemas.openxmlformats.org/officeDocument/2006/relationships/hyperlink" Target="https://sciwheel.com/work/bibliography/6658857" TargetMode="External"/><Relationship Id="rId93" Type="http://schemas.openxmlformats.org/officeDocument/2006/relationships/hyperlink" Target="https://sciwheel.com/work/bibliography/13329449" TargetMode="External"/><Relationship Id="rId98" Type="http://schemas.openxmlformats.org/officeDocument/2006/relationships/hyperlink" Target="https://sciwheel.com/work/bibliography/2588714" TargetMode="External"/><Relationship Id="rId3" Type="http://schemas.openxmlformats.org/officeDocument/2006/relationships/styles" Target="styles.xml"/><Relationship Id="rId25" Type="http://schemas.openxmlformats.org/officeDocument/2006/relationships/hyperlink" Target="https://sciwheel.com/work/citation?ids=10933807&amp;pre=&amp;suf=&amp;sa=0&amp;dbf=0" TargetMode="External"/><Relationship Id="rId46" Type="http://schemas.openxmlformats.org/officeDocument/2006/relationships/hyperlink" Target="https://sciwheel.com/work/citation?ids=12404623&amp;pre=&amp;suf=&amp;sa=0&amp;dbf=0" TargetMode="External"/><Relationship Id="rId67" Type="http://schemas.openxmlformats.org/officeDocument/2006/relationships/hyperlink" Target="https://sciwheel.com/work/bibliography/1459769" TargetMode="External"/><Relationship Id="rId20" Type="http://schemas.openxmlformats.org/officeDocument/2006/relationships/hyperlink" Target="https://sciwheel.com/work/citation?ids=1459769&amp;pre=&amp;suf=&amp;sa=0&amp;dbf=0" TargetMode="External"/><Relationship Id="rId41" Type="http://schemas.openxmlformats.org/officeDocument/2006/relationships/hyperlink" Target="https://sciwheel.com/work/citation?ids=15246130&amp;pre=&amp;suf=&amp;sa=0&amp;dbf=0" TargetMode="External"/><Relationship Id="rId62" Type="http://schemas.openxmlformats.org/officeDocument/2006/relationships/hyperlink" Target="https://sciwheel.com/work/citation?ids=17229991&amp;pre=&amp;suf=&amp;sa=0&amp;dbf=0" TargetMode="External"/><Relationship Id="rId83" Type="http://schemas.openxmlformats.org/officeDocument/2006/relationships/hyperlink" Target="https://sciwheel.com/work/bibliography/16216059" TargetMode="External"/><Relationship Id="rId88" Type="http://schemas.openxmlformats.org/officeDocument/2006/relationships/hyperlink" Target="https://sciwheel.com/work/bibliography/12404623"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B5E01E3-80AC-2A48-9D69-454388B153B0}">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F4F31B1-1415-FE49-9B38-CFF4CDE79A2D}">
  <we:reference id="a504f697-cd57-482d-af3c-653ec8236b9b" version="7.0.0.1" store="EXCatalog" storeType="EXCatalog"/>
  <we:alternateReferences>
    <we:reference id="WA200002534" version="7.0.0.1" store="en-US" storeType="OMEX"/>
  </we:alternateReferences>
  <we:properties>
    <we:property name="sciwheel-csl-items" value="[{&quot;title&quot;:&quot;C. diff (Clostridioides difficile) | CDC&quot;,&quot;accessed&quot;:{&quot;date-parts&quot;:[[&quot;2021&quot;,&quot;10&quot;,&quot;9&quot;]]},&quot;id&quot;:&quot;11836479&quot;,&quot;type&quot;:&quot;webpage&quot;,&quot;author&quot;:[{&quot;family&quot;:&quot;CDC&quot;}],&quot;issued&quot;:{&quot;date-parts&quot;:[[]]},&quot;URL&quot;:&quot;https://www.cdc.gov/cdiff/index.html&quot;,&quot;citation-label&quot;:&quot;11836479&quot;},{&quot;title&quot;:&quot;Burden of Clostridium difficile infection in the United States.&quot;,&quot;page&quot;:&quot;825-834&quot;,&quot;volume&quot;:&quot;372&quot;,&quot;issue&quot;:&quot;9&quot;,&quot;journalAbbreviation&quot;:&quot;N. Engl. J. Med.&quot;,&quot;id&quot;:&quot;1149578&quot;,&quot;type&quot;:&quot;article-journal&quot;,&quot;container-title&quot;:&quot;The New England Journal of Medicine&quot;,&quot;container-title-short&quot;:&quot;N. Engl. J. Med.&quot;,&quot;abstract&quot;:&quot;BACKGROUND: The magnitude and scope of Clostridium difficile infection in the United States continue to evolve.METHODS: In 2011, we performed active population- and laboratory-based surveillance across 10 geographic areas in the United States to identify cases of C. difficile infection (stool specimens positive for C. difficile on either toxin or molecular assay in residents ≥ 1 year of age). Cases were classified as community-associated or health care-associated. In a sample of cases of C. difficile infection, specimens were cultured and isolates underwent molecular typing. We used regression models to calculate estimates of national incidence and total number of infections, first recurrences, and deaths within 30 days after the diagnosis of C. difficile infection.RESULTS: A total of 15,461 cases of C. difficile infection were identified in the 10 geographic areas; 65.8% were health care-associated, but only 24.2% had onset during hospitalization. After adjustment for predictors of disease incidence, the estimated number of incident C. difficile infections in the United States was 453,000 (95% confidence interval [CI], 397,100 to 508,500). The incidence was estimated to be higher among females (rate ratio, 1.26; 95% CI, 1.25 to 1.27), whites (rate ratio, 1.72; 95% CI, 1.56 to 2.0), and persons 65 years of age or older (rate ratio, 8.65; 95% CI, 8.16 to 9.31). The estimated number of first recurrences of C. difficile infection was 83,000 (95% CI, 57,000 to 108,900), and the estimated number of deaths was 29,300 (95% CI, 16,500 to 42,100). The North American pulsed-field gel electrophoresis type 1 (NAP1) strain was more prevalent among health care-associated infections than among community-associated infections (30.7% vs. 18.8%, P&lt; 0.001).CONCLUSIONS: C. difficile was responsible for almost half a million infections and was associated with approximately 29,000 deaths in 2011. (Funded by the Centers for Disease Control and Prevention.).&quot;,&quot;author&quot;:[{&quot;family&quot;:&quot;Lessa&quot;,&quot;given&quot;:&quot;Fernanda C&quot;},{&quot;family&quot;:&quot;Mu&quot;,&quot;given&quot;:&quot;Yi&quot;},{&quot;family&quot;:&quot;Bamberg&quot;,&quot;given&quot;:&quot;Wendy M&quot;},{&quot;family&quot;:&quot;Beldavs&quot;,&quot;given&quot;:&quot;Zintars G&quot;},{&quot;family&quot;:&quot;Dumyati&quot;,&quot;given&quot;:&quot;Ghinwa K&quot;},{&quot;family&quot;:&quot;Dunn&quot;,&quot;given&quot;:&quot;John R&quot;},{&quot;family&quot;:&quot;Farley&quot;,&quot;given&quot;:&quot;Monica M&quot;},{&quot;family&quot;:&quot;Holzbauer&quot;,&quot;given&quot;:&quot;Stacy M&quot;},{&quot;family&quot;:&quot;Meek&quot;,&quot;given&quot;:&quot;James I&quot;},{&quot;family&quot;:&quot;Phipps&quot;,&quot;given&quot;:&quot;Erin C&quot;},{&quot;family&quot;:&quot;Wilson&quot;,&quot;given&quot;:&quot;Lucy E&quot;},{&quot;family&quot;:&quot;Winston&quot;,&quot;given&quot;:&quot;Lisa G&quot;},{&quot;family&quot;:&quot;Cohen&quot;,&quot;given&quot;:&quot;Jessica A&quot;},{&quot;family&quot;:&quot;Limbago&quot;,&quot;given&quot;:&quot;Brandi M&quot;},{&quot;family&quot;:&quot;Fridkin&quot;,&quot;given&quot;:&quot;Scott K&quot;},{&quot;family&quot;:&quot;Gerding&quot;,&quot;given&quot;:&quot;Dale N&quot;},{&quot;family&quot;:&quot;McDonald&quot;,&quot;given&quot;:&quot;L Clifford&quot;}],&quot;issued&quot;:{&quot;date-parts&quot;:[[&quot;2015&quot;,&quot;2&quot;,&quot;26&quot;]]},&quot;DOI&quot;:&quot;10.1056/NEJMoa1408913&quot;,&quot;PMID&quot;:&quot;25714160&quot;,&quot;PMCID&quot;:&quot;PMC10966662&quot;,&quot;citation-label&quot;:&quot;1149578&quot;},{&quot;title&quot;:&quot;Antibiotic Prescribing Choices and Their Comparative C. Difficile Infection Risks: A Longitudinal Case-Cohort Study.&quot;,&quot;page&quot;:&quot;836-844&quot;,&quot;volume&quot;:&quot;72&quot;,&quot;issue&quot;:&quot;5&quot;,&quot;journalAbbreviation&quot;:&quot;Clin. Infect. Dis.&quot;,&quot;id&quot;:&quot;13356607&quot;,&quot;type&quot;:&quot;article-journal&quot;,&quot;container-title&quot;:&quot;Clinical Infectious Diseases&quot;,&quot;container-title-short&quot;:&quot;Clin. Infect. Dis.&quot;,&quot;abstract&quot;:&quot;BACKGROUND: Antibiotic use is the strongest modifiable risk factor for the development of Clostridioides difficile infection, but prescribers lack quantitative information on comparative risks of specific antibiotic courses. Our objective was to estimate risks of C. difficile infection associated with receipt of specific antibiotic courses.METHODS: We conducted a longitudinal case-cohort analysis representing over 90% of Ontario nursing home residents, between 2012 and 2017. Our primary exposure was days of antibiotic receipt in the prior 90 days. Adjustment covariates included: age, sex, prior emergency department or acute care stay, Charlson comorbidity index, prior C. difficile infection, acid suppressant use, device use, and functional status. We examined incident C. difficile infection, including cases identified within the nursing home, and those identified during subsequent hospital admissions. Adjusted and unadjusted regression models were used to measure risk associated with 5- to 14-day courses of 18 different antibiotics.RESULTS: We identified 1708 cases of C. difficile infection (1.27 per 100 000 resident-days). Longer antibiotic duration was associated with increased risk: 10- and 14-day courses incurred 12% (adjusted relative risk [ARR] = 1.12, 95% confidence interval [CI]: 1.09, 1.14) and 27% (ARR = 1.27, 95% CI: 1.21,1.30) more risk compared to 7-day courses. Among 7-day courses with similar indications: moxifloxacin resulted in 121% more risk than amoxicillin (ARR = 2.21, 95% CI: 1.67, 3.08), ciprofloxacin engendered 89% more risk than nitrofurantoin (ARR = 1.89, 95% CI: 1.45, 2.68), and clindamycin resulted in 112% (ARR = 2.12, 95% CI: 1.32, 3.78) more risk than cloxacillin.CONCLUSIONS: C. difficile infection risk increases with antibiotic duration, and there are wide disparities in risks associated with antibiotic courses used for similar indications.Her Majesty the Queen in Right of Canada, as represented by the Public Health Ontario, 2020.&quot;,&quot;author&quot;:[{&quot;family&quot;:&quot;Brown&quot;,&quot;given&quot;:&quot;Kevin Antoine&quot;},{&quot;family&quot;:&quot;Langford&quot;,&quot;given&quot;:&quot;Bradley&quot;},{&quot;family&quot;:&quot;Schwartz&quot;,&quot;given&quot;:&quot;Kevin L&quot;},{&quot;family&quot;:&quot;Diong&quot;,&quot;given&quot;:&quot;Christina&quot;},{&quot;family&quot;:&quot;Garber&quot;,&quot;given&quot;:&quot;Gary&quot;},{&quot;family&quot;:&quot;Daneman&quot;,&quot;given&quot;:&quot;Nick&quot;}],&quot;issued&quot;:{&quot;date-parts&quot;:[[&quot;2021&quot;,&quot;3&quot;,&quot;1&quot;]]},&quot;DOI&quot;:&quot;10.1093/cid/ciaa124&quot;,&quot;PMID&quot;:&quot;32069358&quot;,&quot;PMCID&quot;:&quot;PMC7935390&quot;,&quot;citation-label&quot;:&quot;13356607&quot;},{&quot;title&quot;:&quot;Evaluation of Clostridium difficile-associated disease pressure as a risk factor for C difficile-associated disease.&quot;,&quot;page&quot;:&quot;1092-1097&quot;,&quot;volume&quot;:&quot;167&quot;,&quot;issue&quot;:&quot;10&quot;,&quot;journalAbbreviation&quot;:&quot;Arch. Intern. Med.&quot;,&quot;id&quot;:&quot;18003309&quot;,&quot;type&quot;:&quot;article-journal&quot;,&quot;container-title&quot;:&quot;Archives of Internal Medicine&quot;,&quot;container-title-short&quot;:&quot;Arch. Intern. Med.&quot;,&quot;abstract&quot;:&quot;BACKGROUND: Colonization pressure has been identified as an important risk factor in the transmission of methicillin-resistant Staphylococcus aureus and vancomycin-resistant Enterococcus species, but the role of colonization pressure in the transmission of Clostridium difficile-associated disease (CDAD) is unclear. The purpose of this study was to evaluate CDAD pressure, a modified form of colonization pressure based on symptomatic CDAD cases, as a risk factor for CDAD.METHODS: Retrospective cohort and nested case-control studies of patients admitted to Barnes-Jewish Hospital from January 1, 2003, through December 31, 2003. Univariate analysis and multivariate logistic regression models were used to evaluate the role of CDAD pressure as a risk factor for CDAD.RESULTS: A total of 36 275 patients were included in the cohort, of which 382 had CDAD. The median CDAD pressure was higher for case patients than noncase patients (1.4 vs 0.3; P&lt; .001), and only 1 patient with CDAD had a CDAD pressure of 0. In the nested case-control study, CDAD pressure remained an independent risk factor for CDAD after adjustment for demographics, severity of illness, medications received (chemotherapy, gastric acid suppressors, antidiarrheals or narcotics, and antibiotics), and abdominal procedures or surgery performed.CONCLUSIONS: The results of this study suggest that CDAD pressure may be an independent risk factor for CDAD. Future studies that evaluate risk of CDAD should control for CDAD pressure.&quot;,&quot;author&quot;:[{&quot;family&quot;:&quot;Dubberke&quot;,&quot;given&quot;:&quot;Erik R&quot;},{&quot;family&quot;:&quot;Reske&quot;,&quot;given&quot;:&quot;Kimberly A&quot;},{&quot;family&quot;:&quot;Olsen&quot;,&quot;given&quot;:&quot;Margaret A&quot;},{&quot;family&quot;:&quot;McMullen&quot;,&quot;given&quot;:&quot;Kathleen M&quot;},{&quot;family&quot;:&quot;Mayfield&quot;,&quot;given&quot;:&quot;Jennie L&quot;},{&quot;family&quot;:&quot;McDonald&quot;,&quot;given&quot;:&quot;L Clifford&quot;},{&quot;family&quot;:&quot;Fraser&quot;,&quot;given&quot;:&quot;Victoria J&quot;}],&quot;issued&quot;:{&quot;date-parts&quot;:[[&quot;2007&quot;,&quot;5&quot;,&quot;28&quot;]]},&quot;DOI&quot;:&quot;10.1001/archinte.167.10.1092&quot;,&quot;PMID&quot;:&quot;17533213&quot;,&quot;citation-label&quot;:&quot;18003309&quot;},{&quot;title&quot;:&quot;Antibiotic-induced shifts in the mouse gut microbiome and metabolome increase susceptibility to Clostridium difficile infection.&quot;,&quot;page&quot;:&quot;3114&quot;,&quot;volume&quot;:&quot;5&quot;,&quot;journalAbbreviation&quot;:&quot;Nat. Commun.&quot;,&quot;id&quot;:&quot;1310431&quot;,&quot;type&quot;:&quot;article-journal&quot;,&quot;container-title&quot;:&quot;Nature Communications&quot;,&quot;container-title-short&quot;:&quot;Nat. Commun.&quot;,&quot;abstract&quot;:&quot;Antibiotics can have significant and long-lasting effects on the gastrointestinal tract microbiota, reducing colonization resistance against pathogens including Clostridium difficile. Here we show that antibiotic treatment induces substantial changes in the gut microbial community and in the metabolome of mice susceptible to C. difficile infection. Levels of secondary bile acids, glucose, free fatty acids and dipeptides decrease, whereas those of primary bile acids and sugar alcohols increase, reflecting the modified metabolic activity of the altered gut microbiome. In vitro and ex vivo analyses demonstrate that C. difficile can exploit specific metabolites that become more abundant in the mouse gut after antibiotics, including the primary bile acid taurocholate for germination, and carbon sources such as mannitol, fructose, sorbitol, raffinose and stachyose for growth. Our results indicate that antibiotic-mediated alteration of the gut microbiome converts the global metabolic profile to one that favours C. difficile germination and growth.&quot;,&quot;author&quot;:[{&quot;family&quot;:&quot;Theriot&quot;,&quot;given&quot;:&quot;Casey M&quot;},{&quot;family&quot;:&quot;Koenigsknecht&quot;,&quot;given&quot;:&quot;Mark J&quot;},{&quot;family&quot;:&quot;Carlson&quot;,&quot;given&quot;:&quot;Paul E&quot;},{&quot;family&quot;:&quot;Hatton&quot;,&quot;given&quot;:&quot;Gabrielle E&quot;},{&quot;family&quot;:&quot;Nelson&quot;,&quot;given&quot;:&quot;Adam M&quot;},{&quot;family&quot;:&quot;Li&quot;,&quot;given&quot;:&quot;Bo&quot;},{&quot;family&quot;:&quot;Huffnagle&quot;,&quot;given&quot;:&quot;Gary B&quot;},{&quot;family&quot;:&quot;Z Li&quot;,&quot;given&quot;:&quot;Jun&quot;},{&quot;family&quot;:&quot;Young&quot;,&quot;given&quot;:&quot;Vincent B&quot;}],&quot;issued&quot;:{&quot;date-parts&quot;:[[&quot;2014&quot;]]},&quot;DOI&quot;:&quot;10.1038/ncomms4114&quot;,&quot;PMID&quot;:&quot;24445449&quot;,&quot;PMCID&quot;:&quot;PMC3950275&quot;,&quot;citation-label&quot;:&quot;1310431&quot;},{&quot;title&quot;:&quot;Clinical complications in patients with primary and recurrent Clostridioides difficile infection: A real-world data analysis.&quot;,&quot;page&quot;:&quot;2050312120986733&quot;,&quot;volume&quot;:&quot;9&quot;,&quot;journalAbbreviation&quot;:&quot;SAGE Open Med.&quot;,&quot;id&quot;:&quot;18003324&quot;,&quot;type&quot;:&quot;article-journal&quot;,&quot;container-title&quot;:&quot;SAGE open medicine&quot;,&quot;container-title-short&quot;:&quot;SAGE Open Med.&quot;,&quot;abstract&quot;:&quot;OBJECTIVE: Clostridioides difficile infection and recurrent C. difficile infection result in substantial economic burden and healthcare resource use. Sepsis and bowel surgery are known to be serious complications of C. difficile infection. This study evaluated clinical complications in patients with C. difficile infection and recurrent C. difficile infection during a 12-month period following the primary C. difficile infection.METHODS: A retrospective analysis of commercial claims data from the IQVIA PharMetrics Plus™ database was conducted for patients aged 18-64 years with an index C. difficile infection episode requiring inpatient stay or an outpatient visit for C. difficile infection followed by a C. difficile infection treatment. Each C. difficile infection episode ended after a 14-day C. difficile infection-claim-free period was observed. Recurrent C. difficile infection was defined as a further C. difficile infection episode within an 8-week window following the claim-free period. Clinical complications were documented over 12 months of follow-up and stratified by the number of recurrent C. difficile infection episodes (0 rCDI, 1 rCDI, 2 rCDI, and 3+ rCDI).RESULTS: In total, 46,571 patients with index C. difficile infection episode were included. During the 6-month pre-index, the mean (standard deviation) baseline Charlson comorbidity index score, by increasing the recurrent C. difficile infection group, was 1.2 (1.9), 1.5 (2.2), 1.8 (2.3), and 2.3 (2.5). During the 12-month follow-up, sepsis occurred in 16.5%, 27.3%, 33.1%, and 43.3% of patients, and subtotal colectomy or diverting loop ileostomy was performed in 4.6%, 7.3%, 8.9%, and 10.5% of patients, respectively, by increasing the recurrent C. difficile infection group.CONCLUSIONS: Reduction in recurrent C. difficile infection is an important step to reduce the burden of serious clinical complications, and new treatments are needed to reduce C. difficile infection recurrence.© The Author(s) 2021.&quot;,&quot;author&quot;:[{&quot;family&quot;:&quot;Feuerstadt&quot;,&quot;given&quot;:&quot;Paul&quot;},{&quot;family&quot;:&quot;Boules&quot;,&quot;given&quot;:&quot;Mena&quot;},{&quot;family&quot;:&quot;Stong&quot;,&quot;given&quot;:&quot;Laura&quot;},{&quot;family&quot;:&quot;Dahdal&quot;,&quot;given&quot;:&quot;David N&quot;},{&quot;family&quot;:&quot;Sacks&quot;,&quot;given&quot;:&quot;Naomi C&quot;},{&quot;family&quot;:&quot;Lang&quot;,&quot;given&quot;:&quot;Kathleen&quot;},{&quot;family&quot;:&quot;Nelson&quot;,&quot;given&quot;:&quot;Winnie W&quot;}],&quot;issued&quot;:{&quot;date-parts&quot;:[[&quot;2021&quot;,&quot;1&quot;,&quot;14&quot;]]},&quot;DOI&quot;:&quot;10.1177/2050312120986733&quot;,&quot;PMID&quot;:&quot;33505698&quot;,&quot;PMCID&quot;:&quot;PMC7812403&quot;,&quot;citation-label&quot;:&quot;18003324&quot;},{&quot;title&quot;:&quot;Interbacterial mechanisms of colonization resistance and the strategies pathogens use to overcome them.&quot;,&quot;page&quot;:&quot;1-9&quot;,&quot;volume&quot;:&quot;12&quot;,&quot;issue&quot;:&quot;1&quot;,&quot;journalAbbreviation&quot;:&quot;Mucosal Immunol.&quot;,&quot;id&quot;:&quot;5933461&quot;,&quot;type&quot;:&quot;article-journal&quot;,&quot;container-title&quot;:&quot;Mucosal Immunology&quot;,&quot;container-title-short&quot;:&quot;Mucosal Immunol.&quot;,&quot;abstract&quot;:&quot;The communities of bacteria that reside in the intestinal tract are in constant competition within this dynamic and densely colonized environment. At homeostasis, the equilibrium that exists between these species and strains is shaped by their metabolism and also by pathways of active antagonism, which drive competition with related and unrelated strains. Importantly, these normal activities contribute to colonization resistance by the healthy microbiota, which includes the ability to prevent the expansion of potential pathogens. Disruption of the microbiota, resulting from, for example, inflammation or antibiotic use, can reduce colonization resistance. Pathogens that engraft following disruption of the microbiota are often adapted to expand into newly created niches and compete in an altered gut environment. In this review, we examine both the interbacterial mechanisms of colonization resistance and the strategies of pathogenic strains to exploit gaps in colonization resistance.&quot;,&quot;author&quot;:[{&quot;family&quot;:&quot;Sorbara&quot;,&quot;given&quot;:&quot;Matthew T&quot;},{&quot;family&quot;:&quot;Pamer&quot;,&quot;given&quot;:&quot;Eric G&quot;}],&quot;issued&quot;:{&quot;date-parts&quot;:[[&quot;2019&quot;,&quot;1&quot;]]},&quot;DOI&quot;:&quot;10.1038/s41385-018-0053-0&quot;,&quot;PMID&quot;:&quot;29988120&quot;,&quot;PMCID&quot;:&quot;PMC6312114&quot;,&quot;citation-label&quot;:&quot;5933461&quot;},{&quot;title&quot;:&quot;EPA’s Registered Antimicrobial Products Effective Against Clostridioides difficile (C. diff) Spores [List K] | US EPA&quot;,&quot;accessed&quot;:{&quot;date-parts&quot;:[[&quot;2025&quot;,&quot;6&quot;,&quot;25&quot;]]},&quot;id&quot;:&quot;18003358&quot;,&quot;type&quot;:&quot;webpage&quot;,&quot;issued&quot;:{&quot;date-parts&quot;:[[]]},&quot;URL&quot;:&quot;https://www.epa.gov/pesticide-registration/epas-registered-antimicrobial-products-effective-against-clostridioides&quot;,&quot;citation-label&quot;:&quot;18003358&quot;},{&quot;title&quot;:&quot;Recovery of the gut microbiome following fecal microbiota transplantation.&quot;,&quot;page&quot;:&quot;e00893-14&quot;,&quot;volume&quot;:&quot;5&quot;,&quot;issue&quot;:&quot;3&quot;,&quot;journalAbbreviation&quot;:&quot;MBio&quot;,&quot;id&quot;:&quot;1986637&quot;,&quot;type&quot;:&quot;article-journal&quot;,&quot;container-title&quot;:&quot;mBio&quot;,&quot;container-title-short&quot;:&quot;MBio&quot;,&quot;abstract&quot;:&quot;UNLABELLED: Clostridium difficile infection is one of the most common health care-associated infections, and up to 40% of patients suffer from recurrence of disease following standard antibiotic therapy. Recently, fecal microbiota transplantation (FMT) has been successfully used to treat recurrent C. difficile infection. It is hypothesized that FMT aids in recovery of a microbiota capable of colonization resistance to C. difficile. However, it is not fully understood how this occurs. Here we investigated changes in the fecal microbiota structure following FMT in patients with recurrent C. difficile infection, and imputed a hypothetical functional profile based on the 16S rRNA profile using a predictive metagenomic tool. Increased relative abundance of Bacteroidetes and decreased abundance of Proteobacteria were observed following FMT. The fecal microbiota of recipients following transplantation was more diverse and more similar to the donor profile than the microbiota prior to transplantation. Additionally, we observed differences in the imputed metagenomic profile. In particular, amino acid transport systems were overrepresented in samples collected prior to transplantation. These results suggest that functional changes accompany microbial structural changes following this therapy. Further identification of the specific community members and functions that promote colonization resistance may aid in the development of improved treatment methods for C. difficile infection.IMPORTANCE: Within the last decade, Clostridium difficile infection has surpassed other bacterial infections to become the leading cause of nosocomial infections. Antibiotic use, which disrupts the gut microbiota and its capability in providing colonization resistance against C. difficile, is a known risk factor in C. difficile infection. In particular, recurrent C. difficile remains difficult to treat with standard antibiotic therapy. Fecal microbiota transplantation (FMT) has provided a successful treatment method for some patients with recurrent C. difficile infection, but its mechanism and long-term effects remain unknown. Our results provide insight into the structural and potential metabolic changes that occur following FMT, which may aid in the development of new treatment methods for C. difficile infection.Copyright © 2014 Seekatz et al.&quot;,&quot;author&quot;:[{&quot;family&quot;:&quot;Seekatz&quot;,&quot;given&quot;:&quot;Anna M&quot;},{&quot;family&quot;:&quot;Aas&quot;,&quot;given&quot;:&quot;Johannes&quot;},{&quot;family&quot;:&quot;Gessert&quot;,&quot;given&quot;:&quot;Charles E&quot;},{&quot;family&quot;:&quot;Rubin&quot;,&quot;given&quot;:&quot;Timothy A&quot;},{&quot;family&quot;:&quot;Saman&quot;,&quot;given&quot;:&quot;Daniel M&quot;},{&quot;family&quot;:&quot;Bakken&quot;,&quot;given&quot;:&quot;Johan S&quot;},{&quot;family&quot;:&quot;Young&quot;,&quot;given&quot;:&quot;Vincent B&quot;}],&quot;issued&quot;:{&quot;date-parts&quot;:[[&quot;2014&quot;,&quot;6&quot;,&quot;17&quot;]]},&quot;DOI&quot;:&quot;10.1128/mBio.00893-14&quot;,&quot;PMID&quot;:&quot;24939885&quot;,&quot;PMCID&quot;:&quot;PMC4068257&quot;,&quot;citation-label&quot;:&quot;1986637&quot;},{&quot;title&quot;:&quot;Clostridium difficile Infection and Fecal Microbiota Transplant.&quot;,&quot;page&quot;:&quot;324-337&quot;,&quot;volume&quot;:&quot;27&quot;,&quot;issue&quot;:&quot;3&quot;,&quot;journalAbbreviation&quot;:&quot;AACN Adv. Crit. Care&quot;,&quot;id&quot;:&quot;6518191&quot;,&quot;type&quot;:&quot;article-journal&quot;,&quot;container-title&quot;:&quot;AACN Advanced Critical Care&quot;,&quot;container-title-short&quot;:&quot;AACN Adv. Crit. Care&quot;,&quot;abstract&quot;:&quot;Clostridium difficile infection (CDI) is a major source of morbidity and mortality for hospitalized patients. Although most patients have a clinical response to existing antimicrobial therapies, recurrent infection develops in up to 30% of patients. Fecal microbiota transplant is a novel approach to this complex problem, with an efficacy rate of nearly 90% in the setting of multiple recurrent CDI. This review covers the current epidemiology of CDI (including toxigenic and nontoxigenic strains, risk factors for infection, and recurrent infection), methods of diagnosis, existing first-line therapies in CDI, the role of fecal microbiota transplant for multiple recurrent CDIs, and the potential use of fecal microbial transplant for patients with severe or refractory infection.©2016 American Association of Critical-Care Nurses.&quot;,&quot;author&quot;:[{&quot;family&quot;:&quot;Liubakka&quot;,&quot;given&quot;:&quot;Alyssa&quot;},{&quot;family&quot;:&quot;Vaughn&quot;,&quot;given&quot;:&quot;Byron P&quot;}],&quot;issued&quot;:{&quot;date-parts&quot;:[[&quot;2016&quot;,&quot;7&quot;]]},&quot;DOI&quot;:&quot;10.4037/aacnacc2016703&quot;,&quot;PMID&quot;:&quot;27959316&quot;,&quot;PMCID&quot;:&quot;PMC5666691&quot;,&quot;citation-label&quot;:&quot;6518191&quot;},{&quot;title&quot;:&quot;Duodenal infusion of donor feces for recurrent Clostridium difficile.&quot;,&quot;page&quot;:&quot;407-415&quot;,&quot;volume&quot;:&quot;368&quot;,&quot;issue&quot;:&quot;5&quot;,&quot;journalAbbreviation&quot;:&quot;N. Engl. J. Med.&quot;,&quot;id&quot;:&quot;74693&quot;,&quot;type&quot;:&quot;article-journal&quot;,&quot;container-title&quot;:&quot;The New England Journal of Medicine&quot;,&quot;container-title-short&quot;:&quot;N. Engl. J. Med.&quot;,&quot;abstract&quot;:&quot;BACKGROUND: Recurrent Clostridium difficile infection is difficult to treat, and failure rates for antibiotic therapy are high. We studied the effect of duodenal infusion of donor feces in patients with recurrent C. difficile infection.METHODS: We randomly assigned patients to receive one of three therapies: an initial vancomycin regimen (500 mg orally four times per day for 4 days), followed by bowel lavage and subsequent infusion of a solution of donor feces through a nasoduodenal tube; a standard vancomycin regimen (500 mg orally four times per day for 14 days); or a standard vancomycin regimen with bowel lavage. The primary end point was the resolution of diarrhea associated with C. difficile infection without relapse after 10 weeks.RESULTS: The study was stopped after an interim analysis. Of 16 patients in the infusion group, 13 (81%) had resolution of C. difficile-associated diarrhea after the first infusion. The 3 remaining patients received a second infusion with feces from a different donor, with resolution in 2 patients. Resolution of C. difficile infection occurred in 4 of 13 patients (31%) receiving vancomycin alone and in 3 of 13 patients (23%) receiving vancomycin with bowel lavage (P&lt; 0.001 for both comparisons with the infusion group). No significant differences in adverse events among the three study groups were observed except for mild diarrhea and abdominal cramping in the infusion group on the infusion day. After donor-feces infusion, patients showed increased fecal bacterial diversity, similar to that in healthy donors, with an increase in Bacteroidetes species and clostridium clusters IV and XIVa and a decrease in Proteobacteria species.CONCLUSIONS: The infusion of donor feces was significantly more effective for the treatment of recurrent C. difficile infection than the use of vancomycin. (Funded by the Netherlands Organization for Health Research and Development and the Netherlands Organization for Scientific Research; Netherlands Trial Register number, NTR1177.).&quot;,&quot;author&quot;:[{&quot;family&quot;:&quot;van Nood&quot;,&quot;given&quot;:&quot;Els&quot;},{&quot;family&quot;:&quot;Vrieze&quot;,&quot;given&quot;:&quot;Anne&quot;},{&quot;family&quot;:&quot;Nieuwdorp&quot;,&quot;given&quot;:&quot;Max&quot;},{&quot;family&quot;:&quot;Fuentes&quot;,&quot;given&quot;:&quot;Susana&quot;},{&quot;family&quot;:&quot;Zoetendal&quot;,&quot;given&quot;:&quot;Erwin G&quot;},{&quot;family&quot;:&quot;de Vos&quot;,&quot;given&quot;:&quot;Willem M&quot;},{&quot;family&quot;:&quot;Visser&quot;,&quot;given&quot;:&quot;Caroline E&quot;},{&quot;family&quot;:&quot;Kuijper&quot;,&quot;given&quot;:&quot;Ed J&quot;},{&quot;family&quot;:&quot;Bartelsman&quot;,&quot;given&quot;:&quot;Joep F W M&quot;},{&quot;family&quot;:&quot;Tijssen&quot;,&quot;given&quot;:&quot;Jan G P&quot;},{&quot;family&quot;:&quot;Speelman&quot;,&quot;given&quot;:&quot;Peter&quot;},{&quot;family&quot;:&quot;Dijkgraaf&quot;,&quot;given&quot;:&quot;Marcel G W&quot;},{&quot;family&quot;:&quot;Keller&quot;,&quot;given&quot;:&quot;Josbert J&quot;}],&quot;issued&quot;:{&quot;date-parts&quot;:[[&quot;2013&quot;,&quot;1&quot;,&quot;31&quot;]]},&quot;DOI&quot;:&quot;10.1056/NEJMoa1205037&quot;,&quot;PMID&quot;:&quot;23323867&quot;,&quot;citation-label&quot;:&quot;74693&quot;},{&quot;title&quot;:&quot;Inflammatory Bowel Disease Affects the Outcome of Fecal Microbiota Transplantation for Recurrent Clostridium difficile Infection.&quot;,&quot;page&quot;:&quot;1433-1438&quot;,&quot;volume&quot;:&quot;14&quot;,&quot;issue&quot;:&quot;10&quot;,&quot;journalAbbreviation&quot;:&quot;Clin. Gastroenterol. Hepatol.&quot;,&quot;id&quot;:&quot;1536079&quot;,&quot;type&quot;:&quot;article-journal&quot;,&quot;container-title&quot;:&quot;Clinical Gastroenterology and Hepatology&quot;,&quot;container-title-short&quot;:&quot;Clin. Gastroenterol. Hepatol.&quot;,&quot;abstract&quot;:&quot;BACKGROUND &amp; AIMS: A significant fraction of patients with recurrent Clostridium difficile infections (CDI) have inflammatory bowel disease (IBD). Fecal microbiota transplantation (FMT) can break the cycle of CDI recurrence and can be performed without evaluation of the colon. We evaluated the efficacy of colonoscopic FMT in patients with and without IBD, and whether we could identify IBD in patients during this procedure.METHODS: We collected clinical meta-data and colonoscopy results from 272 consecutive patients that underwent FMT for recurrent CDI at the University of Minnesota from 2008 through 2015. Patients had at least 2 spontaneous relapses of CDI following their initial episode and did not clear the infection after 1 extended antibiotic regimen. We collected random mucosal biopsies from patients' right colons to identify lymphocytic or collagenous colitis during the FMT procedure. Failure or success in clearing CDI was determined within or at 2 months after the FMT.RESULTS: Of patients undergoing FMT, 15% had established IBD and 2.6% were found to have IBD during the FMT procedure. A single colonoscopic FMT cleared CDI from 74.4% of patients with IBD and 92.1% of patients without IBD (P = .0018). Patients had similar responses to FMT regardless of immunosuppressive therapy. More than one-quarter of patients with IBD (25.6%) had a clinically significant flare of IBD after FMT. Lymphocytic colitis was documented in 7.4% of patients with endoscopically normal colon mucosa; only 3 of these patients (20%) required additional treatment for colitis after clearance of CDI.CONCLUSIONS: Based on an analysis of 272 patients, FMT is somewhat less effective in clearing recurrent CDI from patients with IBD, compared with patients without IBD, regardless of immunosuppressive therapy. More than 25% of patients with IBD have a disease flare following FMT. Lymphocytic colitis did not affect the outcome of FMT, but a small fraction of these patients required pharmacologic treatment after the procedure.Copyright © 2016 AGA Institute. Published by Elsevier Inc. All rights reserved.&quot;,&quot;author&quot;:[{&quot;family&quot;:&quot;Khoruts&quot;,&quot;given&quot;:&quot;Alexander&quot;},{&quot;family&quot;:&quot;Rank&quot;,&quot;given&quot;:&quot;Kevin M&quot;},{&quot;family&quot;:&quot;Newman&quot;,&quot;given&quot;:&quot;Krista M&quot;},{&quot;family&quot;:&quot;Viskocil&quot;,&quot;given&quot;:&quot;Kimberly&quot;},{&quot;family&quot;:&quot;Vaughn&quot;,&quot;given&quot;:&quot;Byron P&quot;},{&quot;family&quot;:&quot;Hamilton&quot;,&quot;given&quot;:&quot;Matthew J&quot;},{&quot;family&quot;:&quot;Sadowsky&quot;,&quot;given&quot;:&quot;Michael J&quot;}],&quot;issued&quot;:{&quot;date-parts&quot;:[[&quot;2016&quot;,&quot;10&quot;]]},&quot;DOI&quot;:&quot;10.1016/j.cgh.2016.02.018&quot;,&quot;PMID&quot;:&quot;26905904&quot;,&quot;PMCID&quot;:&quot;PMC5552196&quot;,&quot;citation-label&quot;:&quot;1536079&quot;},{&quot;title&quot;:&quot;FDA In Brief: FDA warns about potential risk of serious infections caused by multi-drug resistant organisms related to the investigational use of Fecal Microbiota for Transplantation | FDA&quot;,&quot;accessed&quot;:{&quot;date-parts&quot;:[[&quot;2022&quot;,&quot;3&quot;,&quot;13&quot;]]},&quot;id&quot;:&quot;12646886&quot;,&quot;type&quot;:&quot;webpage&quot;,&quot;issued&quot;:{&quot;date-parts&quot;:[[]]},&quot;URL&quot;:&quot;https://www.fda.gov/news-events/fda-brief/fda-brief-fda-warns-about-potential-risk-serious-infections-caused-multi-drug-resistant-organisms&quot;,&quot;citation-label&quot;:&quot;12646886&quot;},{&quot;title&quot;:&quot;Safety Alert Regarding Use of Fecal Microbiota for Transplantation and Risk of Serious Adverse Events Likely Due to Transmission of Pathogenic Organisms | FDA&quot;,&quot;accessed&quot;:{&quot;date-parts&quot;:[[&quot;2025&quot;,&quot;6&quot;,&quot;26&quot;]]},&quot;id&quot;:&quot;18004625&quot;,&quot;type&quot;:&quot;webpage&quot;,&quot;issued&quot;:{&quot;date-parts&quot;:[[]]},&quot;URL&quot;:&quot;https://www.fda.gov/vaccines-blood-biologics/safety-availability-biologics/safety-alert-regarding-use-fecal-microbiota-transplantation-and-risk-serious-adverse-events-likely&quot;,&quot;citation-label&quot;:&quot;18004625&quot;},{&quot;title&quot;:&quot;Do Probiotics Prevent Clostridium difficile-Associated Diarrhea?&quot;,&quot;page&quot;:&quot;e27624&quot;,&quot;volume&quot;:&quot;14&quot;,&quot;issue&quot;:&quot;8&quot;,&quot;journalAbbreviation&quot;:&quot;Cureus&quot;,&quot;id&quot;:&quot;13579073&quot;,&quot;type&quot;:&quot;article-journal&quot;,&quot;container-title&quot;:&quot;Cureus&quot;,&quot;container-title-short&quot;:&quot;Cureus&quot;,&quot;abstract&quot;:&quot;Clostridium difficile is a bacterium that affects the gastrointestinal tract and is the leading cause of antibiotic-associated diarrhea. A wide range of probiotics has been studied and used to prevent or treat Clostridium difficile-associated diarrhea (CDAD). Probiotics are microorganisms with unique characteristics that suppress dangerous gut bacteria through several mechanisms. The main objective of this study is to evaluate the efficacy and safety of probiotics in the prevention of CDAD. In this literature review, we searched PubMed and Google Scholar databases to gather related articles depending on predetermined eligibility criteria and found 13 papers of different study designs. We found that probiotics have promising effects in preventing CDAD. Additionally, they were safe and well-tolerated. Further randomized clinical trials with larger sample sizes and various patient groups are needed to better understand the advantages of probiotics and recommend the best dose and duration of probiotic treatment.Copyright © 2022, Al Sharaby et al.&quot;,&quot;author&quot;:[{&quot;family&quot;:&quot;Al Sharaby&quot;,&quot;given&quot;:&quot;Afrah&quot;},{&quot;family&quot;:&quot;Abugoukh&quot;,&quot;given&quot;:&quot;Tahani M&quot;},{&quot;family&quot;:&quot;Ahmed&quot;,&quot;given&quot;:&quot;Wefag&quot;},{&quot;family&quot;:&quot;Ahmed&quot;,&quot;given&quot;:&quot;Samah&quot;},{&quot;family&quot;:&quot;Elshaikh&quot;,&quot;given&quot;:&quot;Abeer O&quot;}],&quot;issued&quot;:{&quot;date-parts&quot;:[[&quot;2022&quot;,&quot;8&quot;,&quot;2&quot;]]},&quot;DOI&quot;:&quot;10.7759/cureus.27624&quot;,&quot;PMID&quot;:&quot;36072190&quot;,&quot;PMCID&quot;:&quot;PMC9437377&quot;,&quot;citation-label&quot;:&quot;13579073&quot;},{&quot;title&quot;:&quot;Lactobacilli and bifidobacteria in the prevention of antibiotic-associated diarrhoea and Clostridium difficile diarrhoea in older inpatients (PLACIDE): a randomised, double-blind, placebo-controlled, multicentre trial.&quot;,&quot;page&quot;:&quot;1249-1257&quot;,&quot;volume&quot;:&quot;382&quot;,&quot;issue&quot;:&quot;9900&quot;,&quot;journalAbbreviation&quot;:&quot;Lancet&quot;,&quot;id&quot;:&quot;1459769&quot;,&quot;type&quot;:&quot;article-journal&quot;,&quot;container-title&quot;:&quot;The Lancet&quot;,&quot;container-title-short&quot;:&quot;Lancet&quot;,&quot;author&quot;:[{&quot;family&quot;:&quot;Allen&quot;,&quot;given&quot;:&quot;Stephen J&quot;},{&quot;family&quot;:&quot;Wareham&quot;,&quot;given&quot;:&quot;Kathie&quot;},{&quot;family&quot;:&quot;Wang&quot;,&quot;given&quot;:&quot;Duolao&quot;},{&quot;family&quot;:&quot;Bradley&quot;,&quot;given&quot;:&quot;Caroline&quot;},{&quot;family&quot;:&quot;Hutchings&quot;,&quot;given&quot;:&quot;Hayley&quot;},{&quot;family&quot;:&quot;Harris&quot;,&quot;given&quot;:&quot;Wyn&quot;},{&quot;family&quot;:&quot;Dhar&quot;,&quot;given&quot;:&quot;Anjan&quot;},{&quot;family&quot;:&quot;Brown&quot;,&quot;given&quot;:&quot;Helga&quot;},{&quot;family&quot;:&quot;Foden&quot;,&quot;given&quot;:&quot;Alwyn&quot;},{&quot;family&quot;:&quot;Gravenor&quot;,&quot;given&quot;:&quot;Michael B&quot;},{&quot;family&quot;:&quot;Mack&quot;,&quot;given&quot;:&quot;Dietrich&quot;}],&quot;issued&quot;:{&quot;date-parts&quot;:[[&quot;2013&quot;,&quot;10&quot;,&quot;12&quot;]]},&quot;DOI&quot;:&quot;10.1016/S0140-6736(13)61218-0&quot;,&quot;PMID&quot;:&quot;23932219&quot;,&quot;citation-label&quot;:&quot;1459769&quot;},{&quot;title&quot;:&quot;Administration of spores of nontoxigenic Clostridium difficile strain M3 for prevention of recurrent C. difficile infection: a randomized clinical trial.&quot;,&quot;page&quot;:&quot;1719-1727&quot;,&quot;volume&quot;:&quot;313&quot;,&quot;issue&quot;:&quot;17&quot;,&quot;journalAbbreviation&quot;:&quot;JAMA&quot;,&quot;id&quot;:&quot;234491&quot;,&quot;type&quot;:&quot;article-journal&quot;,&quot;container-title&quot;:&quot;The Journal of the American Medical Association&quot;,&quot;container-title-short&quot;:&quot;JAMA&quot;,&quot;author&quot;:[{&quot;family&quot;:&quot;Gerding&quot;,&quot;given&quot;:&quot;Dale N&quot;},{&quot;family&quot;:&quot;Meyer&quot;,&quot;given&quot;:&quot;Thomas&quot;},{&quot;family&quot;:&quot;Lee&quot;,&quot;given&quot;:&quot;Christine&quot;},{&quot;family&quot;:&quot;Cohen&quot;,&quot;given&quot;:&quot;Stuart H&quot;},{&quot;family&quot;:&quot;Murthy&quot;,&quot;given&quot;:&quot;Uma K&quot;},{&quot;family&quot;:&quot;Poirier&quot;,&quot;given&quot;:&quot;Andre&quot;},{&quot;family&quot;:&quot;Van Schooneveld&quot;,&quot;given&quot;:&quot;Trevor C&quot;},{&quot;family&quot;:&quot;Pardi&quot;,&quot;given&quot;:&quot;Darrell S&quot;},{&quot;family&quot;:&quot;Ramos&quot;,&quot;given&quot;:&quot;Antonio&quot;},{&quot;family&quot;:&quot;Barron&quot;,&quot;given&quot;:&quot;Michelle A&quot;},{&quot;family&quot;:&quot;Chen&quot;,&quot;given&quot;:&quot;Hongzi&quot;},{&quot;family&quot;:&quot;Villano&quot;,&quot;given&quot;:&quot;Stephen&quot;}],&quot;issued&quot;:{&quot;date-parts&quot;:[[&quot;2015&quot;,&quot;5&quot;,&quot;5&quot;]]},&quot;DOI&quot;:&quot;10.1001/jama.2015.3725&quot;,&quot;PMID&quot;:&quot;25942722&quot;,&quot;citation-label&quot;:&quot;234491&quot;},{&quot;title&quot;:&quot;Primary symptomless colonisation by Clostridium difficile and decreased risk of subsequent diarrhoea.&quot;,&quot;page&quot;:&quot;633-636&quot;,&quot;volume&quot;:&quot;351&quot;,&quot;issue&quot;:&quot;9103&quot;,&quot;journalAbbreviation&quot;:&quot;Lancet&quot;,&quot;id&quot;:&quot;3856045&quot;,&quot;type&quot;:&quot;article-journal&quot;,&quot;container-title&quot;:&quot;The Lancet&quot;,&quot;container-title-short&quot;:&quot;Lancet&quot;,&quot;abstract&quot;:&quot;BACKGROUND: Little is known about whether patients who develop Clostridium-difficile-associated diarrhoea (CDAD) are culture-positive or culture-negative before illness. The most important risk factor is antibiotic exposure. We aimed to find out whether patients identified as primary symptom-free C difficile carriers are at higher risk of developing CDAD than patients who are culture-negative.METHOD: We reviewed four longitudinal studies in which 810 patients admitted to hospital were followed up by prospective rectal-swab culture. At least two consecutive weekly cultures were obtained. We calculated the difference in risk of CDAD between colonised and non-colonised patients in each study and combined the results of the four studies in a random-effects model.FINDINGS: Of 618 non-colonised patients (mean follow-up 1.7 weeks [SD 1.3]), 22 (3.6%) developed CDAD, whereas only two (1.0%) of 192 primary symptom-free carriers (1.5 [1.5]) developed CDAD (pooled risk difference -2.3% [95% CI 0.3-4.3], p=0.021). Of patients who received antibiotics, the risk difference was increased: 22 (4.5%) of 491 non-colonised patients compared with two (1.1%) of 176 colonised patients developed CDAD (-3.2% [0.4-6.0], p=0.024). Of the primary symptom-free C difficile carriers, 95 were colonised with toxigenic strains, 76 with non-toxigenic strains, 12 with both toxigenic and non-toxigenic strains (non-concurrently), and nine with strains of undetermined toxigenicity. Nine of the 12 toxogenic strains of C difficile isolates that cause CDAD were also recovered from stools of symptom-free patients.INTERPRETATION: Primary symptomless C difficile colonisation is associated with a decreased risk of CDAD. Although the mechanism is unknown, risk reduction is found in colonisation with non-toxigenic and toxigenic strains.&quot;,&quot;author&quot;:[{&quot;family&quot;:&quot;Shim&quot;,&quot;given&quot;:&quot;J K&quot;},{&quot;family&quot;:&quot;Johnson&quot;,&quot;given&quot;:&quot;S&quot;},{&quot;family&quot;:&quot;Samore&quot;,&quot;given&quot;:&quot;M H&quot;},{&quot;family&quot;:&quot;Bliss&quot;,&quot;given&quot;:&quot;D Z&quot;},{&quot;family&quot;:&quot;Gerding&quot;,&quot;given&quot;:&quot;D N&quot;}],&quot;issued&quot;:{&quot;date-parts&quot;:[[&quot;1998&quot;,&quot;2&quot;,&quot;28&quot;]]},&quot;DOI&quot;:&quot;10.1016/S0140-6736(97)08062-8&quot;,&quot;PMID&quot;:&quot;9500319&quot;,&quot;citation-label&quot;:&quot;3856045&quot;},{&quot;title&quot;:&quot;Protection from Lethal Clostridioides difficile Infection via Intraspecies Competition for Cogerminant.&quot;,&quot;volume&quot;:&quot;12&quot;,&quot;issue&quot;:&quot;2&quot;,&quot;journalAbbreviation&quot;:&quot;MBio&quot;,&quot;id&quot;:&quot;10933807&quot;,&quot;type&quot;:&quot;article-journal&quot;,&quot;container-title&quot;:&quot;mBio&quot;,&quot;container-title-short&quot;:&quot;MBio&quot;,&quot;abstract&quot;:&quot;Clostridioides difficile, a Gram-positive, spore-forming bacterium, is the primary cause of infectious nosocomial diarrhea. Antibiotics are a major risk factor for C. difficile infection (CDI), as they disrupt the gut microbial community, enabling increased germination of spores and growth of vegetative C. difficile To date, the only single-species bacterial preparation that has demonstrated efficacy in reducing recurrent CDI in humans is nontoxigenic C. difficile Using multiple infection models, we determined that precolonization with a less virulent strain is sufficient to protect from challenge with a lethal strain of C. difficile, surprisingly even in the absence of adaptive immunity. Additionally, we showed that protection is dependent on high levels of colonization by the less virulent strain and that it is mediated by exclusion of the invading strain. Our results suggest that reduction of amino acids, specifically glycine following colonization by the first strain of C. difficile, is sufficient to decrease germination of the second strain, thereby limiting colonization by the lethal strain.IMPORTANCE Antibiotic-associated colitis is often caused by infection with the bacterium Clostridioides difficile In this study, we found that reduction of the amino acid glycine by precolonization with a less virulent strain of C. difficile is sufficient to decrease germination of a second strain. This finding demonstrates that the axis of competition for nutrients can include multiple life stages. This work is important, as it is the first to identify a possible mechanism through which precolonization with C. difficile, a current clinical therapy, provides protection from reinfection. Furthermore, our work suggests that targeting nutrients utilized by all life stages could be an improved strategy for bacterial therapeutics that aim to restore colonization resistance in the gut.Copyright © 2021 Leslie et al.&quot;,&quot;author&quot;:[{&quot;family&quot;:&quot;Leslie&quot;,&quot;given&quot;:&quot;Jhansi L&quot;},{&quot;family&quot;:&quot;Jenior&quot;,&quot;given&quot;:&quot;Matthew L&quot;},{&quot;family&quot;:&quot;Vendrov&quot;,&quot;given&quot;:&quot;Kimberly C&quot;},{&quot;family&quot;:&quot;Standke&quot;,&quot;given&quot;:&quot;Alexandra K&quot;},{&quot;family&quot;:&quot;Barron&quot;,&quot;given&quot;:&quot;Madeline R&quot;},{&quot;family&quot;:&quot;O'Brien&quot;,&quot;given&quot;:&quot;Tricia J&quot;},{&quot;family&quot;:&quot;Unverdorben&quot;,&quot;given&quot;:&quot;Lavinia&quot;},{&quot;family&quot;:&quot;Thaprawat&quot;,&quot;given&quot;:&quot;Pariyamon&quot;},{&quot;family&quot;:&quot;Bergin&quot;,&quot;given&quot;:&quot;Ingrid L&quot;},{&quot;family&quot;:&quot;Schloss&quot;,&quot;given&quot;:&quot;Patrick D&quot;},{&quot;family&quot;:&quot;Young&quot;,&quot;given&quot;:&quot;Vincent B&quot;}],&quot;issued&quot;:{&quot;date-parts&quot;:[[&quot;2021&quot;,&quot;3&quot;,&quot;30&quot;]]},&quot;DOI&quot;:&quot;10.1128/mBio.00522-21&quot;,&quot;PMID&quot;:&quot;33785619&quot;,&quot;PMCID&quot;:&quot;PMC8092246&quot;,&quot;citation-label&quot;:&quot;10933807&quot;},{&quot;title&quot;:&quot;Toxin-positive Clostridium difficile latently infect mouse colonies and protect against highly pathogenic C. difficile.&quot;,&quot;page&quot;:&quot;860-871&quot;,&quot;volume&quot;:&quot;67&quot;,&quot;issue&quot;:&quot;5&quot;,&quot;journalAbbreviation&quot;:&quot;Gut&quot;,&quot;id&quot;:&quot;3225662&quot;,&quot;type&quot;:&quot;article-journal&quot;,&quot;container-title&quot;:&quot;Gut&quot;,&quot;container-title-short&quot;:&quot;Gut&quot;,&quot;abstract&quot;:&quot;OBJECTIVE: Clostridium difficile is a toxin-producing bacterium and a leading cause of antibiotic-associated disease. The ability of C. difficile to form spores and infect antibiotic-treated persons at low multiplicity of infection (MOI) underlies its large disease burden. However, C. difficile-induced disease might also result from long-harboured C. difficile that blooms in individuals administered antibiotics.DESIGN: Mice purchased from multiple vendors and repeatedly testing negative for this pathogen by quantitative PCR bloomed C. difficile following antibiotic treatment. This endogenous C. difficile strain, herein termed LEM1, which formed spores and produced toxin, was compared with highly pathogenic C. difficile strain VPI10463.RESULTS: Whole-genome sequencing revealed that LEM1 and VPI10463 shared 95% of their genes, including all known virulence genes. In contrast to VPI10463, LEM1 did not induce overt disease when administered to antibiotic-treated or germ-free mice, even at high doses. Rather, blooms of LEM1 correlated with survival following VPI10463 inoculation, and exogenous administration of LEM1 before or shortly following VPI10463 inoculation prevented C. difficile-induced death. Accordingly, despite similar growth properties in vitro, LEM1 strongly outcompeted VPI10463 in mice even at 100-fold lower inocula.CONCLUSIONS: These results highlight the difficulty of determining whether individual cases of C. difficile infection resulted from a bloom of endogenous C. difficile or a new exposure to this pathogen. In addition to impacting the design of studies using mouse models of C. difficile-induced disease, this study identified, isolated and characterised an endogenous murine spore-forming C. difficile strain able to decrease colonisation, associated disease and death induced by a pathogenic C. difficile strain.Published by the BMJ Publishing Group Limited. For permission to use (where not already granted under a licence) please go to http://www.bmj.com/company/products-services/rights-and-licensing/.&quot;,&quot;author&quot;:[{&quot;family&quot;:&quot;Etienne-Mesmin&quot;,&quot;given&quot;:&quot;Lucie&quot;},{&quot;family&quot;:&quot;Chassaing&quot;,&quot;given&quot;:&quot;Benoit&quot;},{&quot;family&quot;:&quot;Adekunle&quot;,&quot;given&quot;:&quot;Oluwaseyi&quot;},{&quot;family&quot;:&quot;Mattei&quot;,&quot;given&quot;:&quot;Lisa M&quot;},{&quot;family&quot;:&quot;Bushman&quot;,&quot;given&quot;:&quot;Frederic D&quot;},{&quot;family&quot;:&quot;Gewirtz&quot;,&quot;given&quot;:&quot;Andrew T&quot;}],&quot;issued&quot;:{&quot;date-parts&quot;:[[&quot;2018&quot;,&quot;5&quot;]]},&quot;DOI&quot;:&quot;10.1136/gutjnl-2016-313510&quot;,&quot;PMID&quot;:&quot;28219893&quot;,&quot;PMCID&quot;:&quot;PMC5941301&quot;,&quot;citation-label&quot;:&quot;3225662&quot;},{&quot;title&quot;:&quot;Protection against Clostridioides difficile disease by a naturally avirulent strain.&quot;,&quot;page&quot;:&quot;59-70.e4&quot;,&quot;volume&quot;:&quot;33&quot;,&quot;issue&quot;:&quot;1&quot;,&quot;journalAbbreviation&quot;:&quot;Cell Host Microbe&quot;,&quot;id&quot;:&quot;17229991&quot;,&quot;type&quot;:&quot;article-journal&quot;,&quot;container-title&quot;:&quot;Cell Host &amp; Microbe&quot;,&quot;container-title-short&quot;:&quot;Cell Host Microbe&quot;,&quot;abstract&quot;:&quot;Clostridioides difficile is a leading cause of healthcare infections. Gut dysbiosis promotes C. difficile infection (CDI) and CDIs promote gut dysbiosis, leading to frequent CDI recurrence. Although therapies preventing recurrent CDI have been developed, including live biotherapeutic products, existing therapies are costly and do not prevent primary infections. Here, we show that an avirulent C. difficile isolate, ST1-75, protects mice from developing colitis induced by a virulent R20291 strain when coinfected at a 1:1 ratio. In metabolic analyses, avirulent ST1-75 depletes amino acids more rapidly than virulent R20291 and supplementation with amino acids ablates this competitive advantage, indicating that ST1-75 limits the growth of virulent R20291 through amino acid depletion. Overall, our study identifies inter-strain nutrient depletion as a potentially exploitable mechanism to reduce the incidence of CDI and reveals that the ST1-75 strain may be a biotherapeutic agent that can prevent CDI in high-risk patients.Copyright © 2024 Elsevier Inc. All rights reserved.&quot;,&quot;author&quot;:[{&quot;family&quot;:&quot;Dong&quot;,&quot;given&quot;:&quot;Qiwen&quot;},{&quot;family&quot;:&quot;Harper&quot;,&quot;given&quot;:&quot;Stephen&quot;},{&quot;family&quot;:&quot;McSpadden&quot;,&quot;given&quot;:&quot;Emma&quot;},{&quot;family&quot;:&quot;Son&quot;,&quot;given&quot;:&quot;Sophie S&quot;},{&quot;family&quot;:&quot;Allen&quot;,&quot;given&quot;:&quot;Marie-Maude&quot;},{&quot;family&quot;:&quot;Lin&quot;,&quot;given&quot;:&quot;Huaiying&quot;},{&quot;family&quot;:&quot;Smith&quot;,&quot;given&quot;:&quot;Rita C&quot;},{&quot;family&quot;:&quot;Metcalfe&quot;,&quot;given&quot;:&quot;Carolyn&quot;},{&quot;family&quot;:&quot;Burgo&quot;,&quot;given&quot;:&quot;Victoria&quot;},{&quot;family&quot;:&quot;Woodson&quot;,&quot;given&quot;:&quot;Che&quot;},{&quot;family&quot;:&quot;Sundararajan&quot;,&quot;given&quot;:&quot;Anitha&quot;},{&quot;family&quot;:&quot;Rose&quot;,&quot;given&quot;:&quot;Amber&quot;},{&quot;family&quot;:&quot;McMillin&quot;,&quot;given&quot;:&quot;Mary&quot;},{&quot;family&quot;:&quot;Moran&quot;,&quot;given&quot;:&quot;David&quot;},{&quot;family&quot;:&quot;Little&quot;,&quot;given&quot;:&quot;Jessica&quot;},{&quot;family&quot;:&quot;Mullowney&quot;,&quot;given&quot;:&quot;Michael W&quot;},{&quot;family&quot;:&quot;Sidebottom&quot;,&quot;given&quot;:&quot;Ashley M&quot;},{&quot;family&quot;:&quot;Fortier&quot;,&quot;given&quot;:&quot;Louis-Charles&quot;},{&quot;family&quot;:&quot;Shen&quot;,&quot;given&quot;:&quot;Aimee&quot;},{&quot;family&quot;:&quot;Pamer&quot;,&quot;given&quot;:&quot;Eric G&quot;}],&quot;issued&quot;:{&quot;date-parts&quot;:[[&quot;2025&quot;,&quot;1&quot;,&quot;8&quot;]]},&quot;DOI&quot;:&quot;10.1016/j.chom.2024.11.003&quot;,&quot;PMID&quot;:&quot;39610252&quot;,&quot;PMCID&quot;:&quot;PMC11731898&quot;,&quot;citation-label&quot;:&quot;17229991&quot;},{&quot;title&quot;:&quot;The Availability of Several FMT Products Offer Flexibility to Prevent Recurrent CDI - DDW News&quot;,&quot;accessed&quot;:{&quot;date-parts&quot;:[[&quot;2025&quot;,&quot;6&quot;,&quot;27&quot;]]},&quot;id&quot;:&quot;18006443&quot;,&quot;type&quot;:&quot;webpage&quot;,&quot;issued&quot;:{&quot;date-parts&quot;:[[]]},&quot;URL&quot;:&quot;https://news.ddw.org/news/the-availability-of-several-fmt-products-offer-flexibility-to-prevent-recurrent-cdi/&quot;,&quot;citation-label&quot;:&quot;18006443&quot;},{&quot;title&quot;:&quot;FDA Approves First Orally Administered Fecal Microbiota Product for the Prevention of Recurrence of Clostridioides difficile Infection | FDA&quot;,&quot;accessed&quot;:{&quot;date-parts&quot;:[[&quot;2025&quot;,&quot;6&quot;,&quot;27&quot;]]},&quot;id&quot;:&quot;18006447&quot;,&quot;type&quot;:&quot;webpage&quot;,&quot;issued&quot;:{&quot;date-parts&quot;:[[]]},&quot;URL&quot;:&quot;https://www.fda.gov/news-events/press-announcements/fda-approves-first-orally-administered-fecal-microbiota-product-prevention-recurrence-clostridioides&quot;,&quot;citation-label&quot;:&quot;18006447&quot;},{&quot;title&quot;:&quot;Precision microbiome reconstitution restores bile acid mediated resistance to Clostridium difficile.&quot;,&quot;page&quot;:&quot;205-208&quot;,&quot;volume&quot;:&quot;517&quot;,&quot;issue&quot;:&quot;7533&quot;,&quot;journalAbbreviation&quot;:&quot;Nature&quot;,&quot;id&quot;:&quot;433791&quot;,&quot;type&quot;:&quot;article-journal&quot;,&quot;container-title&quot;:&quot;Nature&quot;,&quot;container-title-short&quot;:&quot;Nature&quot;,&quot;abstract&quot;:&quot;The gastrointestinal tracts of mammals are colonized by hundreds of microbial species that contribute to health, including colonization resistance against intestinal pathogens. Many antibiotics destroy intestinal microbial communities and increase susceptibility to intestinal pathogens. Among these, Clostridium difficile, a major cause of antibiotic-induced diarrhoea, greatly increases morbidity and mortality in hospitalized patients. Which intestinal bacteria provide resistance to C. difficile infection and their in vivo inhibitory mechanisms remain unclear. Here we correlate loss of specific bacterial taxa with development of infection, by treating mice with different antibiotics that result in distinct microbiota changes and lead to varied susceptibility to C. difficile. Mathematical modelling augmented by analyses of the microbiota of hospitalized patients identifies resistance-associated bacteria common to mice and humans. Using these platforms, we determine that Clostridium scindens, a bile acid 7α-dehydroxylating intestinal bacterium, is associated with resistance to C. difficile infection and, upon administration, enhances resistance to infection in a secondary bile acid dependent fashion. Using a workflow involving mouse models, clinical studies, metagenomic analyses, and mathematical modelling, we identify a probiotic candidate that corrects a clinically relevant microbiome deficiency. These findings have implications for the rational design of targeted antimicrobials as well as microbiome-based diagnostics and therapeutics for individuals at risk of C. difficile infection.&quot;,&quot;author&quot;:[{&quot;family&quot;:&quot;Buffie&quot;,&quot;given&quot;:&quot;Charlie G&quot;},{&quot;family&quot;:&quot;Bucci&quot;,&quot;given&quot;:&quot;Vanni&quot;},{&quot;family&quot;:&quot;Stein&quot;,&quot;given&quot;:&quot;Richard R&quot;},{&quot;family&quot;:&quot;McKenney&quot;,&quot;given&quot;:&quot;Peter T&quot;},{&quot;family&quot;:&quot;Ling&quot;,&quot;given&quot;:&quot;Lilan&quot;},{&quot;family&quot;:&quot;Gobourne&quot;,&quot;given&quot;:&quot;Asia&quot;},{&quot;family&quot;:&quot;No&quot;,&quot;given&quot;:&quot;Daniel&quot;},{&quot;family&quot;:&quot;Liu&quot;,&quot;given&quot;:&quot;Hui&quot;},{&quot;family&quot;:&quot;Kinnebrew&quot;,&quot;given&quot;:&quot;Melissa&quot;},{&quot;family&quot;:&quot;Viale&quot;,&quot;given&quot;:&quot;Agnes&quot;},{&quot;family&quot;:&quot;Littmann&quot;,&quot;given&quot;:&quot;Eric&quot;},{&quot;family&quot;:&quot;van den Brink&quot;,&quot;given&quot;:&quot;Marcel R M&quot;},{&quot;family&quot;:&quot;Jenq&quot;,&quot;given&quot;:&quot;Robert R&quot;},{&quot;family&quot;:&quot;Taur&quot;,&quot;given&quot;:&quot;Ying&quot;},{&quot;family&quot;:&quot;Sander&quot;,&quot;given&quot;:&quot;Chris&quot;},{&quot;family&quot;:&quot;Cross&quot;,&quot;given&quot;:&quot;Justin R&quot;},{&quot;family&quot;:&quot;Toussaint&quot;,&quot;given&quot;:&quot;Nora C&quot;},{&quot;family&quot;:&quot;Xavier&quot;,&quot;given&quot;:&quot;Joao B&quot;},{&quot;family&quot;:&quot;Pamer&quot;,&quot;given&quot;:&quot;Eric G&quot;}],&quot;issued&quot;:{&quot;date-parts&quot;:[[&quot;2015&quot;,&quot;1&quot;,&quot;8&quot;]]},&quot;DOI&quot;:&quot;10.1038/nature13828&quot;,&quot;PMID&quot;:&quot;25337874&quot;,&quot;PMCID&quot;:&quot;PMC4354891&quot;,&quot;citation-label&quot;:&quot;433791&quot;},{&quot;title&quot;:&quot;In vivo commensal control of Clostridioides difficile virulence.&quot;,&quot;page&quot;:&quot;1693-1708.e7&quot;,&quot;volume&quot;:&quot;29&quot;,&quot;issue&quot;:&quot;11&quot;,&quot;journalAbbreviation&quot;:&quot;Cell Host Microbe&quot;,&quot;id&quot;:&quot;11850706&quot;,&quot;type&quot;:&quot;article-journal&quot;,&quot;container-title&quot;:&quot;Cell Host &amp; Microbe&quot;,&quot;container-title-short&quot;:&quot;Cell Host Microbe&quot;,&quot;abstract&quot;:&quot;Leveraging systems biology approaches, we illustrate how metabolically distinct species of Clostridia protect against or worsen Clostridioides difficile infection in mice by modulating the pathogen's colonization, growth, and virulence to impact host survival. Gnotobiotic mice colonized with the amino acid fermenter Paraclostridium bifermentans survive infection with reduced disease severity, while mice colonized with the butyrate-producer, Clostridium sardiniense, succumb more rapidly. Systematic in vivo analyses revealed how each commensal alters the gut-nutrient environment to modulate the pathogen's metabolism, gene regulatory networks, and toxin production. Oral administration of P. bifermentans rescues conventional, clindamycin-treated mice from lethal C. difficile infection in a manner similar to that of monocolonized animals, thereby supporting the therapeutic potential of this commensal species. Our findings lay the foundation for mechanistically informed therapies to counter C. difficile disease using systems biology approaches to define host-commensal-pathogen interactions in vivo.Copyright © 2021 Elsevier Inc. All rights reserved.&quot;,&quot;author&quot;:[{&quot;family&quot;:&quot;Girinathan&quot;,&quot;given&quot;:&quot;Brintha P&quot;},{&quot;family&quot;:&quot;DiBenedetto&quot;,&quot;given&quot;:&quot;Nicholas&quot;},{&quot;family&quot;:&quot;Worley&quot;,&quot;given&quot;:&quot;Jay N&quot;},{&quot;family&quot;:&quot;Peltier&quot;,&quot;given&quot;:&quot;Johann&quot;},{&quot;family&quot;:&quot;Arrieta-Ortiz&quot;,&quot;given&quot;:&quot;Mario L&quot;},{&quot;family&quot;:&quot;Immanuel&quot;,&quot;given&quot;:&quot;Selva Rupa Christinal&quot;},{&quot;family&quot;:&quot;Lavin&quot;,&quot;given&quot;:&quot;Richard&quot;},{&quot;family&quot;:&quot;Delaney&quot;,&quot;given&quot;:&quot;Mary L&quot;},{&quot;family&quot;:&quot;Cummins&quot;,&quot;given&quot;:&quot;Christopher K&quot;},{&quot;family&quot;:&quot;Hoffman&quot;,&quot;given&quot;:&quot;Maria&quot;},{&quot;family&quot;:&quot;Luo&quot;,&quot;given&quot;:&quot;Yan&quot;},{&quot;family&quot;:&quot;Gonzalez-Escalona&quot;,&quot;given&quot;:&quot;Narjol&quot;},{&quot;family&quot;:&quot;Allard&quot;,&quot;given&quot;:&quot;Marc&quot;},{&quot;family&quot;:&quot;Onderdonk&quot;,&quot;given&quot;:&quot;Andrew B&quot;},{&quot;family&quot;:&quot;Gerber&quot;,&quot;given&quot;:&quot;Georg K&quot;},{&quot;family&quot;:&quot;Sonenshein&quot;,&quot;given&quot;:&quot;Abraham L&quot;},{&quot;family&quot;:&quot;Baliga&quot;,&quot;given&quot;:&quot;Nitin S&quot;},{&quot;family&quot;:&quot;Dupuy&quot;,&quot;given&quot;:&quot;Bruno&quot;},{&quot;family&quot;:&quot;Bry&quot;,&quot;given&quot;:&quot;Lynn&quot;}],&quot;issued&quot;:{&quot;date-parts&quot;:[[&quot;2021&quot;,&quot;11&quot;,&quot;10&quot;]]},&quot;DOI&quot;:&quot;10.1016/j.chom.2021.09.007&quot;,&quot;PMID&quot;:&quot;34637781&quot;,&quot;PMCID&quot;:&quot;PMC8651146&quot;,&quot;citation-label&quot;:&quot;11850706&quot;},{&quot;title&quot;:&quot;Diversity and Evolution in the Genome of Clostridium difficile.&quot;,&quot;page&quot;:&quot;721-741&quot;,&quot;volume&quot;:&quot;28&quot;,&quot;issue&quot;:&quot;3&quot;,&quot;journalAbbreviation&quot;:&quot;Clin. Microbiol. Rev.&quot;,&quot;id&quot;:&quot;3685926&quot;,&quot;type&quot;:&quot;article-journal&quot;,&quot;container-title&quot;:&quot;Clinical Microbiology Reviews&quot;,&quot;container-title-short&quot;:&quot;Clin. Microbiol. Rev.&quot;,&quot;abstract&quot;:&quot;Clostridium difficile infection (CDI) is the leading cause of antimicrobial and health care-associated diarrhea in humans, presenting a significant burden to global health care systems. In the last 2 decades, PCR- and sequence-based techniques, particularly whole-genome sequencing (WGS), have significantly furthered our knowledge of the genetic diversity, evolution, epidemiology, and pathogenicity of this once enigmatic pathogen. C. difficile is taxonomically distinct from many other well-known clostridia, with a diverse population structure comprising hundreds of strain types spread across at least 6 phylogenetic clades. The C. difficile species is defined by a large diverse pangenome with extreme levels of evolutionary plasticity that has been shaped over long time periods by gene flux and recombination, often between divergent lineages. These evolutionary events are in response to environmental and anthropogenic activities and have led to the rapid emergence and worldwide dissemination of virulent clonal lineages. Moreover, genome analysis of large clinically relevant data sets has improved our understanding of CDI outbreaks, transmission, and recurrence. The epidemiology of CDI has changed dramatically over the last 15 years, and CDI may have a foodborne or zoonotic etiology. The WGS era promises to continue to redefine our view of this significant pathogen.Copyright © 2015, American Society for Microbiology. All Rights Reserved.&quot;,&quot;author&quot;:[{&quot;family&quot;:&quot;Knight&quot;,&quot;given&quot;:&quot;Daniel R&quot;},{&quot;family&quot;:&quot;Elliott&quot;,&quot;given&quot;:&quot;Briony&quot;},{&quot;family&quot;:&quot;Chang&quot;,&quot;given&quot;:&quot;Barbara J&quot;},{&quot;family&quot;:&quot;Perkins&quot;,&quot;given&quot;:&quot;Timothy T&quot;},{&quot;family&quot;:&quot;Riley&quot;,&quot;given&quot;:&quot;Thomas V&quot;}],&quot;issued&quot;:{&quot;date-parts&quot;:[[&quot;2015&quot;,&quot;7&quot;]]},&quot;DOI&quot;:&quot;10.1128/CMR.00127-14&quot;,&quot;PMID&quot;:&quot;26085550&quot;,&quot;PMCID&quot;:&quot;PMC4475645&quot;,&quot;citation-label&quot;:&quot;3685926&quot;},{&quot;title&quot;:&quot;Clostridium difficile ribotype 027: relationship to age, detectability of toxins A or B in stool with rapid testing, severe infection, and mortality.&quot;,&quot;page&quot;:&quot;233-241&quot;,&quot;volume&quot;:&quot;61&quot;,&quot;issue&quot;:&quot;2&quot;,&quot;journalAbbreviation&quot;:&quot;Clin. Infect. Dis.&quot;,&quot;id&quot;:&quot;1594251&quot;,&quot;type&quot;:&quot;article-journal&quot;,&quot;container-title&quot;:&quot;Clinical Infectious Diseases&quot;,&quot;container-title-short&quot;:&quot;Clin. Infect. Dis.&quot;,&quot;abstract&quot;:&quot;BACKGROUND: Clostridium difficile infection (CDI) can cause severe disease and death, especially in older adults. A better understanding of risk factors for adverse outcomes is needed. This study tests the hypotheses that infection with specific ribotypes and presence of stool toxins independently associate with severity and constructs predictive models of adverse outcomes.METHODS: Cases of non-recurrent CDI were prospectively included after positive stool tests for toxins A and/or B by enzyme immunoassay (EIA) or tcdB by polymerase chain reaction. Outcomes included severe CDI (intensive care unit admission, colectomy, or death attributable to CDI within 30 days of diagnosis) and 30-day all-cause mortality. Adjusted models were developed to test hypotheses and predict outcomes.RESULTS: In total, 1144 cases were included. The toxin EIA was positive in 37.2% and 35.6% of patients were of age &gt;65 years. One of the 137 unique ribotypes was ribotype 027 (16.2%). Detectable stool toxin did not associate with outcomes. Adjusting for covariates, including age, Ribotype 027 was a significant predictor of severe CDI (90 cases; odds ratio [OR], 1.73; 95% confidence interval [CI], 1.03-2.89; P = .037) and mortality (89 cases; OR, 2.02; 95% CI, 1.19-3.43; P = .009). Concurrent antibiotic use associated with both outcomes. Both multivariable predictive models had excellent performance (area under the curve &gt;0.8).CONCLUSIONS: Detection of stool toxin A and/or B by EIA does not predict severe CDI or mortality. Infection with ribotype 027 independently predicts severe CDI and mortality. Use of concurrent antibiotics is a potentially modifiable risk factor for severe CDI.Published by Oxford University Press on behalf of the Infectious Diseases Society of America 2015. This work is written by (a) US Government employee(s) and is in the public domain in the US.&quot;,&quot;author&quot;:[{&quot;family&quot;:&quot;Rao&quot;,&quot;given&quot;:&quot;Krishna&quot;},{&quot;family&quot;:&quot;Micic&quot;,&quot;given&quot;:&quot;Dejan&quot;},{&quot;family&quot;:&quot;Natarajan&quot;,&quot;given&quot;:&quot;Mukil&quot;},{&quot;family&quot;:&quot;Winters&quot;,&quot;given&quot;:&quot;Spencer&quot;},{&quot;family&quot;:&quot;Kiel&quot;,&quot;given&quot;:&quot;Mark J&quot;},{&quot;family&quot;:&quot;Walk&quot;,&quot;given&quot;:&quot;Seth T&quot;},{&quot;family&quot;:&quot;Santhosh&quot;,&quot;given&quot;:&quot;Kavitha&quot;},{&quot;family&quot;:&quot;Mogle&quot;,&quot;given&quot;:&quot;Jill A&quot;},{&quot;family&quot;:&quot;Galecki&quot;,&quot;given&quot;:&quot;Andrzej T&quot;},{&quot;family&quot;:&quot;LeBar&quot;,&quot;given&quot;:&quot;William&quot;},{&quot;family&quot;:&quot;Higgins&quot;,&quot;given&quot;:&quot;Peter D R&quot;},{&quot;family&quot;:&quot;Young&quot;,&quot;given&quot;:&quot;Vincent B&quot;},{&quot;family&quot;:&quot;Aronoff&quot;,&quot;given&quot;:&quot;David M&quot;}],&quot;issued&quot;:{&quot;date-parts&quot;:[[&quot;2015&quot;,&quot;7&quot;,&quot;15&quot;]]},&quot;DOI&quot;:&quot;10.1093/cid/civ254&quot;,&quot;PMID&quot;:&quot;25828993&quot;,&quot;PMCID&quot;:&quot;PMC4565993&quot;,&quot;citation-label&quot;:&quot;1594251&quot;},{&quot;title&quot;:&quot;Dietary trehalose enhances virulence of epidemic Clostridium difficile.&quot;,&quot;page&quot;:&quot;291-294&quot;,&quot;volume&quot;:&quot;553&quot;,&quot;issue&quot;:&quot;7688&quot;,&quot;journalAbbreviation&quot;:&quot;Nature&quot;,&quot;id&quot;:&quot;4691262&quot;,&quot;type&quot;:&quot;article-journal&quot;,&quot;container-title&quot;:&quot;Nature&quot;,&quot;container-title-short&quot;:&quot;Nature&quot;,&quot;abstract&quot;:&quot;Clostridium difficile disease has recently increased to become a dominant nosocomial pathogen in North America and Europe, although little is known about what has driven this emergence. Here we show that two epidemic ribotypes (RT027 and RT078) have acquired unique mechanisms to metabolize low concentrations of the disaccharide trehalose. RT027 strains contain a single point mutation in the trehalose repressor that increases the sensitivity of this ribotype to trehalose by more than 500-fold. Furthermore, dietary trehalose increases the virulence of a RT027 strain in a mouse model of infection. RT078 strains acquired a cluster of four genes involved in trehalose metabolism, including a PTS permease that is both necessary and sufficient for growth on low concentrations of trehalose. We propose that the implementation of trehalose as a food additive into the human diet, shortly before the emergence of these two epidemic lineages, helped select for their emergence and contributed to hypervirulence.&quot;,&quot;author&quot;:[{&quot;family&quot;:&quot;Collins&quot;,&quot;given&quot;:&quot;J&quot;},{&quot;family&quot;:&quot;Robinson&quot;,&quot;given&quot;:&quot;C&quot;},{&quot;family&quot;:&quot;Danhof&quot;,&quot;given&quot;:&quot;H&quot;},{&quot;family&quot;:&quot;Knetsch&quot;,&quot;given&quot;:&quot;C W&quot;},{&quot;family&quot;:&quot;van Leeuwen&quot;,&quot;given&quot;:&quot;H C&quot;},{&quot;family&quot;:&quot;Lawley&quot;,&quot;given&quot;:&quot;T D&quot;},{&quot;family&quot;:&quot;Auchtung&quot;,&quot;given&quot;:&quot;J M&quot;},{&quot;family&quot;:&quot;Britton&quot;,&quot;given&quot;:&quot;R A&quot;}],&quot;issued&quot;:{&quot;date-parts&quot;:[[&quot;2018&quot;,&quot;1&quot;,&quot;18&quot;]]},&quot;DOI&quot;:&quot;10.1038/nature25178&quot;,&quot;PMID&quot;:&quot;29310122&quot;,&quot;PMCID&quot;:&quot;PMC5984069&quot;,&quot;citation-label&quot;:&quot;4691262&quot;},{&quot;title&quot;:&quot;Virulence and genomic diversity among clinical isolates of ST1 (BI/NAP1/027) Clostridioides difficile.&quot;,&quot;page&quot;:&quot;112861&quot;,&quot;volume&quot;:&quot;42&quot;,&quot;issue&quot;:&quot;8&quot;,&quot;journalAbbreviation&quot;:&quot;Cell Rep.&quot;,&quot;id&quot;:&quot;16601375&quot;,&quot;type&quot;:&quot;article-journal&quot;,&quot;container-title&quot;:&quot;Cell reports&quot;,&quot;container-title-short&quot;:&quot;Cell Rep.&quot;,&quot;abstract&quot;:&quot;Clostridioides difficile produces toxins that damage the colonic epithelium, causing colitis. Variation in disease severity is poorly understood and has been attributed to host factors and virulence differences between C. difficile strains. We test 23 epidemic ST1 C. difficile clinical isolates for their virulence in mice. All isolates encode a complete Tcd pathogenicity locus and achieve similar colonization densities. However, disease severity varies from lethal to avirulent infections. Genomic analysis of avirulent isolates reveals a 69-bp deletion in the cdtR gene, which encodes a response regulator for binary toxin expression. Deleting the 69-bp sequence in virulent R20291 strain renders it avirulent in mice with reduced toxin gene transcription. Our study demonstrates that a natural deletion within cdtR attenuates virulence in the epidemic ST1 C. difficile isolates without reducing colonization and persistence. Distinguishing strains on the basis of cdtR may enhance the specificity of diagnostic tests for C. difficile colitis.Copyright © 2023 The Author(s). Published by Elsevier Inc. All rights reserved.&quot;,&quot;author&quot;:[{&quot;family&quot;:&quot;Dong&quot;,&quot;given&quot;:&quot;Qiwen&quot;},{&quot;family&quot;:&quot;Lin&quot;,&quot;given&quot;:&quot;Huaiying&quot;},{&quot;family&quot;:&quot;Allen&quot;,&quot;given&quot;:&quot;Marie-Maude&quot;},{&quot;family&quot;:&quot;Garneau&quot;,&quot;given&quot;:&quot;Julian R&quot;},{&quot;family&quot;:&quot;Sia&quot;,&quot;given&quot;:&quot;Jonathan K&quot;},{&quot;family&quot;:&quot;Smith&quot;,&quot;given&quot;:&quot;Rita C&quot;},{&quot;family&quot;:&quot;Haro&quot;,&quot;given&quot;:&quot;Fidel&quot;},{&quot;family&quot;:&quot;McMillen&quot;,&quot;given&quot;:&quot;Tracy&quot;},{&quot;family&quot;:&quot;Pope&quot;,&quot;given&quot;:&quot;Rosemary L&quot;},{&quot;family&quot;:&quot;Metcalfe&quot;,&quot;given&quot;:&quot;Carolyn&quot;},{&quot;family&quot;:&quot;Burgo&quot;,&quot;given&quot;:&quot;Victoria&quot;},{&quot;family&quot;:&quot;Woodson&quot;,&quot;given&quot;:&quot;Che&quot;},{&quot;family&quot;:&quot;Dylla&quot;,&quot;given&quot;:&quot;Nicholas&quot;},{&quot;family&quot;:&quot;Kohout&quot;,&quot;given&quot;:&quot;Claire&quot;},{&quot;family&quot;:&quot;Sundararajan&quot;,&quot;given&quot;:&quot;Anitha&quot;},{&quot;family&quot;:&quot;Snitkin&quot;,&quot;given&quot;:&quot;Evan S&quot;},{&quot;family&quot;:&quot;Young&quot;,&quot;given&quot;:&quot;Vincent B&quot;},{&quot;family&quot;:&quot;Fortier&quot;,&quot;given&quot;:&quot;Louis-Charles&quot;},{&quot;family&quot;:&quot;Kamboj&quot;,&quot;given&quot;:&quot;Mini&quot;},{&quot;family&quot;:&quot;Pamer&quot;,&quot;given&quot;:&quot;Eric G&quot;}],&quot;issued&quot;:{&quot;date-parts&quot;:[[&quot;2023&quot;,&quot;8&quot;,&quot;29&quot;]]},&quot;DOI&quot;:&quot;10.1016/j.celrep.2023.112861&quot;,&quot;PMID&quot;:&quot;37523264&quot;,&quot;PMCID&quot;:&quot;PMC10627504&quot;,&quot;citation-label&quot;:&quot;16601375&quot;},{&quot;title&quot;:&quot;Burden of Clostridium difficile on the healthcare system.&quot;,&quot;page&quot;:&quot;S88-92&quot;,&quot;volume&quot;:&quot;55 Suppl 2&quot;,&quot;issue&quot;:&quot;Suppl 2&quot;,&quot;journalAbbreviation&quot;:&quot;Clin. Infect. Dis.&quot;,&quot;id&quot;:&quot;1340507&quot;,&quot;type&quot;:&quot;article-journal&quot;,&quot;container-title&quot;:&quot;Clinical Infectious Diseases&quot;,&quot;container-title-short&quot;:&quot;Clin. Infect. Dis.&quot;,&quot;abstract&quot;:&quot;There are few high-quality studies of the costs of Clostridium difficile infection (CDI), and the majority of studies focus on the costs of CDI in acute-care facilities. Analysis of the best available data, from 2008, indicates that CDI may have resulted in $4.8 billion in excess costs in US acute-care facilities. Other areas of CDI-attributable excess costs that need to be investigated are costs of increased discharges to long-term care facilities, of CDI with onset in long-term care facilities, of recurrent CDI, and of additional adverse events caused by CDI.&quot;,&quot;author&quot;:[{&quot;family&quot;:&quot;Dubberke&quot;,&quot;given&quot;:&quot;Erik R&quot;},{&quot;family&quot;:&quot;Olsen&quot;,&quot;given&quot;:&quot;Margaret A&quot;}],&quot;issued&quot;:{&quot;date-parts&quot;:[[&quot;2012&quot;,&quot;8&quot;]]},&quot;DOI&quot;:&quot;10.1093/cid/cis335&quot;,&quot;PMID&quot;:&quot;22752870&quot;,&quot;PMCID&quot;:&quot;PMC3388018&quot;,&quot;citation-label&quot;:&quot;1340507&quot;},{&quot;title&quot;:&quot;Clostridium difficile and the microbiota.&quot;,&quot;page&quot;:&quot;4182-4189&quot;,&quot;volume&quot;:&quot;124&quot;,&quot;issue&quot;:&quot;10&quot;,&quot;journalAbbreviation&quot;:&quot;J. Clin. Invest.&quot;,&quot;id&quot;:&quot;356588&quot;,&quot;type&quot;:&quot;article-journal&quot;,&quot;container-title&quot;:&quot;The Journal of Clinical Investigation&quot;,&quot;container-title-short&quot;:&quot;J. Clin. Invest.&quot;,&quot;abstract&quot;:&quot;Clostridium difficile infection (CDI) is the leading health care-associated illness. Both human and animal models have demonstrated the importance of the gut microbiota's capability of providing colonization resistance against C. difficile. Risk factors for disease development include antibiotic use, which disrupts the gut microbiota, leading to the loss of colonization resistance and subsequent CDI. Identification of the specific microbes capable of restoring this function remains elusive. Future studies directed at how microbial communities influence the metabolic environment may help elucidate the role of the microbiota in disease development. These findings will improve current biotherapeutics for patients with CDI, particularly those with recurrent disease. &quot;,&quot;author&quot;:[{&quot;family&quot;:&quot;Seekatz&quot;,&quot;given&quot;:&quot;Anna M&quot;},{&quot;family&quot;:&quot;Young&quot;,&quot;given&quot;:&quot;Vincent B&quot;}],&quot;issued&quot;:{&quot;date-parts&quot;:[[&quot;2014&quot;,&quot;10&quot;]]},&quot;DOI&quot;:&quot;10.1172/JCI72336&quot;,&quot;PMID&quot;:&quot;25036699&quot;,&quot;PMCID&quot;:&quot;PMC4191019&quot;,&quot;citation-label&quot;:&quot;356588&quot;},{&quot;title&quot;:&quot;Clostridium difficile infection in older adults.&quot;,&quot;page&quot;:&quot;403-414&quot;,&quot;volume&quot;:&quot;9&quot;,&quot;issue&quot;:&quot;4&quot;,&quot;journalAbbreviation&quot;:&quot;Aging Health&quot;,&quot;id&quot;:&quot;3175799&quot;,&quot;type&quot;:&quot;article-journal&quot;,&quot;container-title&quot;:&quot;Aging Health&quot;,&quot;container-title-short&quot;:&quot;Aging Health&quot;,&quot;abstract&quot;:&quot;Clostridium difficile infection, the most frequent cause of nosocomial diarrhea, disproportionately affects older adults. The two most important risk factors for developing C. difficile infection are antimicrobial exposure and age &gt;65 years old. Risk factors specific to older adults are frequent interactions with healthcare systems and age-related changes in physiology, including immune senescence and changes to the gut microbiome. Metronidazole and oral vancomcyin are the mainstays of conventional treatment for C. difficile infection. Alternative therapies include fidaxomicin, a narrow-spectrum macrocyclic antibiotic, and fectal bacteriotherapy, which offers an excellent therapeutic outcome. Strategies to prevent C. difficile infections include enhanced infection control measures and reducing inappropriate antimicrobial use through stewardship.&quot;,&quot;author&quot;:[{&quot;family&quot;:&quot;Jump&quot;,&quot;given&quot;:&quot;Robin Lp&quot;}],&quot;issued&quot;:{&quot;date-parts&quot;:[[&quot;2013&quot;,&quot;8&quot;,&quot;1&quot;]]},&quot;DOI&quot;:&quot;10.2217/ahe.13.37&quot;,&quot;PMID&quot;:&quot;24955106&quot;,&quot;PMCID&quot;:&quot;PMC4061705&quot;,&quot;citation-label&quot;:&quot;3175799&quot;},{&quot;title&quot;:&quot;Clostridium difficile in Immunocompromised Hosts: A Review of Epidemiology, Risk Factors, Treatment, and Prevention.&quot;,&quot;page&quot;:&quot;2144-2153&quot;,&quot;volume&quot;:&quot;68&quot;,&quot;issue&quot;:&quot;12&quot;,&quot;journalAbbreviation&quot;:&quot;Clin. Infect. Dis.&quot;,&quot;id&quot;:&quot;8652709&quot;,&quot;type&quot;:&quot;article-journal&quot;,&quot;container-title&quot;:&quot;Clinical Infectious Diseases&quot;,&quot;container-title-short&quot;:&quot;Clin. Infect. Dis.&quot;,&quot;abstract&quot;:&quot;Clostridium difficile is a significant pathogen in healthcare today, impacting both hospitalized and community-based patients. Immunocompromised patients experience a high incidence of C. difficile infection, ranging from 6% to 33% in the hematology-oncology population and up to 23% among lung transplant recipients, and have a rate of 7.1-8.3 cases per 1000 patient-years in patients with human immunodeficiency virus (HIV). Recurrence of C. difficile infections among immunocompromised patients is also high, with rates up to 40% in both the hematology-oncology population and solid organ transplant recipients. This higher incidence of C. difficile infection and recurrence is believed to be secondary to frequent antimicrobial use, suppressed immune function, increased exposure to healthcare settings, and higher prevalence of C. difficile colonization. This review summarizes published data describing the epidemiology, risk factors for acquisition and infection, treatment, and prevention of C. difficile in hematology-oncology, solid organ transplant, and HIV-infected patients.© The Author(s) 2019. Published by Oxford University Press for the Infectious Diseases Society of America. All rights reserved. For permissions, e-mail: journals.permissions@oup.com.&quot;,&quot;author&quot;:[{&quot;family&quot;:&quot;Revolinski&quot;,&quot;given&quot;:&quot;Sara Lynn&quot;},{&quot;family&quot;:&quot;Munoz-Price&quot;,&quot;given&quot;:&quot;L Silvia&quot;}],&quot;issued&quot;:{&quot;date-parts&quot;:[[&quot;2019&quot;,&quot;5&quot;,&quot;30&quot;]]},&quot;DOI&quot;:&quot;10.1093/cid/ciy845&quot;,&quot;PMID&quot;:&quot;30281082&quot;,&quot;citation-label&quot;:&quot;8652709&quot;},{&quot;title&quot;:&quot;Clostridium difficile--more difficult than ever.&quot;,&quot;page&quot;:&quot;1932-1940&quot;,&quot;volume&quot;:&quot;359&quot;,&quot;issue&quot;:&quot;18&quot;,&quot;journalAbbreviation&quot;:&quot;N. Engl. J. Med.&quot;,&quot;id&quot;:&quot;1193747&quot;,&quot;type&quot;:&quot;article-journal&quot;,&quot;container-title&quot;:&quot;The New England Journal of Medicine&quot;,&quot;container-title-short&quot;:&quot;N. Engl. J. Med.&quot;,&quot;author&quot;:[{&quot;family&quot;:&quot;Kelly&quot;,&quot;given&quot;:&quot;Ciarán P&quot;},{&quot;family&quot;:&quot;LaMont&quot;,&quot;given&quot;:&quot;J Thomas&quot;}],&quot;issued&quot;:{&quot;date-parts&quot;:[[&quot;2008&quot;,&quot;10&quot;,&quot;30&quot;]]},&quot;DOI&quot;:&quot;10.1056/NEJMra0707500&quot;,&quot;PMID&quot;:&quot;18971494&quot;,&quot;citation-label&quot;:&quot;1193747&quot;},{&quot;title&quot;:&quot;Clinical Practice Guidelines for Clostridium difficile Infection in Adults and Children: 2017 Update by the Infectious Diseases Society of America (IDSA) and Society for Healthcare Epidemiology of America (SHEA).&quot;,&quot;page&quot;:&quot;e1-e48&quot;,&quot;volume&quot;:&quot;66&quot;,&quot;issue&quot;:&quot;7&quot;,&quot;journalAbbreviation&quot;:&quot;Clin. Infect. Dis.&quot;,&quot;id&quot;:&quot;4841853&quot;,&quot;type&quot;:&quot;article-journal&quot;,&quot;container-title&quot;:&quot;Clinical Infectious Diseases&quot;,&quot;container-title-short&quot;:&quot;Clin. Infect. Dis.&quot;,&quot;abstract&quot;:&quot;A panel of experts was convened by the Infectious Diseases Society of America (IDSA) and Society for Healthcare Epidemiology of America (SHEA) to update the 2010 clinical practice guideline on Clostridium difficile infection (CDI) in adults. The update, which has incorporated recommendations for children (following the adult recommendations for epidemiology, diagnosis, and treatment), includes significant changes in the management of this infection and reflects the evolving controversy over best methods for diagnosis. Clostridium difficile remains the most important cause of healthcare-associated diarrhea and has become the most commonly identified cause of healthcare-associated infection in adults in the United States. Moreover, C. difficile has established itself as an important community pathogen. Although the prevalence of the epidemic and virulent ribotype 027 strain has declined markedly along with overall CDI rates in parts of Europe, it remains one of the most commonly identified strains in the United States where it causes a sizable minority of CDIs, especially healthcare-associated CDIs. This guideline updates recommendations regarding epidemiology, diagnosis, treatment, infection prevention, and environmental management.&quot;,&quot;author&quot;:[{&quot;family&quot;:&quot;McDonald&quot;,&quot;given&quot;:&quot;L Clifford&quot;},{&quot;family&quot;:&quot;Gerding&quot;,&quot;given&quot;:&quot;Dale N&quot;},{&quot;family&quot;:&quot;Johnson&quot;,&quot;given&quot;:&quot;Stuart&quot;},{&quot;family&quot;:&quot;Bakken&quot;,&quot;given&quot;:&quot;Johan S&quot;},{&quot;family&quot;:&quot;Carroll&quot;,&quot;given&quot;:&quot;Karen C&quot;},{&quot;family&quot;:&quot;Coffin&quot;,&quot;given&quot;:&quot;Susan E&quot;},{&quot;family&quot;:&quot;Dubberke&quot;,&quot;given&quot;:&quot;Erik R&quot;},{&quot;family&quot;:&quot;Garey&quot;,&quot;given&quot;:&quot;Kevin W&quot;},{&quot;family&quot;:&quot;Gould&quot;,&quot;given&quot;:&quot;Carolyn V&quot;},{&quot;family&quot;:&quot;Kelly&quot;,&quot;given&quot;:&quot;Ciaran&quot;},{&quot;family&quot;:&quot;Loo&quot;,&quot;given&quot;:&quot;Vivian&quot;},{&quot;family&quot;:&quot;Shaklee Sammons&quot;,&quot;given&quot;:&quot;Julia&quot;},{&quot;family&quot;:&quot;Sandora&quot;,&quot;given&quot;:&quot;Thomas J&quot;},{&quot;family&quot;:&quot;Wilcox&quot;,&quot;given&quot;:&quot;Mark H&quot;}],&quot;issued&quot;:{&quot;date-parts&quot;:[[&quot;2018&quot;,&quot;3&quot;,&quot;19&quot;]]},&quot;DOI&quot;:&quot;10.1093/cid/cix1085&quot;,&quot;PMID&quot;:&quot;29462280&quot;,&quot;PMCID&quot;:&quot;PMC6018983&quot;,&quot;citation-label&quot;:&quot;4841853&quot;},{&quot;title&quot;:&quot;A multisite genomic epidemiology study of Clostridioides difficile infections in the USA supports differential roles of healthcare versus community spread for two common strains.&quot;,&quot;volume&quot;:&quot;7&quot;,&quot;issue&quot;:&quot;6&quot;,&quot;journalAbbreviation&quot;:&quot;Microb. Genom.&quot;,&quot;id&quot;:&quot;13329449&quot;,&quot;type&quot;:&quot;article-journal&quot;,&quot;container-title&quot;:&quot;Microbial genomics&quot;,&quot;container-title-short&quot;:&quot;Microb. Genom.&quot;,&quot;abstract&quot;:&quot;Clostridioides difficile is the leading cause of healthcare-associated infectious diarrhoea. However, it is increasingly appreciated that healthcare-associated infections derive from both community and healthcare environments, and that the primary sites of C. difficile transmission may be strain-dependent. We conducted a multisite genomic epidemiology study to assess differential genomic evidence of healthcare vs community spread for two of the most common C. difficile strains in the USA: sequence type (ST) 1 (associated with ribotype 027) and ST2 (associated with ribotype 014/020). We performed whole-genome sequencing and phylogenetic analyses on 382 ST1 and ST2 C. difficile isolates recovered from stool specimens collected during standard clinical care at 3 geographically distinct US medical centres between 2010 and 2017. ST1 and ST2 isolates both displayed some evidence of phylogenetic clustering by study site, but clustering was stronger and more apparent in ST1, consistent with our healthcare-based study more comprehensively sampling local transmission of ST1 compared to ST2 strains. Analyses of pairwise single-nucleotide variant (SNV) distance distributions were also consistent with more evidence of healthcare transmission of ST1 compared to ST2, with 44 % of ST1 isolates being within two SNVs of another isolate from the same geographical collection site compared to 5.5 % of ST2 isolates (P-value=&lt; 0.001). Conversely, ST2 isolates were more likely to have close genetic neighbours across disparate geographical sites compared to ST1 isolates, further supporting non-healthcare routes of spread for ST2 and highlighting the potential for misattributing genomic similarity among ST2 isolates to recent healthcare transmission. Finally, we estimated a lower evolutionary rate for the ST2 lineage compared to the ST1 lineage using Bayesian timed phylogenomic analyses, and hypothesize that this may contribute to observed differences in geographical concordance among closely related isolates. Together, these findings suggest that ST1 and ST2, while both common causes of C. difficile infection in hospitals, show differential reliance on community and hospital spread. This conclusion supports the need for strain-specific criteria for interpreting genomic linkages and emphasizes the importance of considering differences in the epidemiology of circulating strains when devising interventions to reduce the burden of C. difficile infections.&quot;,&quot;author&quot;:[{&quot;family&quot;:&quot;Miles-Jay&quot;,&quot;given&quot;:&quot;Arianna&quot;},{&quot;family&quot;:&quot;Young&quot;,&quot;given&quot;:&quot;Vincent B&quot;},{&quot;family&quot;:&quot;Pamer&quot;,&quot;given&quot;:&quot;Eric G&quot;},{&quot;family&quot;:&quot;Savidge&quot;,&quot;given&quot;:&quot;Tor C&quot;},{&quot;family&quot;:&quot;Kamboj&quot;,&quot;given&quot;:&quot;Mini&quot;},{&quot;family&quot;:&quot;Garey&quot;,&quot;given&quot;:&quot;Kevin W&quot;},{&quot;family&quot;:&quot;Snitkin&quot;,&quot;given&quot;:&quot;Evan S&quot;}],&quot;issued&quot;:{&quot;date-parts&quot;:[[&quot;2021&quot;,&quot;6&quot;]]},&quot;DOI&quot;:&quot;10.1099/mgen.0.000590&quot;,&quot;PMID&quot;:&quot;34180789&quot;,&quot;PMCID&quot;:&quot;PMC8461479&quot;,&quot;citation-label&quot;:&quot;13329449&quot;},{&quot;title&quot;:&quot;Virulence and genomic diversity among clinical isolates of ST1 (BI/NAP1/027) Clostridioides difficile.&quot;,&quot;journalAbbreviation&quot;:&quot;BioRxiv&quot;,&quot;id&quot;:&quot;15246130&quot;,&quot;type&quot;:&quot;article-journal&quot;,&quot;container-title&quot;:&quot;BioRxiv&quot;,&quot;container-title-short&quot;:&quot;BioRxiv&quot;,&quot;abstract&quot;:&quot;Clostridioides difficile (C. difficile) , a leading cause of nosocomial infection, produces toxins that damage the colonic epithelium and results in colitis that varies from mild to fulminant. Variation in disease severity is poorly understood and has been attributed to host factors (age, immune competence and intestinal microbiome composition) and/or virulence differences between C. difficile strains, with some, such as the epidemic BI/NAP1/027 (MLST1) strain, being associated with greater virulence. We tested 23 MLST1(ST1) C. difficile clinical isolates for virulence in antibiotic-treated C57BL/6 mice. All isolates encoded a complete Tcd pathogenicity locus and achieved similar colonization densities in mice. Disease severity varied, however, with 5 isolates causing lethal infections, 16 isolates causing a range of moderate infections and 2 isolates resulting in no detectable disease. The avirulent ST1 isolates did not cause disease in highly susceptible Myd88 -/- or germ-free mice. Genomic analysis of the avirulent isolates revealed a 69 base-pair deletion in the N-terminus of the cdtR gene, which encodes a response regulator for binary toxin (CDT) expression. Genetic deletion of the 69 base-pair cdtR sequence in the highly virulent ST1 R20291 C. difficile strain rendered it avirulent and reduced toxin gene transcription in cecal contents. Our study demonstrates that a natural deletion within cdtR attenuates virulence in the epidemic ST1 C. difficile strain without reducing colonization and persistence in the gut. Distinguishing strains on the basis of cdtR may enhance the specificity of diagnostic tests for C. difficile colitis.&quot;,&quot;author&quot;:[{&quot;family&quot;:&quot;Dong&quot;,&quot;given&quot;:&quot;Qiwen&quot;},{&quot;family&quot;:&quot;Lin&quot;,&quot;given&quot;:&quot;Huaiying&quot;},{&quot;family&quot;:&quot;Allen&quot;,&quot;given&quot;:&quot;Marie-Maude&quot;},{&quot;family&quot;:&quot;Garneau&quot;,&quot;given&quot;:&quot;Julian R&quot;},{&quot;family&quot;:&quot;Sia&quot;,&quot;given&quot;:&quot;Jonathan K&quot;},{&quot;family&quot;:&quot;Smith&quot;,&quot;given&quot;:&quot;Rita C&quot;},{&quot;family&quot;:&quot;Haro&quot;,&quot;given&quot;:&quot;Fidel&quot;},{&quot;family&quot;:&quot;McMillen&quot;,&quot;given&quot;:&quot;Tracy&quot;},{&quot;family&quot;:&quot;Pope&quot;,&quot;given&quot;:&quot;Rosemary L&quot;},{&quot;family&quot;:&quot;Metcalfe&quot;,&quot;given&quot;:&quot;Carolyn&quot;},{&quot;family&quot;:&quot;Burgo&quot;,&quot;given&quot;:&quot;Victoria&quot;},{&quot;family&quot;:&quot;Woodson&quot;,&quot;given&quot;:&quot;Che&quot;},{&quot;family&quot;:&quot;Dylla&quot;,&quot;given&quot;:&quot;Nicholas&quot;},{&quot;family&quot;:&quot;Kohout&quot;,&quot;given&quot;:&quot;Claire&quot;},{&quot;family&quot;:&quot;Sundararajan&quot;,&quot;given&quot;:&quot;Anitha&quot;},{&quot;family&quot;:&quot;Snitkin&quot;,&quot;given&quot;:&quot;Evan S&quot;},{&quot;family&quot;:&quot;Young&quot;,&quot;given&quot;:&quot;Vincent B&quot;},{&quot;family&quot;:&quot;Fortier&quot;,&quot;given&quot;:&quot;Louis-Charles&quot;},{&quot;family&quot;:&quot;Kamboj&quot;,&quot;given&quot;:&quot;Mini&quot;},{&quot;family&quot;:&quot;Pamer&quot;,&quot;given&quot;:&quot;Eric G&quot;}],&quot;issued&quot;:{&quot;date-parts&quot;:[[&quot;2023&quot;,&quot;1&quot;,&quot;12&quot;]]},&quot;DOI&quot;:&quot;10.1101/2023.01.12.523823&quot;,&quot;PMID&quot;:&quot;36711955&quot;,&quot;PMCID&quot;:&quot;PMC9882218&quot;,&quot;citation-label&quot;:&quot;15246130&quot;},{&quot;title&quot;:&quot;The gut microbiota shapes intestinal immune responses during health and disease.&quot;,&quot;page&quot;:&quot;313-323&quot;,&quot;volume&quot;:&quot;9&quot;,&quot;issue&quot;:&quot;5&quot;,&quot;journalAbbreviation&quot;:&quot;Nat. Rev. Immunol.&quot;,&quot;id&quot;:&quot;355655&quot;,&quot;type&quot;:&quot;article-journal&quot;,&quot;container-title&quot;:&quot;Nature Reviews. Immunology&quot;,&quot;container-title-short&quot;:&quot;Nat. Rev. Immunol.&quot;,&quot;abstract&quot;:&quot;Immunological dysregulation is the cause of many non-infectious human diseases such as autoimmunity, allergy and cancer. The gastrointestinal tract is the primary site of interaction between the host immune system and microorganisms, both symbiotic and pathogenic. In this Review we discuss findings indicating that developmental aspects of the adaptive immune system are influenced by bacterial colonization of the gut. We also highlight the molecular pathways that mediate host-symbiont interactions that regulate proper immune function. Finally, we present recent evidence to support that disturbances in the bacterial microbiota result in dysregulation of adaptive immune cells, and this may underlie disorders such as inflammatory bowel disease. This raises the possibility that the mammalian immune system, which seems to be designed to control microorganisms, is in fact controlled by microorganisms.&quot;,&quot;author&quot;:[{&quot;family&quot;:&quot;Round&quot;,&quot;given&quot;:&quot;June L&quot;},{&quot;family&quot;:&quot;Mazmanian&quot;,&quot;given&quot;:&quot;Sarkis K&quot;}],&quot;issued&quot;:{&quot;date-parts&quot;:[[&quot;2009&quot;,&quot;5&quot;]]},&quot;DOI&quot;:&quot;10.1038/nri2515&quot;,&quot;PMID&quot;:&quot;19343057&quot;,&quot;PMCID&quot;:&quot;PMC4095778&quot;,&quot;citation-label&quot;:&quot;355655&quot;},{&quot;title&quot;:&quot;Mechanism of the gut microbiota colonization resistance and enteric pathogen infection.&quot;,&quot;page&quot;:&quot;716299&quot;,&quot;volume&quot;:&quot;11&quot;,&quot;journalAbbreviation&quot;:&quot;Front. Cell. Infect. Microbiol.&quot;,&quot;id&quot;:&quot;12404623&quot;,&quot;type&quot;:&quot;article-journal&quot;,&quot;container-title&quot;:&quot;Frontiers in cellular and infection microbiology&quot;,&quot;container-title-short&quot;:&quot;Front. Cell. Infect. Microbiol.&quot;,&quot;abstract&quot;:&quot;The mammalian gut microbial community, known as the gut microbiota, comprises trillions of bacteria, which co-evolved with the host and has an important role in a variety of host functions that include nutrient acquisition, metabolism, and immunity development, and more importantly, it plays a critical role in the protection of the host from enteric infections associated with exogenous pathogens or indigenous pathobiont outgrowth that may result from healthy gut microbial community disruption. Microbiota evolves complex mechanisms to restrain pathogen growth, which included nutrient competition, competitive metabolic interactions, niche exclusion, and induction of host immune response, which are collectively termed colonization resistance. On the other hand, pathogens have also developed counterstrategies to expand their population and enhance their virulence to cope with the gut microbiota colonization resistance and cause infection. This review summarizes the available literature on the complex relationship occurring between the intestinal microbiota and enteric pathogens, describing how the gut microbiota can mediate colonization resistance against bacterial enteric infections and how bacterial enteropathogens can overcome this resistance as well as how the understanding of this complex interaction can inform future therapies against infectious diseases.Copyright © 2021 Khan, Bai, Zha, Ullah, Ullah, Shah, Sun and Zhang.&quot;,&quot;author&quot;:[{&quot;family&quot;:&quot;Khan&quot;,&quot;given&quot;:&quot;Israr&quot;},{&quot;family&quot;:&quot;Bai&quot;,&quot;given&quot;:&quot;Yanrui&quot;},{&quot;family&quot;:&quot;Zha&quot;,&quot;given&quot;:&quot;Lajia&quot;},{&quot;family&quot;:&quot;Ullah&quot;,&quot;given&quot;:&quot;Naeem&quot;},{&quot;family&quot;:&quot;Ullah&quot;,&quot;given&quot;:&quot;Habib&quot;},{&quot;family&quot;:&quot;Shah&quot;,&quot;given&quot;:&quot;Syed Rafiq Hussain&quot;},{&quot;family&quot;:&quot;Sun&quot;,&quot;given&quot;:&quot;Hui&quot;},{&quot;family&quot;:&quot;Zhang&quot;,&quot;given&quot;:&quot;Chunjiang&quot;}],&quot;issued&quot;:{&quot;date-parts&quot;:[[&quot;2021&quot;,&quot;12&quot;,&quot;23&quot;]]},&quot;DOI&quot;:&quot;10.3389/fcimb.2021.716299&quot;,&quot;PMID&quot;:&quot;35004340&quot;,&quot;PMCID&quot;:&quot;PMC8733563&quot;,&quot;citation-label&quot;:&quot;12404623&quot;},{&quot;title&quot;:&quot;Systems biology approach to functionally assess the Clostridioides difficile pangenome reveals genetic diversity with discriminatory power.&quot;,&quot;page&quot;:&quot;e2119396119&quot;,&quot;volume&quot;:&quot;119&quot;,&quot;issue&quot;:&quot;18&quot;,&quot;journalAbbreviation&quot;:&quot;Proc Natl Acad Sci USA&quot;,&quot;id&quot;:&quot;13488659&quot;,&quot;type&quot;:&quot;article-journal&quot;,&quot;container-title&quot;:&quot;Proceedings of the National Academy of Sciences of the United States of America&quot;,&quot;container-title-short&quot;:&quot;Proc Natl Acad Sci USA&quot;,&quot;abstract&quot;:&quot;Combatting Clostridioides difficile infections, a dominant cause of hospital-associated infections with incidence and resulting deaths increasing worldwide, is complicated by the frequent emergence of new virulent strains. Here, we employ whole-genome sequencing, high-throughput phenotypic screenings, and genome-scale models of metabolism to evaluate the genetic diversity of 451 strains of C. difficile. Constructing the C. difficile pangenome based on this set revealed 9,924 distinct gene clusters, of which 2,899 (29%) are defined as core, 2,968 (30%) are defined as unique, and the remaining 4,057 (41%) are defined as accessory. We develop a strain typing method, sequence typing by accessory genome (STAG), that identifies 176 genetically distinct groups of strains and allows for explicit interrogation of accessory gene content. Thirty-five strains representative of the overall set were experimentally profiled on 95 different nutrient sources, revealing 26 distinct growth profiles and unique nutrient preferences; 451 strain-specific genome scale models of metabolism were constructed, allowing us to computationally probe phenotypic diversity in 28,864 unique conditions. The models create a mechanistic link between the observed phenotypes and strain-specific genetic differences and exhibit an ability to correctly predict growth in 76% of measured cases. The typing and model predictions are used to identify and contextualize discriminating genetic features and phenotypes that may contribute to the emergence of new problematic strains.&quot;,&quot;author&quot;:[{&quot;family&quot;:&quot;Norsigian&quot;,&quot;given&quot;:&quot;Charles J&quot;},{&quot;family&quot;:&quot;Danhof&quot;,&quot;given&quot;:&quot;Heather A&quot;},{&quot;family&quot;:&quot;Brand&quot;,&quot;given&quot;:&quot;Colleen K&quot;},{&quot;family&quot;:&quot;Midani&quot;,&quot;given&quot;:&quot;Firas S&quot;},{&quot;family&quot;:&quot;Broddrick&quot;,&quot;given&quot;:&quot;Jared T&quot;},{&quot;family&quot;:&quot;Savidge&quot;,&quot;given&quot;:&quot;Tor C&quot;},{&quot;family&quot;:&quot;Britton&quot;,&quot;given&quot;:&quot;Robert A&quot;},{&quot;family&quot;:&quot;Palsson&quot;,&quot;given&quot;:&quot;Bernhard O&quot;},{&quot;family&quot;:&quot;Spinler&quot;,&quot;given&quot;:&quot;Jennifer K&quot;},{&quot;family&quot;:&quot;Monk&quot;,&quot;given&quot;:&quot;Jonathan M&quot;}],&quot;issued&quot;:{&quot;date-parts&quot;:[[&quot;2022&quot;,&quot;5&quot;,&quot;3&quot;]]},&quot;DOI&quot;:&quot;10.1073/pnas.2119396119&quot;,&quot;PMID&quot;:&quot;35476524&quot;,&quot;PMCID&quot;:&quot;PMC9170149&quot;,&quot;citation-label&quot;:&quot;13488659&quot;},{&quot;title&quot;:&quot;Pathogenicity Locus, Core Genome, and Accessory Gene Contributions to Clostridium difficile Virulence.&quot;,&quot;volume&quot;:&quot;8&quot;,&quot;issue&quot;:&quot;4&quot;,&quot;journalAbbreviation&quot;:&quot;MBio&quot;,&quot;id&quot;:&quot;4057857&quot;,&quot;type&quot;:&quot;article-journal&quot;,&quot;container-title&quot;:&quot;mBio&quot;,&quot;container-title-short&quot;:&quot;MBio&quot;,&quot;abstract&quot;:&quot;Clostridium difficile is a spore-forming anaerobic bacterium that causes colitis in patients with disrupted colonic microbiota. While some individuals are asymptomatic C. difficile carriers, symptomatic disease ranges from mild diarrhea to potentially lethal toxic megacolon. The wide disease spectrum has been attributed to the infected host's age, underlying diseases, immune status, and microbiome composition. However, strain-specific differences in C. difficile virulence have also been implicated in determining colitis severity. Because patients infected with C. difficile are unique in terms of medical history, microbiome composition, and immune competence, determining the relative contribution of C. difficile virulence to disease severity has been challenging, and conclusions regarding the virulence of specific strains have been inconsistent. To address this, we used a mouse model to test 33 clinical C. difficile strains isolated from patients with disease severities ranging from asymptomatic carriage to severe colitis, and we determined their relative in vivo virulence in genetically identical, antibiotic-pretreated mice. We found that murine infections with C. difficile clade 2 strains (including multilocus sequence type 1/ribotype 027) were associated with higher lethality and that C. difficile strains associated with greater human disease severity caused more severe disease in mice. While toxin production was not strongly correlated with in vivo colonic pathology, the ability of C. difficile strains to grow in the presence of secondary bile acids was associated with greater disease severity. Whole-genome sequencing and identification of core and accessory genes identified a subset of accessory genes that distinguish high-virulence from lower-virulence C. difficile strains.IMPORTANCEClostridium difficile is an important cause of hospital-associated intestinal infections, and recent years have seen an increase in the number and severity of cases in the United States. A patient's antibiotic history, immune status, and medical comorbidities determine, in part, the severity of C. difficile infection. The relative virulence of different clinical C. difficile strains, although postulated to determine disease severity in patients, has been more difficult to consistently associate with mild versus severe colitis. We tested 33 distinct clinical C. difficile isolates for their ability to cause disease in genetically identical mice and found that C. difficile strains belonging to clade 2 were associated with higher mortality. Differences in survival were not attributed to differences in toxin production but likely resulted from the distinct gene content in the various clinical isolates.Copyright © 2017 Lewis et al.&quot;,&quot;author&quot;:[{&quot;family&quot;:&quot;Lewis&quot;,&quot;given&quot;:&quot;Brittany B&quot;},{&quot;family&quot;:&quot;Carter&quot;,&quot;given&quot;:&quot;Rebecca A&quot;},{&quot;family&quot;:&quot;Ling&quot;,&quot;given&quot;:&quot;Lilan&quot;},{&quot;family&quot;:&quot;Leiner&quot;,&quot;given&quot;:&quot;Ingrid&quot;},{&quot;family&quot;:&quot;Taur&quot;,&quot;given&quot;:&quot;Ying&quot;},{&quot;family&quot;:&quot;Kamboj&quot;,&quot;given&quot;:&quot;Mini&quot;},{&quot;family&quot;:&quot;Dubberke&quot;,&quot;given&quot;:&quot;Erik R&quot;},{&quot;family&quot;:&quot;Xavier&quot;,&quot;given&quot;:&quot;Joao&quot;},{&quot;family&quot;:&quot;Pamer&quot;,&quot;given&quot;:&quot;Eric G&quot;}],&quot;issued&quot;:{&quot;date-parts&quot;:[[&quot;2017&quot;,&quot;8&quot;,&quot;8&quot;]]},&quot;DOI&quot;:&quot;10.1128/mBio.00885-17&quot;,&quot;PMID&quot;:&quot;28790208&quot;,&quot;PMCID&quot;:&quot;PMC5550754&quot;,&quot;citation-label&quot;:&quot;4057857&quot;},{&quot;title&quot;:&quot;Prokka: rapid prokaryotic genome annotation.&quot;,&quot;page&quot;:&quot;2068-2069&quot;,&quot;volume&quot;:&quot;30&quot;,&quot;issue&quot;:&quot;14&quot;,&quot;journalAbbreviation&quot;:&quot;Bioinformatics&quot;,&quot;id&quot;:&quot;429229&quot;,&quot;type&quot;:&quot;article-journal&quot;,&quot;container-title&quot;:&quot;Bioinformatics&quot;,&quot;container-title-short&quot;:&quot;Bioinformatics&quot;,&quot;abstract&quot;:&quot;UNLABELLED: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AVAILABILITY AND IMPLEMENTATION: Prokka is implemented in Perl and is freely available under an open source GPLv2 license from http://vicbioinformatics.com/.© The Author 2014. Published by Oxford University Press. All rights reserved. For Permissions, please e-mail: journals.permissions@oup.com.&quot;,&quot;author&quot;:[{&quot;family&quot;:&quot;Seemann&quot;,&quot;given&quot;:&quot;Torsten&quot;}],&quot;issued&quot;:{&quot;date-parts&quot;:[[&quot;2014&quot;,&quot;7&quot;,&quot;15&quot;]]},&quot;DOI&quot;:&quot;10.1093/bioinformatics/btu153&quot;,&quot;PMID&quot;:&quot;24642063&quot;,&quot;citation-label&quot;:&quot;429229&quot;},{&quot;title&quot;:&quot;Roary: rapid large-scale prokaryote pan genome analysis.&quot;,&quot;page&quot;:&quot;3691-3693&quot;,&quot;volume&quot;:&quot;31&quot;,&quot;issue&quot;:&quot;22&quot;,&quot;journalAbbreviation&quot;:&quot;Bioinformatics&quot;,&quot;id&quot;:&quot;2588714&quot;,&quot;type&quot;:&quot;article-journal&quot;,&quot;container-title&quot;:&quot;Bioinformatics&quot;,&quot;container-title-short&quot;:&quot;Bioinformatics&quot;,&quot;abstract&quot;:&quot;UNLABELLED: A typical prokaryote population sequencing study can now consist of hundreds or thousands of isolates. Interrogating these datasets can provide detailed insights into the genetic structure of prokaryotic genomes. We introduce Roary, a tool that rapidly builds large-scale pan genomes, identifying the core and accessory genes. Roary makes construction of the pan genome of thousands of prokaryote samples possible on a standard desktop without compromising on the accuracy of results. Using a single CPU Roary can produce a pan genome consisting of 1000 isolates in 4.5 hours using 13 GB of RAM, with further speedups possible using multiple processors.AVAILABILITY AND IMPLEMENTATION: Roary is implemented in Perl and is freely available under an open source GPLv3 license from http://sanger-pathogens.github.io/RoaryCONTACT: roary@sanger.ac.ukSUPPLEMENTARY INFORMATION: Supplementary data are available at Bioinformatics online.© The Author 2015. Published by Oxford University Press.&quot;,&quot;author&quot;:[{&quot;family&quot;:&quot;Page&quot;,&quot;given&quot;:&quot;Andrew J&quot;},{&quot;family&quot;:&quot;Cummins&quot;,&quot;given&quot;:&quot;Carla A&quot;},{&quot;family&quot;:&quot;Hunt&quot;,&quot;given&quot;:&quot;Martin&quot;},{&quot;family&quot;:&quot;Wong&quot;,&quot;given&quot;:&quot;Vanessa K&quot;},{&quot;family&quot;:&quot;Reuter&quot;,&quot;given&quot;:&quot;Sandra&quot;},{&quot;family&quot;:&quot;Holden&quot;,&quot;given&quot;:&quot;Matthew T G&quot;},{&quot;family&quot;:&quot;Fookes&quot;,&quot;given&quot;:&quot;Maria&quot;},{&quot;family&quot;:&quot;Falush&quot;,&quot;given&quot;:&quot;Daniel&quot;},{&quot;family&quot;:&quot;Keane&quot;,&quot;given&quot;:&quot;Jacqueline A&quot;},{&quot;family&quot;:&quot;Parkhill&quot;,&quot;given&quot;:&quot;Julian&quot;}],&quot;issued&quot;:{&quot;date-parts&quot;:[[&quot;2015&quot;,&quot;11&quot;,&quot;15&quot;]]},&quot;DOI&quot;:&quot;10.1093/bioinformatics/btv421&quot;,&quot;PMID&quot;:&quot;26198102&quot;,&quot;PMCID&quot;:&quot;PMC4817141&quot;,&quot;citation-label&quot;:&quot;2588714&quot;},{&quot;title&quot;:&quot;Clostridium difficile infection: new developments in epidemiology and pathogenesis.&quot;,&quot;page&quot;:&quot;526-536&quot;,&quot;volume&quot;:&quot;7&quot;,&quot;issue&quot;:&quot;7&quot;,&quot;journalAbbreviation&quot;:&quot;Nat. Rev. Microbiol.&quot;,&quot;id&quot;:&quot;978411&quot;,&quot;type&quot;:&quot;article-journal&quot;,&quot;container-title&quot;:&quot;Nature Reviews Microbiology&quot;,&quot;container-title-short&quot;:&quot;Nat. Rev. Microbiol.&quot;,&quot;abstract&quot;:&quot;Clostridium difficile is now considered to be one of the most important causes of health care-associated infections. C. difficile infections are also emerging in the community and in animals used for food, and are no longer viewed simply as unpleasant complications that follow antibiotic therapy. Since 2001, the prevalence and severity of C. difficile infection has increased significantly, which has led to increased research interest and the discovery of new virulence factors, and has expanded and focused the development of new treatment and prevention regimens. This Review summarizes the recent epidemiological changes in C. difficile infection, our current knowledge of C. difficile virulence factors and the clinical outcomes of C. difficile infection.&quot;,&quot;author&quot;:[{&quot;family&quot;:&quot;Rupnik&quot;,&quot;given&quot;:&quot;Maja&quot;},{&quot;family&quot;:&quot;Wilcox&quot;,&quot;given&quot;:&quot;Mark H&quot;},{&quot;family&quot;:&quot;Gerding&quot;,&quot;given&quot;:&quot;Dale N&quot;}],&quot;issued&quot;:{&quot;date-parts&quot;:[[&quot;2009&quot;,&quot;7&quot;]]},&quot;DOI&quot;:&quot;10.1038/nrmicro2164&quot;,&quot;PMID&quot;:&quot;19528959&quot;,&quot;citation-label&quot;:&quot;978411&quot;},{&quot;title&quot;:&quot;Protection of hamsters against Clostridium difficile ileocaecitis by prior colonisation with non-pathogenic strains.&quot;,&quot;page&quot;:&quot;339-350&quot;,&quot;volume&quot;:&quot;19&quot;,&quot;issue&quot;:&quot;3&quot;,&quot;journalAbbreviation&quot;:&quot;J. Med. Microbiol.&quot;,&quot;id&quot;:&quot;6658857&quot;,&quot;type&quot;:&quot;article-journal&quot;,&quot;container-title&quot;:&quot;Journal of Medical Microbiology&quot;,&quot;container-title-short&quot;:&quot;J. Med. Microbiol.&quot;,&quot;abstract&quot;:&quot;Prior colonisation of clindamycin-treated hamsters with non-toxigenic strains of C. difficile protected them from subsequent colonisation with a toxigenic pathogenic strain. In total, 13 of 18 'protected' hamsters survived for up to 27 days whereas all 27 animals challenged with the toxigenic strain alone died within 48 h. Protection was not evident if a heat-killed suspension was used or if the colonising non-toxigenic strain was first removed with vancomycin. No antitoxic activity could be detected in the faeces of animals colonised with the non-toxigenic strains. Other species of clostridia did not protect against the lethal effects of subsequent exposure to the toxigenic strain. Conversely, non-toxigenic strains would not protect the animals from the lethal effects of a different clostridial pathogen, C. spiroforme. In most cases, even in the protected animals, the toxigenic strain eventually became dominant and caused disease, with translocation across the gut wall occurring early in the disease process. It was also shown that a non-toxigenic strain of C. difficile can adhere to gut mucosa. It is proposed that the protection afforded by the non-toxigenic strains may be due to competition for ecological niches.&quot;,&quot;author&quot;:[{&quot;family&quot;:&quot;Borriello&quot;,&quot;given&quot;:&quot;S P&quot;},{&quot;family&quot;:&quot;Barclay&quot;,&quot;given&quot;:&quot;F E&quot;}],&quot;issued&quot;:{&quot;date-parts&quot;:[[&quot;1985&quot;,&quot;6&quot;]]},&quot;DOI&quot;:&quot;10.1099/00222615-19-3-339&quot;,&quot;PMID&quot;:&quot;4009689&quot;,&quot;citation-label&quot;:&quot;6658857&quot;},{&quot;title&quot;:&quot;Prevention of fatal Clostridium difficile-associated disease during continuous administration of clindamycin in hamsters.&quot;,&quot;page&quot;:&quot;1922-1927&quot;,&quot;volume&quot;:&quot;188&quot;,&quot;issue&quot;:&quot;12&quot;,&quot;journalAbbreviation&quot;:&quot;J. Infect. Dis.&quot;,&quot;id&quot;:&quot;3267729&quot;,&quot;type&quot;:&quot;article-journal&quot;,&quot;container-title&quot;:&quot;The Journal of Infectious Diseases&quot;,&quot;container-title-short&quot;:&quot;J. Infect. Dis.&quot;,&quot;abstract&quot;:&quot;Clostridium difficile-associated disease (CDAD) due to toxigenic strains is prevented in hamsters by colonization by nontoxigenic C. difficile after administration of clindamycin (Cm). To prevent CDAD during treatment with antibiotics, we gave a Cm-resistant nontoxigenic C. difficile strain, M13 (minimal inhibitory concentration [MIC], &gt;256 microg/mL), and a Cm-susceptible strain, M3 (MIC, 0.5 microg/mL), to hamsters receiving Cm daily for days 1-5. Either M13 or M3 was given orogastrically (1 x 10(6) spores/day) to each hamster in 3 groups of 5 each, on either day 3, days 3-5, or days 3-7. M13 colonized at a higher rate and faster than did M3 (P&lt; .001). When hamsters were challenged by toxigenic strain B1 on days 5, 7, or 9, M13 prevented CDAD in 100% of the hamsters. M3 protected no hamsters challenged by B1 on day 5, 20% on day 7, and 100% on day 9. M13 contains the erm(B) resistance gene but not the mobilizable element Tn5398. The benefits of use of Cm-resistant nontoxigenic C. difficile to prevent CDAD must be balanced against the risk that resistance might be transferred to other enteric bacteria.&quot;,&quot;author&quot;:[{&quot;family&quot;:&quot;Merrigan&quot;,&quot;given&quot;:&quot;Michelle M&quot;},{&quot;family&quot;:&quot;Sambol&quot;,&quot;given&quot;:&quot;Susan P&quot;},{&quot;family&quot;:&quot;Johnson&quot;,&quot;given&quot;:&quot;Stuart&quot;},{&quot;family&quot;:&quot;Gerding&quot;,&quot;given&quot;:&quot;Dale N&quot;}],&quot;issued&quot;:{&quot;date-parts&quot;:[[&quot;2003&quot;,&quot;12&quot;,&quot;15&quot;]]},&quot;DOI&quot;:&quot;10.1086/379836&quot;,&quot;PMID&quot;:&quot;14673773&quot;,&quot;citation-label&quot;:&quot;3267729&quot;},{&quot;title&quot;:&quot;Colonization for the prevention of Clostridium difficile disease in hamsters.&quot;,&quot;page&quot;:&quot;1781-1789&quot;,&quot;volume&quot;:&quot;186&quot;,&quot;issue&quot;:&quot;12&quot;,&quot;journalAbbreviation&quot;:&quot;J. Infect. Dis.&quot;,&quot;id&quot;:&quot;6658813&quot;,&quot;type&quot;:&quot;article-journal&quot;,&quot;container-title&quot;:&quot;The Journal of Infectious Diseases&quot;,&quot;container-title-short&quot;:&quot;J. Infect. Dis.&quot;,&quot;abstract&quot;:&quot;Studies suggest that asymptomatic colonization with Clostridium difficile (CD) decreases the risk of CD-associated disease (CDAD) in humans. A hamster model was used to test the efficacy of colonization with 3 nontoxigenic CD strains for preventing CDAD after exposure to toxigenic CD. Groups of 10 hamsters were given 10(6) nontoxigenic CD spores 2 days after receiving a single dose of clindamycin. Five days later, the hamsters were given 100 spores of 1 of 3 toxigenic CD strains previously shown to cause mortality within 48 h. Each nontoxigenic strain prevented disease in 87%-97% of hamsters that were challenged with toxigenic strains. Failure to prevent CDAD was associated with failure of colonization with nontoxigenic CD. Colonization with nontoxigenic CD strains is highly effective in preventing CDAD in hamsters challenged with toxigenic CD strains, which suggests that use of a probiotic strategy for CDAD prevention in humans receiving antibiotics might be beneficial.&quot;,&quot;author&quot;:[{&quot;family&quot;:&quot;Sambol&quot;,&quot;given&quot;:&quot;Susan P&quot;},{&quot;family&quot;:&quot;Merrigan&quot;,&quot;given&quot;:&quot;Michelle M&quot;},{&quot;family&quot;:&quot;Tang&quot;,&quot;given&quot;:&quot;Janet K&quot;},{&quot;family&quot;:&quot;Johnson&quot;,&quot;given&quot;:&quot;Stuart&quot;},{&quot;family&quot;:&quot;Gerding&quot;,&quot;given&quot;:&quot;Dale N&quot;}],&quot;issued&quot;:{&quot;date-parts&quot;:[[&quot;2002&quot;,&quot;12&quot;,&quot;15&quot;]]},&quot;DOI&quot;:&quot;10.1086/345676&quot;,&quot;PMID&quot;:&quot;12447764&quot;,&quot;citation-label&quot;:&quot;6658813&quot;},{&quot;title&quot;:&quot;Flagellar switch inverted repeats impact heterogeneity in flagellar gene expression and thus C. difficile RT027/MLST1 virulence.&quot;,&quot;page&quot;:&quot;115830&quot;,&quot;volume&quot;:&quot;44&quot;,&quot;issue&quot;:&quot;6&quot;,&quot;journalAbbreviation&quot;:&quot;Cell Rep.&quot;,&quot;id&quot;:&quot;18010908&quot;,&quot;type&quot;:&quot;article-journal&quot;,&quot;container-title&quot;:&quot;Cell reports&quot;,&quot;container-title-short&quot;:&quot;Cell Rep.&quot;,&quot;abstract&quot;:&quot;Clostridioides difficile (C. difficile) RT027 strains cause infections that vary in severity from asymptomatic to lethal, but the molecular basis for this variability is poorly understood. Through comparative analyses of RT027 clinical isolates, we determine that isolates that exhibit greater heterogeneity in their flagellar gene expression exhibit greater virulence in vivo. C. difficile flagellar genes are phase-variably expressed due to the site-specific inversion of the flgB 5' UTR region, which reversibly generates ON vs. OFF orientations for the flagellar switch. We find that longer inverted repeat (IR) sequences in this switch region correlate with greater disease severity, with RT027 strains carrying 6A/6T IR sequences exhibiting greater phenotypic heterogeneity in flagellar gene expression (60%-75% ON) and causing more severe disease than those with shorter IRs (&gt;99% ON or OFF). Our results reveal that phenotypic heterogeneity in flagellar gene expression may contribute to the variable disease severity observed in C. difficile patients.Copyright © 2025 The Author(s). Published by Elsevier Inc. All rights reserved.&quot;,&quot;author&quot;:[{&quot;family&quot;:&quot;Nhu&quot;,&quot;given&quot;:&quot;Nguyen T Q&quot;},{&quot;family&quot;:&quot;Lin&quot;,&quot;given&quot;:&quot;Huaiying&quot;},{&quot;family&quot;:&quot;Pigli&quot;,&quot;given&quot;:&quot;Ying&quot;},{&quot;family&quot;:&quot;Sia&quot;,&quot;given&quot;:&quot;Jonathan K&quot;},{&quot;family&quot;:&quot;Kuhn&quot;,&quot;given&quot;:&quot;Pola&quot;},{&quot;family&quot;:&quot;Ruppel&quot;,&quot;given&quot;:&quot;Hannah&quot;},{&quot;family&quot;:&quot;Snitkin&quot;,&quot;given&quot;:&quot;Evan S&quot;},{&quot;family&quot;:&quot;Young&quot;,&quot;given&quot;:&quot;Vincent B&quot;},{&quot;family&quot;:&quot;Kamboj&quot;,&quot;given&quot;:&quot;Mini&quot;},{&quot;family&quot;:&quot;Pamer&quot;,&quot;given&quot;:&quot;Eric G&quot;},{&quot;family&quot;:&quot;Rice&quot;,&quot;given&quot;:&quot;Phoebe A&quot;},{&quot;family&quot;:&quot;Shen&quot;,&quot;given&quot;:&quot;Aimee&quot;},{&quot;family&quot;:&quot;Dong&quot;,&quot;given&quot;:&quot;Qiwen&quot;}],&quot;issued&quot;:{&quot;date-parts&quot;:[[&quot;2025&quot;,&quot;6&quot;,&quot;24&quot;]]},&quot;DOI&quot;:&quot;10.1016/j.celrep.2025.115830&quot;,&quot;PMID&quot;:&quot;40504685&quot;,&quot;citation-label&quot;:&quot;18010908&quot;},{&quot;title&quot;:&quot;RAG-1-deficient mice have no mature B and T lymphocytes.&quot;,&quot;page&quot;:&quot;869-877&quot;,&quot;volume&quot;:&quot;68&quot;,&quot;issue&quot;:&quot;5&quot;,&quot;journalAbbreviation&quot;:&quot;Cell&quot;,&quot;id&quot;:&quot;183158&quot;,&quot;type&quot;:&quot;article-journal&quot;,&quot;container-title&quot;:&quot;Cell&quot;,&quot;container-title-short&quot;:&quot;Cell&quot;,&quot;abstract&quot;:&quot;The V(D)J recombination activation gene RAG-1 was isolated on the basis of its ability to activate V(D)J recombination on an artificial substrate in fibroblasts. This property and the expression pattern in tissues and cell lines indicate that RAG-1 either activates or catalyzes the V(D)J recombination reaction of immunoglobulin and T cell receptor genes. We here describe the introduction of a mutation in RAG-1 into the germline of mice via gene targeting in embryonic stem cells. RAG-1-deficient mice have small lymphoid organs that do not contain mature B and T lymphocytes. The arrest of B and T cell differentiation occurs at an early stage and correlates with the inability to perform V(D)J recombination. The immune system of the RAG-1 mutant mice can be described as that of nonleaky scid mice. Although RAG-1 expression has been reported in the central nervous system of the mouse, no obvious neuroanatomical or behavioral abnormalities have been found in the RAG-1-deficient mice.&quot;,&quot;author&quot;:[{&quot;family&quot;:&quot;Mombaerts&quot;,&quot;given&quot;:&quot;P&quot;},{&quot;family&quot;:&quot;Iacomini&quot;,&quot;given&quot;:&quot;J&quot;},{&quot;family&quot;:&quot;Johnson&quot;,&quot;given&quot;:&quot;R S&quot;},{&quot;family&quot;:&quot;Herrup&quot;,&quot;given&quot;:&quot;K&quot;},{&quot;family&quot;:&quot;Tonegawa&quot;,&quot;given&quot;:&quot;S&quot;},{&quot;family&quot;:&quot;Papaioannou&quot;,&quot;given&quot;:&quot;V E&quot;}],&quot;issued&quot;:{&quot;date-parts&quot;:[[&quot;1992&quot;,&quot;3&quot;,&quot;6&quot;]]},&quot;DOI&quot;:&quot;10.1016/0092-8674(92)90030-g&quot;,&quot;PMID&quot;:&quot;1547488&quot;,&quot;citation-label&quot;:&quot;183158&quot;},{&quot;title&quot;:&quot;Clostridioides difficile uses amino acids associated with gut microbial dysbiosis in a subset of patients with diarrhea.&quot;,&quot;volume&quot;:&quot;10&quot;,&quot;issue&quot;:&quot;464&quot;,&quot;journalAbbreviation&quot;:&quot;Sci. Transl. Med.&quot;,&quot;id&quot;:&quot;5944445&quot;,&quot;type&quot;:&quot;article-journal&quot;,&quot;container-title&quot;:&quot;Science Translational Medicine&quot;,&quot;container-title-short&quot;:&quot;Sci. Transl. Med.&quot;,&quot;abstract&quot;:&quot;The gut microbiota plays a critical role in pathogen defense. Studies using antibiotic-treated mice reveal mechanisms that increase susceptibility to Clostridioides difficile infection (CDI), but risk factors associated with CDI in humans extend beyond antibiotic use. Here, we studied the dysbiotic gut microbiota of a subset of patients with diarrhea and modeled the gut microbiota of these patients by fecal transplantation into germ-free mice. When challenged with C. difficile, the germ-free mice transplanted with fecal samples from patients with dysbiotic microbial communities showed increased gut amino acid concentrations and greater susceptibility to CDI. A C. difficile mutant that was unable to use proline as an energy source was unable to robustly infect germ-free mice transplanted with a dysbiotic or healthy human gut microbiota. Prophylactic dietary intervention using a low-proline or low-protein diet in germ-free mice colonized by a dysbiotic human gut microbiota resulted in decreased expansion of wild-type C. difficile after challenge, suggesting that amino acid availability might be important for CDI. Furthermore, a prophylactic fecal microbiota transplant in mice with dysbiosis reduced proline availability and protected the mice from CDI. Last, we identified clinical risk factors that could potentially predict gut microbial dysbiosis and thus greater susceptibility to CDI in a retrospective cohort of patients with diarrhea. Identifying at-risk individuals and reducing their susceptibility to CDI through gut microbiota-targeted therapies could be a new approach to preventing C. difficile infection in susceptible patients.Copyright © 2018 The Authors, some rights reserved; exclusive licensee American Association for the Advancement of Science. No claim to original U.S. Government Works.&quot;,&quot;author&quot;:[{&quot;family&quot;:&quot;Battaglioli&quot;,&quot;given&quot;:&quot;Eric J&quot;},{&quot;family&quot;:&quot;Hale&quot;,&quot;given&quot;:&quot;Vanessa L&quot;},{&quot;family&quot;:&quot;Chen&quot;,&quot;given&quot;:&quot;Jun&quot;},{&quot;family&quot;:&quot;Jeraldo&quot;,&quot;given&quot;:&quot;Patricio&quot;},{&quot;family&quot;:&quot;Ruiz-Mojica&quot;,&quot;given&quot;:&quot;Coral&quot;},{&quot;family&quot;:&quot;Schmidt&quot;,&quot;given&quot;:&quot;Bradley A&quot;},{&quot;family&quot;:&quot;Rekdal&quot;,&quot;given&quot;:&quot;Vayu M&quot;},{&quot;family&quot;:&quot;Till&quot;,&quot;given&quot;:&quot;Lisa M&quot;},{&quot;family&quot;:&quot;Huq&quot;,&quot;given&quot;:&quot;Lutfi&quot;},{&quot;family&quot;:&quot;Smits&quot;,&quot;given&quot;:&quot;Samuel A&quot;},{&quot;family&quot;:&quot;Moor&quot;,&quot;given&quot;:&quot;William J&quot;},{&quot;family&quot;:&quot;Jones-Hall&quot;,&quot;given&quot;:&quot;Yava&quot;},{&quot;family&quot;:&quot;Smyrk&quot;,&quot;given&quot;:&quot;Thomas&quot;},{&quot;family&quot;:&quot;Khanna&quot;,&quot;given&quot;:&quot;Sahil&quot;},{&quot;family&quot;:&quot;Pardi&quot;,&quot;given&quot;:&quot;Darrell S&quot;},{&quot;family&quot;:&quot;Grover&quot;,&quot;given&quot;:&quot;Madhusudan&quot;},{&quot;family&quot;:&quot;Patel&quot;,&quot;given&quot;:&quot;Robin&quot;},{&quot;family&quot;:&quot;Chia&quot;,&quot;given&quot;:&quot;Nicholas&quot;},{&quot;family&quot;:&quot;Nelson&quot;,&quot;given&quot;:&quot;Heidi&quot;},{&quot;family&quot;:&quot;Sonnenburg&quot;,&quot;given&quot;:&quot;Justin L&quot;},{&quot;family&quot;:&quot;Farrugia&quot;,&quot;given&quot;:&quot;Gianrico&quot;},{&quot;family&quot;:&quot;Kashyap&quot;,&quot;given&quot;:&quot;Purna C&quot;}],&quot;issued&quot;:{&quot;date-parts&quot;:[[&quot;2018&quot;,&quot;10&quot;,&quot;24&quot;]]},&quot;DOI&quot;:&quot;10.1126/scitranslmed.aam7019&quot;,&quot;PMID&quot;:&quot;30355801&quot;,&quot;PMCID&quot;:&quot;PMC6537101&quot;,&quot;citation-label&quot;:&quot;5944445&quot;},{&quot;title&quot;:&quot;Efficacy and Safety of RBX2660 in PUNCH CD3, a Phase III, Randomized, Double-Blind, Placebo-Controlled Trial with a Bayesian Primary Analysis for the Prevention of Recurrent Clostridioides difficile Infection.&quot;,&quot;page&quot;:&quot;1527-1538&quot;,&quot;volume&quot;:&quot;82&quot;,&quot;issue&quot;:&quot;15&quot;,&quot;journalAbbreviation&quot;:&quot;Drugs&quot;,&quot;id&quot;:&quot;13849846&quot;,&quot;type&quot;:&quot;article-journal&quot;,&quot;container-title&quot;:&quot;Drugs&quot;,&quot;container-title-short&quot;:&quot;Drugs&quot;,&quot;abstract&quot;:&quot;BACKGROUND: Recurrent Clostridioides difficile infection, associated with dysbiosis of gut microbiota, has substantial disease burden in the USA. RBX2660 is a live biotherapeutic product consisting of a broad consortium of microbes prepared from human stool that is under investigation for the reduction of recurrent C. difficile infection.METHODS: A randomized, double-blind, placebo-controlled, phase III study, with a Bayesian primary analysis integrating data from a previous phase IIb study, was conducted. Adults who had one or more C. difficile infection recurrences with a positive stool assay for C. difficile and who were previously treated with standard-of-care antibiotics were randomly assigned 2:1 to receive a subsequent blinded, single-dose enema of RBX2660 or placebo. The primary endpoint was treatment success, defined as the absence of C. difficile infection diarrhea within 8 weeks of study treatment.RESULTS: Of the 320 patients screened, 289 were randomly assigned and 267 received blinded treatment (n = 180, RBX2660; n = 87, placebo). Original model estimates of treatment success were 70.4% versus 58.1% with RBX2660 and placebo, respectively. However, after aligning the data to improve the exchangeability and interpretability of the Bayesian analysis, the model-estimated treatment success rate was 70.6% with RBX2660 versus 57.5% with placebo, with an estimated treatment effect of 13.1% and a posterior probability of superiority of 0.991. More than 90% of the participants who achieved treatment success at 8 weeks had sustained response through 6 months in both the RBX2660 and the placebo groups. Overall, RBX2660 was well tolerated, with manageable adverse events. The incidence of treatment-emergent adverse events was higher in RBX2660 recipients compared with placebo and was mostly driven by a higher incidence of mild gastrointestinal events.CONCLUSIONS: RBX2660 is a safe and effective treatment to reduce recurrent C. difficile infection following standard-of-care antibiotics with a sustained response through 6 months.CLINICAL TRIAL REGISTRATION: NCT03244644; 9 August, 2017.© 2022. The Author(s).&quot;,&quot;author&quot;:[{&quot;family&quot;:&quot;Khanna&quot;,&quot;given&quot;:&quot;Sahil&quot;},{&quot;family&quot;:&quot;Assi&quot;,&quot;given&quot;:&quot;Maha&quot;},{&quot;family&quot;:&quot;Lee&quot;,&quot;given&quot;:&quot;Christine&quot;},{&quot;family&quot;:&quot;Yoho&quot;,&quot;given&quot;:&quot;David&quot;},{&quot;family&quot;:&quot;Louie&quot;,&quot;given&quot;:&quot;Thomas&quot;},{&quot;family&quot;:&quot;Knapple&quot;,&quot;given&quot;:&quot;Whitfield&quot;},{&quot;family&quot;:&quot;Aguilar&quot;,&quot;given&quot;:&quot;Humberto&quot;},{&quot;family&quot;:&quot;Garcia-Diaz&quot;,&quot;given&quot;:&quot;Julia&quot;},{&quot;family&quot;:&quot;Wang&quot;,&quot;given&quot;:&quot;Gary P&quot;},{&quot;family&quot;:&quot;Berry&quot;,&quot;given&quot;:&quot;Scott M&quot;},{&quot;family&quot;:&quot;Marion&quot;,&quot;given&quot;:&quot;Joe&quot;},{&quot;family&quot;:&quot;Su&quot;,&quot;given&quot;:&quot;Xin&quot;},{&quot;family&quot;:&quot;Braun&quot;,&quot;given&quot;:&quot;Tricia&quot;},{&quot;family&quot;:&quot;Bancke&quot;,&quot;given&quot;:&quot;Lindy&quot;},{&quot;family&quot;:&quot;Feuerstadt&quot;,&quot;given&quot;:&quot;Paul&quot;}],&quot;issued&quot;:{&quot;date-parts&quot;:[[&quot;2022&quot;,&quot;10&quot;,&quot;26&quot;]]},&quot;DOI&quot;:&quot;10.1007/s40265-022-01797-x&quot;,&quot;PMID&quot;:&quot;36287379&quot;,&quot;PMCID&quot;:&quot;PMC9607700&quot;,&quot;citation-label&quot;:&quot;13849846&quot;},{&quot;title&quot;:&quot;Vowst's FDA approval is a boon for the prevention of recurrent Clostridioides difficile infection.&quot;,&quot;page&quot;:&quot;5852-5854&quot;,&quot;volume&quot;:&quot;85&quot;,&quot;issue&quot;:&quot;12&quot;,&quot;journalAbbreviation&quot;:&quot;Ann Med Surg (Lond)&quot;,&quot;id&quot;:&quot;18079840&quot;,&quot;type&quot;:&quot;article-journal&quot;,&quot;container-title&quot;:&quot;Annals of medicine and surgery (2012)&quot;,&quot;container-title-short&quot;:&quot;Ann Med Surg (Lond)&quot;,&quot;author&quot;:[{&quot;family&quot;:&quot;Anand&quot;,&quot;given&quot;:&quot;Ayush&quot;},{&quot;family&quot;:&quot;Parveen Shaikh&quot;,&quot;given&quot;:&quot;Nameera&quot;},{&quot;family&quot;:&quot;Aggarwal&quot;,&quot;given&quot;:&quot;Yash&quot;},{&quot;family&quot;:&quot;Fatima&quot;,&quot;given&quot;:&quot;Umaima&quot;},{&quot;family&quot;:&quot;Chapagain&quot;,&quot;given&quot;:&quot;Sanskriti&quot;},{&quot;family&quot;:&quot;Chidurala&quot;,&quot;given&quot;:&quot;Rahul&quot;},{&quot;family&quot;:&quot;Vaghela&quot;,&quot;given&quot;:&quot;Jenish&quot;},{&quot;family&quot;:&quot;Surana&quot;,&quot;given&quot;:&quot;Arihant&quot;},{&quot;family&quot;:&quot;Parikh&quot;,&quot;given&quot;:&quot;Charmy&quot;},{&quot;family&quot;:&quot;Patel&quot;,&quot;given&quot;:&quot;Raj H&quot;}],&quot;issued&quot;:{&quot;date-parts&quot;:[[&quot;2023&quot;,&quot;12&quot;]]},&quot;DOI&quot;:&quot;10.1097/MS9.0000000000001410&quot;,&quot;PMID&quot;:&quot;38098563&quot;,&quot;PMCID&quot;:&quot;PMC10718391&quot;,&quot;citation-label&quot;:&quot;18079840&quot;},{&quot;title&quot;:&quot;Metabolic ecology of microbiomes: Nutrient competition, host benefits, and community engineering.&quot;,&quot;page&quot;:&quot;790-807&quot;,&quot;volume&quot;:&quot;33&quot;,&quot;issue&quot;:&quot;6&quot;,&quot;journalAbbreviation&quot;:&quot;Cell Host Microbe&quot;,&quot;id&quot;:&quot;17952841&quot;,&quot;type&quot;:&quot;article-journal&quot;,&quot;container-title&quot;:&quot;Cell Host &amp; Microbe&quot;,&quot;container-title-short&quot;:&quot;Cell Host Microbe&quot;,&quot;abstract&quot;:&quot;Many plants and animals, including humans, host diverse communities of microbes that provide many benefits. A key challenge in understanding microbiomes is that the species composition often differs among individuals, which can thwart generalization. Here, we argue that the key to identifying general principles for microbiome science lies in microbial metabolism. In the human microbiome and in other systems, every microbial species must find ways to harvest nutrients to thrive. The available nutrients in a microbiome interact with microbial metabolism to define which species have the potential to persist in a host. The resulting nutrient competition shapes other mechanisms, including bacterial warfare and cross-feeding, to define microbiome composition and properties. We discuss impacts on ecological stability, colonization resistance, nutrient provision for the host, and evolution. A focus on the metabolic ecology of microbiomes offers a powerful way to understand and engineer microbiomes in health, agriculture, and the environment.Copyright © 2025 The Author(s). Published by Elsevier Inc. All rights reserved.&quot;,&quot;author&quot;:[{&quot;family&quot;:&quot;Bakkeren&quot;,&quot;given&quot;:&quot;Erik&quot;},{&quot;family&quot;:&quot;Piskovsky&quot;,&quot;given&quot;:&quot;Vit&quot;},{&quot;family&quot;:&quot;Foster&quot;,&quot;given&quot;:&quot;Kevin R&quot;}],&quot;issued&quot;:{&quot;date-parts&quot;:[[&quot;2025&quot;,&quot;6&quot;,&quot;11&quot;]]},&quot;DOI&quot;:&quot;10.1016/j.chom.2025.05.013&quot;,&quot;PMID&quot;:&quot;40505619&quot;,&quot;citation-label&quot;:&quot;17952841&quot;},{&quot;title&quot;:&quot;Mechanisms of maintenance of species diversity&quot;,&quot;page&quot;:&quot;343-366&quot;,&quot;volume&quot;:&quot;31&quot;,&quot;issue&quot;:&quot;1&quot;,&quot;journalAbbreviation&quot;:&quot;Annu. Rev. Ecol. Syst.&quot;,&quot;id&quot;:&quot;2837948&quot;,&quot;type&quot;:&quot;article-journal&quot;,&quot;container-title&quot;:&quot;Annual review of ecology and systematics&quot;,&quot;container-title-short&quot;:&quot;Annu. Rev. Ecol. Syst.&quot;,&quot;author&quot;:[{&quot;family&quot;:&quot;Chesson&quot;,&quot;given&quot;:&quot;Peter&quot;}],&quot;issued&quot;:{&quot;date-parts&quot;:[[&quot;2000&quot;,&quot;11&quot;]]},&quot;DOI&quot;:&quot;10.1146/annurev.ecolsys.31.1.343&quot;,&quot;citation-label&quot;:&quot;2837948&quot;},{&quot;title&quot;:&quot;Applying modern coexistence theory to priority effects.&quot;,&quot;page&quot;:&quot;6205-6210&quot;,&quot;volume&quot;:&quot;116&quot;,&quot;issue&quot;:&quot;13&quot;,&quot;journalAbbreviation&quot;:&quot;Proc Natl Acad Sci USA&quot;,&quot;id&quot;:&quot;9695927&quot;,&quot;type&quot;:&quot;article-journal&quot;,&quot;container-title&quot;:&quot;Proceedings of the National Academy of Sciences of the United States of America&quot;,&quot;container-title-short&quot;:&quot;Proc Natl Acad Sci USA&quot;,&quot;abstract&quot;:&quot;Modern coexistence theory is increasingly used to explain how differences between competing species lead to coexistence versus competitive exclusion. Although research testing this theory has focused on deterministic cases of competitive exclusion, in which the same species always wins, mounting evidence suggests that competitive exclusion is often historically contingent, such that whichever species happens to arrive first excludes the other. Coexistence theory predicts that historically contingent exclusion, known as priority effects, will occur when large destabilizing differences (positive frequency-dependent growth rates of competitors), combined with small fitness differences (differences in competitors' intrinsic growth rates and sensitivity to competition), create conditions under which neither species can invade an established population of its competitor. Here we extend the empirical application of modern coexistence theory to determine the conditions that promote priority effects. We conducted pairwise invasion tests with four strains of nectar-colonizing yeasts to determine how the destabilizing and fitness differences that drive priority effects are altered by two abiotic factors characterizing the nectar environment: sugar concentration and pH. We found that higher sugar concentrations increased the likelihood of priority effects by reducing fitness differences between competing species. In contrast, higher pH did not change the likelihood of priority effects, but instead made competition more neutral by bringing both fitness differences and destabilizing differences closer to zero. This study demonstrates how the empirical partitioning of priority effects into fitness and destabilizing components can elucidate the pathways through which environmental conditions shape competitive interactions.&quot;,&quot;author&quot;:[{&quot;family&quot;:&quot;Grainger&quot;,&quot;given&quot;:&quot;Tess Nahanni&quot;},{&quot;family&quot;:&quot;Letten&quot;,&quot;given&quot;:&quot;Andrew D&quot;},{&quot;family&quot;:&quot;Gilbert&quot;,&quot;given&quot;:&quot;Benjamin&quot;},{&quot;family&quot;:&quot;Fukami&quot;,&quot;given&quot;:&quot;Tadashi&quot;}],&quot;issued&quot;:{&quot;date-parts&quot;:[[&quot;2019&quot;,&quot;3&quot;,&quot;26&quot;]]},&quot;DOI&quot;:&quot;10.1073/pnas.1803122116&quot;,&quot;PMID&quot;:&quot;30850518&quot;,&quot;PMCID&quot;:&quot;PMC6442631&quot;,&quot;citation-label&quot;:&quot;9695927&quot;},{&quot;title&quot;:&quot;Modern coexistence theory as a framework for invasion ecology&quot;,&quot;page&quot;:&quot;1362-1375&quot;,&quot;volume&quot;:&quot;28&quot;,&quot;issue&quot;:&quot;11&quot;,&quot;journalAbbreviation&quot;:&quot;Biodiversity Science&quot;,&quot;id&quot;:&quot;18756664&quot;,&quot;type&quot;:&quot;article-journal&quot;,&quot;container-title&quot;:&quot;Biodiversity Science&quot;,&quot;container-title-short&quot;:&quot;Biodiversity Science&quot;,&quot;author&quot;:[{&quot;family&quot;:&quot;Yu&quot;,&quot;given&quot;:&quot;Wenbo&quot;},{&quot;family&quot;:&quot;Li&quot;,&quot;given&quot;:&quot;Shaopeng&quot;},{&quot;family&quot;:&quot;1 Zhejiang Tiantong Forest Ecosystem National Observation and Research Station, School of Ecological and Environmental Sciences, East China Normal University, Shanghai 2002412 Institute of Eco-Chongming, Shanghai 202162&quot;}],&quot;issued&quot;:{&quot;date-parts&quot;:[[&quot;2020&quot;]]},&quot;DOI&quot;:&quot;10.17520/biods.2020243&quot;,&quot;citation-label&quot;:&quot;18756664&quot;},{&quot;title&quot;:&quot;Niche partitioning facilitates coexistence of closely related honey bee gut bacteria.&quot;,&quot;volume&quot;:&quot;10&quot;,&quot;journalAbbreviation&quot;:&quot;eLife&quot;,&quot;id&quot;:&quot;13368338&quot;,&quot;type&quot;:&quot;article-journal&quot;,&quot;container-title&quot;:&quot;eLife&quot;,&quot;container-title-short&quot;:&quot;eLife&quot;,&quot;abstract&quot;:&quot;Ecological processes underlying bacterial coexistence in the gut are not well understood. Here, we disentangled the effect of the host and the diet on the coexistence of four closely related Lactobacillus species colonizing the honey bee gut. We serially passaged the four species through gnotobiotic bees and in liquid cultures in the presence of either pollen (bee diet) or simple sugars. Although the four species engaged in negative interactions, they were able to stably coexist, both in vivo and in vitro. However, coexistence was only possible in the presence of pollen, and not in simple sugars, independent of the environment. Using metatranscriptomics and metabolomics, we found that the four species utilize different pollen-derived carbohydrate substrates indicating resource partitioning as the basis of coexistence. Our results show that despite longstanding host association, gut bacterial interactions can be recapitulated in vitro providing insights about bacterial coexistence when combined with in vivo experiments.© 2021, Brochet et al.&quot;,&quot;author&quot;:[{&quot;family&quot;:&quot;Brochet&quot;,&quot;given&quot;:&quot;Silvia&quot;},{&quot;family&quot;:&quot;Quinn&quot;,&quot;given&quot;:&quot;Andrew&quot;},{&quot;family&quot;:&quot;Mars&quot;,&quot;given&quot;:&quot;Ruben A T&quot;},{&quot;family&quot;:&quot;Neuschwander&quot;,&quot;given&quot;:&quot;Nicolas&quot;},{&quot;family&quot;:&quot;Sauer&quot;,&quot;given&quot;:&quot;Uwe&quot;},{&quot;family&quot;:&quot;Engel&quot;,&quot;given&quot;:&quot;Philipp&quot;}],&quot;issued&quot;:{&quot;date-parts&quot;:[[&quot;2021&quot;,&quot;7&quot;,&quot;19&quot;]]},&quot;DOI&quot;:&quot;10.7554/eLife.68583&quot;,&quot;PMID&quot;:&quot;34279218&quot;,&quot;PMCID&quot;:&quot;PMC8456714&quot;,&quot;citation-label&quot;:&quot;13368338&quot;},{&quot;title&quot;:&quot;Strain displacement in microbiomes via ecological competition&quot;,&quot;journalAbbreviation&quot;:&quot;Nat. Microbiol.&quot;,&quot;id&quot;:&quot;18389790&quot;,&quot;type&quot;:&quot;article-journal&quot;,&quot;container-title&quot;:&quot;Nature Microbiology&quot;,&quot;container-title-short&quot;:&quot;Nat. Microbiol.&quot;,&quot;abstract&quot;:&quot;Microorganisms commonly live in diverse communities where changes in composition can be critical for health, industry and the environment. Yet, what enables one strain to competitively replace another in these complex conditions remains poorly understood. Here we develop a mathematical model to determine general principles of strain displacement. Our modelling reveals that weak resource competition enables successful invasion while strong interference competition, for example, via antimicrobial production, enables successful displacement. We verify these predictions using in vitro assays with genetically engineered Escherichia coli . We then apply our principles to displace multidrug-resistant clinical isolates using strains that are equipped with a potent bacteriocin. Finally, we perform experiments with diverse human gut symbionts, which reveal that displacement relies on low resource competition not only between competing strains but also with the broader community, that is, limited nutrient blocking. These general rules for ecological success in microbial communities could be applied for targeted displacement of bacteria.&quot;,&quot;author&quot;:[{&quot;family&quot;:&quot;Bakkeren&quot;,&quot;given&quot;:&quot;Erik&quot;},{&quot;family&quot;:&quot;Piskovsky&quot;,&quot;given&quot;:&quot;Vit&quot;},{&quot;family&quot;:&quot;Lee&quot;,&quot;given&quot;:&quot;Megan N. Y.&quot;},{&quot;family&quot;:&quot;Jahn&quot;,&quot;given&quot;:&quot;Martin T.&quot;},{&quot;family&quot;:&quot;Foster&quot;,&quot;given&quot;:&quot;Kevin R.&quot;}],&quot;issued&quot;:{&quot;date-parts&quot;:[[&quot;2025&quot;,&quot;11&quot;,&quot;7&quot;]]},&quot;DOI&quot;:&quot;10.1038/s41564-025-02162-w&quot;,&quot;citation-label&quot;:&quot;18389790&quot;},{&quot;title&quot;:&quot;Resource competition predicts assembly of gut bacterial communities in vitro.&quot;,&quot;page&quot;:&quot;1036-1048&quot;,&quot;volume&quot;:&quot;9&quot;,&quot;issue&quot;:&quot;4&quot;,&quot;journalAbbreviation&quot;:&quot;Nat. Microbiol.&quot;,&quot;id&quot;:&quot;16216059&quot;,&quot;type&quot;:&quot;article-journal&quot;,&quot;container-title&quot;:&quot;Nature Microbiology&quot;,&quot;container-title-short&quot;:&quot;Nat. Microbiol.&quot;,&quot;abstract&quot;:&quot;Microbial community dynamics arise through interspecies interactions, including resource competition, cross-feeding and pH modulation. The individual contributions of these mechanisms to community structure are challenging to untangle. Here we develop a framework to estimate multispecies niche overlaps by combining metabolomics data of individual species, growth measurements in spent media and mathematical models. We applied our framework to an in vitro model system comprising 15 human gut commensals in complex media and showed that a simple model of resource competition accounted for most pairwise interactions. Next, we built a coarse-grained consumer-resource model by grouping metabolomic features depleted by the same set of species and showed that this model predicted the composition of 2-member to 15-member communities with reasonable accuracy. Furthermore, we found that incorporation of cross-feeding and pH-mediated interactions improved model predictions of species coexistence. Our theoretical model and experimental framework can be applied to characterize interspecies interactions in bacterial communities in vitro.© 2024. The Author(s), under exclusive licence to Springer Nature Limited.&quot;,&quot;author&quot;:[{&quot;family&quot;:&quot;Ho&quot;,&quot;given&quot;:&quot;Po-Yi&quot;},{&quot;family&quot;:&quot;Nguyen&quot;,&quot;given&quot;:&quot;Taylor H&quot;},{&quot;family&quot;:&quot;Sanchez&quot;,&quot;given&quot;:&quot;Juan M&quot;},{&quot;family&quot;:&quot;DeFelice&quot;,&quot;given&quot;:&quot;Brian C&quot;},{&quot;family&quot;:&quot;Huang&quot;,&quot;given&quot;:&quot;Kerwyn Casey&quot;}],&quot;issued&quot;:{&quot;date-parts&quot;:[[&quot;2024&quot;,&quot;4&quot;]]},&quot;DOI&quot;:&quot;10.1038/s41564-024-01625-w&quot;,&quot;PMID&quot;:&quot;38486074&quot;,&quot;citation-label&quot;:&quot;16216059&quot;},{&quot;title&quot;:&quot;Host Immune Responses to Clostridioides difficile: Toxins and Beyond.&quot;,&quot;page&quot;:&quot;804949&quot;,&quot;volume&quot;:&quot;12&quot;,&quot;journalAbbreviation&quot;:&quot;Front. Microbiol.&quot;,&quot;id&quot;:&quot;12178356&quot;,&quot;type&quot;:&quot;article-journal&quot;,&quot;container-title&quot;:&quot;Frontiers in Microbiology&quot;,&quot;container-title-short&quot;:&quot;Front. Microbiol.&quot;,&quot;abstract&quot;:&quot;Clostridioides difficile is often resistant to the actions of antibiotics to treat other bacterial infections and the resulting C. difficile infection (CDI) is among the leading causes of nosocomial infectious diarrhea worldwide. The primary virulence mechanism contributing to CDI is the production of toxins. Treatment failures and recurrence of CDI have urged the medical community to search for novel treatment options. Strains that do not produce toxins, so called non-toxigenic C. difficile, have been known to colonize the colon and protect the host against CDI. In this review, a comprehensive description and comparison of the immune responses to toxigenic C. difficile and non-toxigenic adherence, and colonization factors, here called non-toxin proteins, is provided. This revealed a number of similarities between the host immune responses to toxigenic C. difficile and non-toxin proteins, such as the influx of granulocytes and the type of T-cell response. Differences may reflect genuine variation between the responses to toxigenic or non-toxigenic C. difficile or gaps in the current knowledge with respect to the immune response toward non-toxigenic C. difficile. Toxin-based and non-toxin-based immunization studies have been evaluated to further explore the role of B cells and reveal that plasma cells are important in protection against CDI. Since the success of toxin-based interventions in humans to date is limited, it is vital that future research will focus on the immune responses to non-toxin proteins and in particular non-toxigenic strains.Copyright © 2021 Nibbering, Gerding, Kuijper, Zwittink and Smits.&quot;,&quot;author&quot;:[{&quot;family&quot;:&quot;Nibbering&quot;,&quot;given&quot;:&quot;Britt&quot;},{&quot;family&quot;:&quot;Gerding&quot;,&quot;given&quot;:&quot;Dale N&quot;},{&quot;family&quot;:&quot;Kuijper&quot;,&quot;given&quot;:&quot;Ed J&quot;},{&quot;family&quot;:&quot;Zwittink&quot;,&quot;given&quot;:&quot;Romy D&quot;},{&quot;family&quot;:&quot;Smits&quot;,&quot;given&quot;:&quot;Wiep Klaas&quot;}],&quot;issued&quot;:{&quot;date-parts&quot;:[[&quot;2021&quot;,&quot;12&quot;,&quot;21&quot;]]},&quot;DOI&quot;:&quot;10.3389/fmicb.2021.804949&quot;,&quot;PMID&quot;:&quot;34992590&quot;,&quot;PMCID&quot;:&quot;PMC8724541&quot;,&quot;citation-label&quot;:&quot;12178356&quot;},{&quot;title&quot;:&quot;Ecological modeling from time-series inference: insight into dynamics and stability of intestinal microbiota.&quot;,&quot;page&quot;:&quot;e1003388&quot;,&quot;volume&quot;:&quot;9&quot;,&quot;issue&quot;:&quot;12&quot;,&quot;journalAbbreviation&quot;:&quot;PLoS Comput. Biol.&quot;,&quot;id&quot;:&quot;32482&quot;,&quot;type&quot;:&quot;article-journal&quot;,&quot;container-title&quot;:&quot;PLoS Computational Biology&quot;,&quot;container-title-short&quot;:&quot;PLoS Comput. Biol.&quot;,&quot;abstract&quot;:&quot;The intestinal microbiota is a microbial ecosystem of crucial importance to human health. Understanding how the microbiota confers resistance against enteric pathogens and how antibiotics disrupt that resistance is key to the prevention and cure of intestinal infections. We present a novel method to infer microbial community ecology directly from time-resolved metagenomics. This method extends generalized Lotka-Volterra dynamics to account for external perturbations. Data from recent experiments on antibiotic-mediated Clostridium difficile infection is analyzed to quantify microbial interactions, commensal-pathogen interactions, and the effect of the antibiotic on the community. Stability analysis reveals that the microbiota is intrinsically stable, explaining how antibiotic perturbations and C. difficile inoculation can produce catastrophic shifts that persist even after removal of the perturbations. Importantly, the analysis suggests a subnetwork of bacterial groups implicated in protection against C. difficile. Due to its generality, our method can be applied to any high-resolution ecological time-series data to infer community structure and response to external stimuli.&quot;,&quot;author&quot;:[{&quot;family&quot;:&quot;Stein&quot;,&quot;given&quot;:&quot;Richard R&quot;},{&quot;family&quot;:&quot;Bucci&quot;,&quot;given&quot;:&quot;Vanni&quot;},{&quot;family&quot;:&quot;Toussaint&quot;,&quot;given&quot;:&quot;Nora C&quot;},{&quot;family&quot;:&quot;Buffie&quot;,&quot;given&quot;:&quot;Charlie G&quot;},{&quot;family&quot;:&quot;Rätsch&quot;,&quot;given&quot;:&quot;Gunnar&quot;},{&quot;family&quot;:&quot;Pamer&quot;,&quot;given&quot;:&quot;Eric G&quot;},{&quot;family&quot;:&quot;Sander&quot;,&quot;given&quot;:&quot;Chris&quot;},{&quot;family&quot;:&quot;Xavier&quot;,&quot;given&quot;:&quot;João B&quot;}],&quot;issued&quot;:{&quot;date-parts&quot;:[[&quot;2013&quot;,&quot;12&quot;,&quot;12&quot;]]},&quot;DOI&quot;:&quot;10.1371/journal.pcbi.1003388&quot;,&quot;PMID&quot;:&quot;24348232&quot;,&quot;PMCID&quot;:&quot;PMC3861043&quot;,&quot;citation-label&quot;:&quot;32482&quot;},{&quot;title&quot;:&quot;A new method for non-parametric multivariate analysis of variance&quot;,&quot;page&quot;:&quot;32-46&quot;,&quot;volume&quot;:&quot;26&quot;,&quot;issue&quot;:&quot;1&quot;,&quot;journalAbbreviation&quot;:&quot;Austral Ecol.&quot;,&quot;id&quot;:&quot;1431594&quot;,&quot;type&quot;:&quot;article-journal&quot;,&quot;container-title&quot;:&quot;Austral ecology&quot;,&quot;container-title-short&quot;:&quot;Austral Ecol.&quot;,&quot;author&quot;:[{&quot;family&quot;:&quot;Anderson&quot;,&quot;given&quot;:&quot;Marti J.&quot;}],&quot;issued&quot;:{&quot;date-parts&quot;:[[&quot;2001&quot;,&quot;2&quot;]]},&quot;DOI&quot;:&quot;10.1111/j.1442-9993.2001.01070.pp.x&quot;,&quot;citation-label&quot;:&quot;1431594&quot;},{&quot;title&quot;:&quot;Antibiotic-Induced Alterations of the Gut Microbiota Alter Secondary Bile Acid Production and Allow for Clostridium difficile Spore Germination and Outgrowth in the Large Intestine.&quot;,&quot;volume&quot;:&quot;1&quot;,&quot;issue&quot;:&quot;1&quot;,&quot;journalAbbreviation&quot;:&quot;mSphere&quot;,&quot;id&quot;:&quot;1945039&quot;,&quot;type&quot;:&quot;article-journal&quot;,&quot;container-title&quot;:&quot;mSphere&quot;,&quot;container-title-short&quot;:&quot;mSphere&quot;,&quot;author&quot;:[{&quot;family&quot;:&quot;Theriot&quot;,&quot;given&quot;:&quot;Casey M&quot;},{&quot;family&quot;:&quot;Bowman&quot;,&quot;given&quot;:&quot;Alison A&quot;},{&quot;family&quot;:&quot;Young&quot;,&quot;given&quot;:&quot;Vincent B&quot;}],&quot;issued&quot;:{&quot;date-parts&quot;:[[&quot;2016&quot;,&quot;1&quot;,&quot;6&quot;]]},&quot;DOI&quot;:&quot;10.1128/mSphere.00045-15&quot;,&quot;PMID&quot;:&quot;27239562&quot;,&quot;PMCID&quot;:&quot;PMC4863611&quot;,&quot;citation-label&quot;:&quot;1945039&quot;},{&quot;title&quot;:&quot;Clostridium difficile Colonizes Alternative Nutrient Niches during Infection across Distinct Murine Gut Microbiomes.&quot;,&quot;volume&quot;:&quot;2&quot;,&quot;issue&quot;:&quot;4&quot;,&quot;journalAbbreviation&quot;:&quot;mSystems&quot;,&quot;id&quot;:&quot;5080445&quot;,&quot;type&quot;:&quot;article-journal&quot;,&quot;container-title&quot;:&quot;mSystems&quot;,&quot;container-title-short&quot;:&quot;mSystems&quot;,&quot;author&quot;:[{&quot;family&quot;:&quot;Jenior&quot;,&quot;given&quot;:&quot;Matthew L&quot;},{&quot;family&quot;:&quot;Leslie&quot;,&quot;given&quot;:&quot;Jhansi L&quot;},{&quot;family&quot;:&quot;Young&quot;,&quot;given&quot;:&quot;Vincent B&quot;},{&quot;family&quot;:&quot;Schloss&quot;,&quot;given&quot;:&quot;Patrick D&quot;}],&quot;issued&quot;:{&quot;date-parts&quot;:[[&quot;2017&quot;,&quot;8&quot;]]},&quot;DOI&quot;:&quot;10.1128/mSystems.00063-17&quot;,&quot;PMID&quot;:&quot;28761936&quot;,&quot;PMCID&quot;:&quot;PMC5527303&quot;,&quot;citation-label&quot;:&quot;5080445&quot;},{&quot;title&quot;:&quot;Metabolic Reprogramming of Clostridioides difficile During the Stationary Phase With the Induction of Toxin Production.&quot;,&quot;page&quot;:&quot;1970&quot;,&quot;volume&quot;:&quot;9&quot;,&quot;journalAbbreviation&quot;:&quot;Front. Microbiol.&quot;,&quot;id&quot;:&quot;12198083&quot;,&quot;type&quot;:&quot;article-journal&quot;,&quot;container-title&quot;:&quot;Frontiers in Microbiology&quot;,&quot;container-title-short&quot;:&quot;Front. Microbiol.&quot;,&quot;abstract&quot;:&quot;The obligate anaerobe, spore forming bacterium Clostridioides difficile (formerly Clostridium difficile) causes nosocomial and community acquired diarrhea often associated with antibiotic therapy. Major virulence factors of the bacterium are the two large clostridial toxins TcdA and TcdB. The production of both toxins was found strongly connected to the metabolism and the nutritional status of the growth environment. Here, we systematically investigated the changes of the gene regulatory, proteomic and metabolic networks of C. difficile 630Δerm underlying the adaptation to the non-growing state in the stationary phase. Integrated data from time-resolved transcriptome, proteome and metabolome investigations performed under defined growth conditions uncovered multiple adaptation strategies. Overall changes in the cellular processes included the downregulation of ribosome production, lipid metabolism, cold shock proteins, spermine biosynthesis, and glycolysis and in the later stages of riboflavin and coenzyme A (CoA) biosynthesis. In contrast, different chaperones, several fermentation pathways, and cysteine, serine, and pantothenate biosynthesis were found upregulated. Focusing on the Stickland amino acid fermentation and the central carbon metabolism, we discovered the ability of C. difficile to replenish its favored amino acid cysteine by a pathway starting from the glycolytic 3-phosphoglycerate via L-serine as intermediate. Following the growth course, the reductive equivalent pathways used were sequentially shifted from proline via leucine/phenylalanine to the central carbon metabolism first to butanoate fermentation and then further to lactate fermentation. The toxin production was found correlated mainly to fluxes of the central carbon metabolism. Toxin formation in the supernatant was detected when the flux changed from butanoate to lactate synthesis in the late stationary phase. The holistic view derived from the combination of transcriptome, proteome and metabolome data allowed us to uncover the major metabolic strategies that are used by the clostridial cells to maintain its cellular homeostasis and ensure survival under starvation conditions.&quot;,&quot;author&quot;:[{&quot;family&quot;:&quot;Hofmann&quot;,&quot;given&quot;:&quot;Julia D&quot;},{&quot;family&quot;:&quot;Otto&quot;,&quot;given&quot;:&quot;Andreas&quot;},{&quot;family&quot;:&quot;Berges&quot;,&quot;given&quot;:&quot;Mareike&quot;},{&quot;family&quot;:&quot;Biedendieck&quot;,&quot;given&quot;:&quot;Rebekka&quot;},{&quot;family&quot;:&quot;Michel&quot;,&quot;given&quot;:&quot;Annika-Marisa&quot;},{&quot;family&quot;:&quot;Becher&quot;,&quot;given&quot;:&quot;Dörte&quot;},{&quot;family&quot;:&quot;Jahn&quot;,&quot;given&quot;:&quot;Dieter&quot;},{&quot;family&quot;:&quot;Neumann-Schaal&quot;,&quot;given&quot;:&quot;Meina&quot;}],&quot;issued&quot;:{&quot;date-parts&quot;:[[&quot;2018&quot;,&quot;8&quot;,&quot;21&quot;]]},&quot;DOI&quot;:&quot;10.3389/fmicb.2018.01970&quot;,&quot;PMID&quot;:&quot;30186274&quot;,&quot;PMCID&quot;:&quot;PMC6110889&quot;,&quot;citation-label&quot;:&quot;12198083&quot;},{&quot;title&quot;:&quot;Microbiota-mediated colonization resistance against intestinal pathogens.&quot;,&quot;page&quot;:&quot;790-801&quot;,&quot;volume&quot;:&quot;13&quot;,&quot;issue&quot;:&quot;11&quot;,&quot;journalAbbreviation&quot;:&quot;Nat. Rev. Immunol.&quot;,&quot;id&quot;:&quot;241439&quot;,&quot;type&quot;:&quot;article-journal&quot;,&quot;container-title&quot;:&quot;Nature Reviews. Immunology&quot;,&quot;container-title-short&quot;:&quot;Nat. Rev. Immunol.&quot;,&quot;abstract&quot;:&quot;Commensal bacteria inhabit mucosal and epidermal surfaces in mice and humans, and have effects on metabolic and immune pathways in their hosts. Recent studies indicate that the commensal microbiota can be manipulated to prevent and even to cure infections that are caused by pathogenic bacteria, particularly pathogens that are broadly resistant to antibiotics, such as vancomycin-resistant Enterococcus faecium, Gram-negative Enterobacteriaceae and Clostridium difficile. In this Review, we discuss how immune- mediated colonization resistance against antibiotic-resistant intestinal pathogens is influenced by the composition of the commensal microbiota. We also review recent advances characterizing the ability of different commensal bacterial families, genera and species to restore colonization resistance to intestinal pathogens in antibiotic-treated hosts.&quot;,&quot;author&quot;:[{&quot;family&quot;:&quot;Buffie&quot;,&quot;given&quot;:&quot;Charlie G&quot;},{&quot;family&quot;:&quot;Pamer&quot;,&quot;given&quot;:&quot;Eric G&quot;}],&quot;issued&quot;:{&quot;date-parts&quot;:[[&quot;2013&quot;,&quot;11&quot;]]},&quot;DOI&quot;:&quot;10.1038/nri3535&quot;,&quot;PMID&quot;:&quot;24096337&quot;,&quot;PMCID&quot;:&quot;PMC4194195&quot;,&quot;citation-label&quot;:&quot;241439&quot;},{&quot;title&quot;:&quot;Multispecies competition in variable environments&quot;,&quot;page&quot;:&quot;227-276&quot;,&quot;volume&quot;:&quot;45&quot;,&quot;issue&quot;:&quot;3&quot;,&quot;journalAbbreviation&quot;:&quot;Theor. Popul. Biol.&quot;,&quot;id&quot;:&quot;8307239&quot;,&quot;type&quot;:&quot;article-journal&quot;,&quot;container-title&quot;:&quot;Theoretical Population Biology&quot;,&quot;container-title-short&quot;:&quot;Theor. Popul. Biol.&quot;,&quot;abstract&quot;:&quot;A general model of competition between several species in a variable environment is presented and analyzed using a general method that unifies treatment of different specific models. This method yields broad conclusions that are independent of the details of a model. It is used here to show that mechanisms of coexistence and competitive exclusion are largely restricted to three broad categories. One of these categories includes classical mechanisms that do not depend on fluctuations over time. Another category includes mechanisms which may be referred to collectively as the storage effect. These mechanisms involve species-specific responses to environmental fluctuations, a relationship between fluctuations in competition and fluctuations in the environment, and an interaction between environment and competition. The final category depends on fluctuating competition and nonlinear responses to competition that differ between species. These general results are illustrated with analyses of several specific models, including a Lotka-Volterra model, a model of nonlinear resource consumption, and models of recruitment fluctuations for iteroparous organisms and for annual plants.&quot;,&quot;author&quot;:[{&quot;family&quot;:&quot;Chesson&quot;,&quot;given&quot;:&quot;P&quot;}],&quot;issued&quot;:{&quot;date-parts&quot;:[[&quot;1994&quot;,&quot;6&quot;]]},&quot;DOI&quot;:&quot;10.1006/tpbi.1994.1013&quot;,&quot;citation-label&quot;:&quot;8307239&quot;},{&quot;title&quot;:&quot;High throughput ANI analysis of 90K prokaryotic genomes reveals clear species boundaries.&quot;,&quot;page&quot;:&quot;5114&quot;,&quot;volume&quot;:&quot;9&quot;,&quot;issue&quot;:&quot;1&quot;,&quot;journalAbbreviation&quot;:&quot;Nat. Commun.&quot;,&quot;id&quot;:&quot;6087081&quot;,&quot;type&quot;:&quot;article-journal&quot;,&quot;container-title&quot;:&quot;Nature Communications&quot;,&quot;container-title-short&quot;:&quot;Nat. Commun.&quot;,&quot;abstract&quot;:&quot;A fundamental question in microbiology is whether there is continuum of genetic diversity among genomes, or clear species boundaries prevail instead. Whole-genome similarity metrics such as Average Nucleotide Identity (ANI) help address this question by facilitating high resolution taxonomic analysis of thousands of genomes from diverse phylogenetic lineages. To scale to available genomes and beyond, we present FastANI, a new method to estimate ANI using alignment-free approximate sequence mapping. FastANI is accurate for both finished and draft genomes, and is up to three orders of magnitude faster compared to alignment-based approaches. We leverage FastANI to compute pairwise ANI values among all prokaryotic genomes available in the NCBI database. Our results reveal clear genetic discontinuity, with 99.8% of the total 8 billion genome pairs analyzed conforming to &gt;95% intra-species and &lt; 83% inter-species ANI values. This discontinuity is manifested with or without the most frequently sequenced species, and is robust to historic additions in the genome databases.&quot;,&quot;author&quot;:[{&quot;family&quot;:&quot;Jain&quot;,&quot;given&quot;:&quot;Chirag&quot;},{&quot;family&quot;:&quot;Rodriguez-R&quot;,&quot;given&quot;:&quot;Luis M&quot;},{&quot;family&quot;:&quot;Phillippy&quot;,&quot;given&quot;:&quot;Adam M&quot;},{&quot;family&quot;:&quot;Konstantinidis&quot;,&quot;given&quot;:&quot;Konstantinos T&quot;},{&quot;family&quot;:&quot;Aluru&quot;,&quot;given&quot;:&quot;Srinivas&quot;}],&quot;issued&quot;:{&quot;date-parts&quot;:[[&quot;2018&quot;,&quot;11&quot;,&quot;30&quot;]]},&quot;DOI&quot;:&quot;10.1038/s41467-018-07641-9&quot;,&quot;PMID&quot;:&quot;30504855&quot;,&quot;PMCID&quot;:&quot;PMC6269478&quot;,&quot;citation-label&quot;:&quot;6087081&quot;}]"/>
    <we:property name="sciwheel-projectId" value="null"/>
    <we:property name="sciwheel-selectedStyle" value="{&quot;id&quot;:&quot;cite-them-right-11th-edition-harvard&quot;,&quot;name&quot;:&quot;Cite Them Right 11th Edition - Harvar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2C51A-E7BE-8A4E-907B-B050D5025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26</Pages>
  <Words>11792</Words>
  <Characters>67219</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Vishwas</dc:creator>
  <cp:keywords/>
  <dc:description/>
  <cp:lastModifiedBy>Mishra, Vishwas</cp:lastModifiedBy>
  <cp:revision>6</cp:revision>
  <dcterms:created xsi:type="dcterms:W3CDTF">2026-04-22T14:45:00Z</dcterms:created>
  <dcterms:modified xsi:type="dcterms:W3CDTF">2026-04-22T21:00:00Z</dcterms:modified>
</cp:coreProperties>
</file>