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810432" w14:textId="5669F187" w:rsidR="00D35E20" w:rsidRDefault="00D35E20" w:rsidP="00D35E20">
      <w:pPr>
        <w:pStyle w:val="BodyText"/>
        <w:rPr>
          <w:color w:val="000000" w:themeColor="text1"/>
        </w:rPr>
      </w:pPr>
      <w:r w:rsidRPr="00D35E20">
        <w:rPr>
          <w:b/>
          <w:bCs/>
        </w:rPr>
        <w:t>Figure 1:</w:t>
      </w:r>
      <w:r>
        <w:t xml:space="preserve"> </w:t>
      </w:r>
      <w:r w:rsidRPr="00D35E20">
        <w:rPr>
          <w:b/>
          <w:bCs/>
          <w:color w:val="000000" w:themeColor="text1"/>
        </w:rPr>
        <w:t>Resource-access asymmetry predicts whether a candidate protective strain can persist with VPI10463.</w:t>
      </w:r>
      <w:r w:rsidRPr="00D35E20">
        <w:rPr>
          <w:color w:val="000000" w:themeColor="text1"/>
        </w:rPr>
        <w:t xml:space="preserve"> (A) Model schematic. Substrates are classified as shared between the ST1 strain and VPI10463 (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shared</m:t>
            </m:r>
          </m:sub>
        </m:sSub>
      </m:oMath>
      <w:r w:rsidRPr="00D35E20">
        <w:rPr>
          <w:color w:val="000000" w:themeColor="text1"/>
        </w:rPr>
        <w:t>), private to the ST1 strain (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ST1</m:t>
            </m:r>
          </m:sub>
        </m:sSub>
      </m:oMath>
      <w:r w:rsidRPr="00D35E20">
        <w:rPr>
          <w:color w:val="000000" w:themeColor="text1"/>
        </w:rPr>
        <w:t>), or private to VPI10463 (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VPI</m:t>
            </m:r>
          </m:sub>
        </m:sSub>
      </m:oMath>
      <w:r w:rsidRPr="00D35E20">
        <w:rPr>
          <w:color w:val="000000" w:themeColor="text1"/>
        </w:rPr>
        <w:t>). (B) Qualitative outcome rule based on the signs of the ST1 and VPI10463 invasion scores. Protection corresponds to ST1 persistence, either by coexistence or by ST1 exclusion of VPI10463. (C) ST1-75/VPI10463-like invasion curves, where ST1-private resources exceed VPI10463-private resources (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shared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22</m:t>
        </m:r>
      </m:oMath>
      <w:r w:rsidRPr="00D35E20">
        <w:rPr>
          <w:color w:val="000000" w:themeColor="text1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ST1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60</m:t>
        </m:r>
      </m:oMath>
      <w:r w:rsidRPr="00D35E20">
        <w:rPr>
          <w:color w:val="000000" w:themeColor="text1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VPI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1</m:t>
        </m:r>
      </m:oMath>
      <w:r w:rsidRPr="00D35E20">
        <w:rPr>
          <w:color w:val="000000" w:themeColor="text1"/>
        </w:rPr>
        <w:t xml:space="preserve">). (D) ST1-68/VPI10463-like invasion curves, where ST1-private </w:t>
      </w:r>
      <w:r>
        <w:rPr>
          <w:color w:val="000000" w:themeColor="text1"/>
        </w:rPr>
        <w:t xml:space="preserve">and </w:t>
      </w:r>
      <w:r w:rsidRPr="00D35E20">
        <w:rPr>
          <w:color w:val="000000" w:themeColor="text1"/>
        </w:rPr>
        <w:t>VPI10463-private resources are comparable (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shared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16</m:t>
        </m:r>
      </m:oMath>
      <w:r w:rsidRPr="00D35E20">
        <w:rPr>
          <w:color w:val="000000" w:themeColor="text1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ST1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8</m:t>
        </m:r>
      </m:oMath>
      <w:r w:rsidRPr="00D35E20">
        <w:rPr>
          <w:color w:val="000000" w:themeColor="text1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VPI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7</m:t>
        </m:r>
      </m:oMath>
      <w:r w:rsidRPr="00D35E20">
        <w:rPr>
          <w:color w:val="000000" w:themeColor="text1"/>
        </w:rPr>
        <w:t>).</w:t>
      </w:r>
    </w:p>
    <w:p w14:paraId="2B4D4578" w14:textId="7DCEA91C" w:rsidR="00D35E20" w:rsidRPr="00D35E20" w:rsidRDefault="00D35E20" w:rsidP="00D35E20">
      <w:pPr>
        <w:pStyle w:val="BodyText"/>
        <w:rPr>
          <w:color w:val="000000" w:themeColor="text1"/>
        </w:rPr>
      </w:pPr>
      <w:r w:rsidRPr="00D35E20">
        <w:rPr>
          <w:b/>
          <w:bCs/>
          <w:color w:val="000000" w:themeColor="text1"/>
        </w:rPr>
        <w:t>Figure 2</w:t>
      </w:r>
      <w:r>
        <w:rPr>
          <w:b/>
          <w:bCs/>
          <w:color w:val="000000" w:themeColor="text1"/>
        </w:rPr>
        <w:t>:</w:t>
      </w:r>
      <w:r w:rsidRPr="00D35E20">
        <w:rPr>
          <w:b/>
          <w:bCs/>
          <w:color w:val="000000" w:themeColor="text1"/>
        </w:rPr>
        <w:t xml:space="preserve"> Related ST1 strains differ in protection, and some low-virulence strains fail to protect.</w:t>
      </w:r>
      <w:r w:rsidRPr="00D35E20">
        <w:rPr>
          <w:color w:val="000000" w:themeColor="text1"/>
        </w:rPr>
        <w:t xml:space="preserve"> (A) Mean relative weight trajectories in the co-colonization screen for VPI10463 alone, ST1-75+VPI10463, and ST1-68+VPI10463. Shading indicates standard error. (B) Survival trajectories for the same co-colonization conditions. (C) Model-estimated protection scores across the ST1 strain panel from ST1+VPI10463 co-colonization experiments. Error bars indicate confidence intervals. (D) Relationship between mono-colonization virulence score and co-colonization protection score. ST1-75 and ST1-68 are highlighted because both have low mono-colonization virulence but divergent protection phenotypes.</w:t>
      </w:r>
    </w:p>
    <w:p w14:paraId="0AEFB24F" w14:textId="33EA64B4" w:rsidR="003569C4" w:rsidRDefault="003569C4" w:rsidP="003569C4">
      <w:pPr>
        <w:pStyle w:val="BodyText"/>
        <w:rPr>
          <w:color w:val="000000" w:themeColor="text1"/>
        </w:rPr>
      </w:pPr>
      <w:r w:rsidRPr="003569C4">
        <w:rPr>
          <w:b/>
          <w:bCs/>
          <w:color w:val="000000" w:themeColor="text1"/>
        </w:rPr>
        <w:t>Figure 3</w:t>
      </w:r>
      <w:r>
        <w:rPr>
          <w:b/>
          <w:bCs/>
          <w:color w:val="000000" w:themeColor="text1"/>
        </w:rPr>
        <w:t>:</w:t>
      </w:r>
      <w:r w:rsidRPr="003569C4">
        <w:rPr>
          <w:b/>
          <w:bCs/>
          <w:color w:val="000000" w:themeColor="text1"/>
        </w:rPr>
        <w:t xml:space="preserve"> BIOLOG substrate-use breadth provides a resource-count map for interpreting protection.</w:t>
      </w:r>
      <w:r w:rsidRPr="003569C4">
        <w:rPr>
          <w:color w:val="000000" w:themeColor="text1"/>
        </w:rPr>
        <w:t xml:space="preserve"> (A) Binary BIOLOG substrate-use matrix. VPI10463 is shown as the reference row</w:t>
      </w:r>
      <w:r>
        <w:rPr>
          <w:color w:val="000000" w:themeColor="text1"/>
        </w:rPr>
        <w:t xml:space="preserve"> on top</w:t>
      </w:r>
      <w:r w:rsidRPr="003569C4">
        <w:rPr>
          <w:color w:val="000000" w:themeColor="text1"/>
        </w:rPr>
        <w:t>; ST1 strains are ranked by mouse protection score from highest to lowest</w:t>
      </w:r>
      <w:r>
        <w:rPr>
          <w:color w:val="000000" w:themeColor="text1"/>
        </w:rPr>
        <w:t xml:space="preserve"> (top to bottom)</w:t>
      </w:r>
      <w:r w:rsidRPr="003569C4">
        <w:rPr>
          <w:color w:val="000000" w:themeColor="text1"/>
        </w:rPr>
        <w:t xml:space="preserve">. Columns are organized by whether VPI10463 uses the substrate and then by substrate class and ST1 prevalence. Highlighted rows mark ST1-75, ST1-68, and ST1-49. (B) Shared, ST1-private, and VPI10463-private substrate counts for each ST1 strain relative to VPI10463; ST1 strains are ranked by mouse protection score from highest to lowest. (C) Total BIOLOG substrate-use breadth versus mouse protection score. ST1-75, ST1-68, and ST1-49 are highlighted. (D) Model outcome classes across 501 tested </w:t>
      </w:r>
      <m:oMath>
        <m:r>
          <w:rPr>
            <w:rFonts w:ascii="Cambria Math" w:hAnsi="Cambria Math"/>
            <w:color w:val="000000" w:themeColor="text1"/>
          </w:rPr>
          <m:t>λ</m:t>
        </m:r>
      </m:oMath>
      <w:r w:rsidRPr="003569C4">
        <w:rPr>
          <w:color w:val="000000" w:themeColor="text1"/>
        </w:rPr>
        <w:t xml:space="preserve"> values from 0 to 82. (E) Correlations between chemical-class substrate breadth and protection. One asterisk indicates nominal p &lt; 0.05; two asterisks indicate false-discovery-adjusted q &lt; 0.05.</w:t>
      </w:r>
    </w:p>
    <w:p w14:paraId="39F013BD" w14:textId="6B79B9FF" w:rsidR="003569C4" w:rsidRPr="003569C4" w:rsidRDefault="003569C4" w:rsidP="003569C4">
      <w:pPr>
        <w:pStyle w:val="BodyText"/>
        <w:rPr>
          <w:color w:val="000000" w:themeColor="text1"/>
        </w:rPr>
      </w:pPr>
      <w:r w:rsidRPr="003569C4">
        <w:rPr>
          <w:b/>
          <w:bCs/>
          <w:color w:val="000000" w:themeColor="text1"/>
        </w:rPr>
        <w:t>Figure 4</w:t>
      </w:r>
      <w:r>
        <w:rPr>
          <w:b/>
          <w:bCs/>
          <w:color w:val="000000" w:themeColor="text1"/>
        </w:rPr>
        <w:t>:</w:t>
      </w:r>
      <w:r w:rsidRPr="003569C4">
        <w:rPr>
          <w:b/>
          <w:bCs/>
          <w:color w:val="000000" w:themeColor="text1"/>
        </w:rPr>
        <w:t xml:space="preserve"> Broad substrate-use breadth predicts ST1-75 persistence during mixed infection with VPI10463.</w:t>
      </w:r>
      <w:r w:rsidRPr="003569C4">
        <w:rPr>
          <w:color w:val="000000" w:themeColor="text1"/>
        </w:rPr>
        <w:t xml:space="preserve"> (A) Model-derived ST1 invasion-score curves for protective ST1-75 and weakly protective ST1-68 across the same </w:t>
      </w:r>
      <m:oMath>
        <m:r>
          <w:rPr>
            <w:rFonts w:ascii="Cambria Math" w:hAnsi="Cambria Math"/>
            <w:color w:val="000000" w:themeColor="text1"/>
          </w:rPr>
          <m:t>λ</m:t>
        </m:r>
      </m:oMath>
      <w:r w:rsidRPr="003569C4">
        <w:rPr>
          <w:color w:val="000000" w:themeColor="text1"/>
        </w:rPr>
        <w:t xml:space="preserve"> range used for panel-wide persistence scoring. (B) Illustrative consumer-resource simulation for ST1-75 and VPI10463 initialized at a 1:5 ST1-</w:t>
      </w:r>
      <w:proofErr w:type="gramStart"/>
      <w:r w:rsidRPr="003569C4">
        <w:rPr>
          <w:color w:val="000000" w:themeColor="text1"/>
        </w:rPr>
        <w:t>75:VPI</w:t>
      </w:r>
      <w:proofErr w:type="gramEnd"/>
      <w:r w:rsidRPr="003569C4">
        <w:rPr>
          <w:color w:val="000000" w:themeColor="text1"/>
        </w:rPr>
        <w:t>10463 ratio. (C) Relative weight trajectories for ST1-75 alone, VPI10463 alone, and mixed ST1-75+VPI10463 infection. Shading indicates standard deviation across mixed-infection mice. (D) Mean qPCR strain fractions during mixed infection, showing expansion of ST1-75 over time.</w:t>
      </w:r>
    </w:p>
    <w:p w14:paraId="331C600E" w14:textId="74C363CA" w:rsidR="003569C4" w:rsidRPr="003569C4" w:rsidRDefault="003569C4" w:rsidP="003569C4">
      <w:pPr>
        <w:pStyle w:val="BodyText"/>
        <w:rPr>
          <w:color w:val="000000" w:themeColor="text1"/>
        </w:rPr>
      </w:pPr>
      <w:r w:rsidRPr="003569C4">
        <w:rPr>
          <w:b/>
          <w:bCs/>
          <w:color w:val="000000" w:themeColor="text1"/>
        </w:rPr>
        <w:t>Figure 5</w:t>
      </w:r>
      <w:r>
        <w:rPr>
          <w:b/>
          <w:bCs/>
          <w:color w:val="000000" w:themeColor="text1"/>
        </w:rPr>
        <w:t>:</w:t>
      </w:r>
      <w:r w:rsidRPr="003569C4">
        <w:rPr>
          <w:b/>
          <w:bCs/>
          <w:color w:val="000000" w:themeColor="text1"/>
        </w:rPr>
        <w:t xml:space="preserve"> Immune, residual-microbiome, and genomic analyses do not identify a single alternative explanation for ST1-75-mediated protection.</w:t>
      </w:r>
      <w:r w:rsidRPr="003569C4">
        <w:rPr>
          <w:color w:val="000000" w:themeColor="text1"/>
        </w:rPr>
        <w:t xml:space="preserve"> (A) Adaptive immune-cell fractions in uninfected and ST1-75-colonized mice. (B) Innate immune-cell fractions in </w:t>
      </w:r>
      <w:r w:rsidRPr="003569C4">
        <w:rPr>
          <w:color w:val="000000" w:themeColor="text1"/>
        </w:rPr>
        <w:lastRenderedPageBreak/>
        <w:t xml:space="preserve">uninfected and ST1-75-colonized mice. (C) Relative weight after secondary challenge in uninfected B6 mice, ST1-75-colonized B6 mice, and ST1-75-colonized RAG1 knockout mice. (D) Shannon diversity of the residual microbiota after removing </w:t>
      </w:r>
      <w:r w:rsidRPr="003569C4">
        <w:rPr>
          <w:i/>
          <w:iCs/>
          <w:color w:val="000000" w:themeColor="text1"/>
        </w:rPr>
        <w:t>Clostridioides</w:t>
      </w:r>
      <w:r w:rsidRPr="003569C4">
        <w:rPr>
          <w:color w:val="000000" w:themeColor="text1"/>
        </w:rPr>
        <w:t xml:space="preserve"> and renormalizing remaining genera; labels show false-discovery-adjusted q values for ST1-75 versus ST1-12 comparisons. (E) Accessory-gene PCA colored by protection score.</w:t>
      </w:r>
    </w:p>
    <w:p w14:paraId="6DB0762F" w14:textId="77777777" w:rsidR="00CB0F78" w:rsidRDefault="00C54B21" w:rsidP="00C54B21">
      <w:pPr>
        <w:pStyle w:val="BodyText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Supplementary </w:t>
      </w:r>
      <w:r w:rsidRPr="003569C4">
        <w:rPr>
          <w:b/>
          <w:bCs/>
          <w:color w:val="000000" w:themeColor="text1"/>
        </w:rPr>
        <w:t xml:space="preserve">Figure </w:t>
      </w:r>
      <w:r>
        <w:rPr>
          <w:b/>
          <w:bCs/>
          <w:color w:val="000000" w:themeColor="text1"/>
        </w:rPr>
        <w:t xml:space="preserve">1: </w:t>
      </w:r>
      <w:r w:rsidRPr="00C54B21">
        <w:rPr>
          <w:b/>
          <w:bCs/>
          <w:color w:val="000000" w:themeColor="text1"/>
        </w:rPr>
        <w:t>Related ST1 strains vary in their virulence and protection phenotypes</w:t>
      </w:r>
      <w:r>
        <w:rPr>
          <w:b/>
          <w:bCs/>
          <w:color w:val="000000" w:themeColor="text1"/>
        </w:rPr>
        <w:t xml:space="preserve">. </w:t>
      </w:r>
      <w:r>
        <w:rPr>
          <w:color w:val="000000" w:themeColor="text1"/>
        </w:rPr>
        <w:t xml:space="preserve">(A) Schema for screening virulence for </w:t>
      </w:r>
      <w:r w:rsidRPr="00C54B21">
        <w:rPr>
          <w:i/>
          <w:iCs/>
          <w:color w:val="000000" w:themeColor="text1"/>
        </w:rPr>
        <w:t>C. difficile</w:t>
      </w:r>
      <w:r>
        <w:rPr>
          <w:color w:val="000000" w:themeColor="text1"/>
        </w:rPr>
        <w:t xml:space="preserve"> strain in mice. (B) R</w:t>
      </w:r>
      <w:r w:rsidRPr="00C54B21">
        <w:rPr>
          <w:color w:val="000000" w:themeColor="text1"/>
        </w:rPr>
        <w:t>anked virulence estimates across ST1 strains</w:t>
      </w:r>
      <w:r>
        <w:rPr>
          <w:color w:val="000000" w:themeColor="text1"/>
        </w:rPr>
        <w:t xml:space="preserve">, </w:t>
      </w:r>
      <w:r w:rsidRPr="00C54B21">
        <w:rPr>
          <w:color w:val="000000" w:themeColor="text1"/>
        </w:rPr>
        <w:t>R20291 and VPI10463, error bars showing uncertainty on each estimate</w:t>
      </w:r>
      <w:r>
        <w:rPr>
          <w:color w:val="000000" w:themeColor="text1"/>
        </w:rPr>
        <w:t xml:space="preserve">. (C) Mean </w:t>
      </w:r>
      <w:r w:rsidRPr="00C54B21">
        <w:rPr>
          <w:color w:val="000000" w:themeColor="text1"/>
        </w:rPr>
        <w:t>weight trajectories following infection with each ST1 strain, R20291, VPI10463, and uninfected control</w:t>
      </w:r>
      <w:r>
        <w:rPr>
          <w:color w:val="000000" w:themeColor="text1"/>
        </w:rPr>
        <w:t>.</w:t>
      </w:r>
    </w:p>
    <w:p w14:paraId="6998B671" w14:textId="031DFF22" w:rsidR="003569C4" w:rsidRPr="00CB0F78" w:rsidRDefault="00C54B21" w:rsidP="00CB0F78">
      <w:pPr>
        <w:pStyle w:val="BodyText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CB0F78">
        <w:rPr>
          <w:b/>
          <w:bCs/>
          <w:color w:val="000000" w:themeColor="text1"/>
        </w:rPr>
        <w:t xml:space="preserve">Supplementary </w:t>
      </w:r>
      <w:r w:rsidR="00CB0F78" w:rsidRPr="003569C4">
        <w:rPr>
          <w:b/>
          <w:bCs/>
          <w:color w:val="000000" w:themeColor="text1"/>
        </w:rPr>
        <w:t xml:space="preserve">Figure </w:t>
      </w:r>
      <w:r w:rsidR="00CB0F78">
        <w:rPr>
          <w:b/>
          <w:bCs/>
          <w:color w:val="000000" w:themeColor="text1"/>
        </w:rPr>
        <w:t>2</w:t>
      </w:r>
      <w:r w:rsidR="00CB0F78">
        <w:rPr>
          <w:b/>
          <w:bCs/>
          <w:color w:val="000000" w:themeColor="text1"/>
        </w:rPr>
        <w:t>:</w:t>
      </w:r>
      <w:r w:rsidR="00CB0F78">
        <w:rPr>
          <w:b/>
          <w:bCs/>
          <w:color w:val="000000" w:themeColor="text1"/>
        </w:rPr>
        <w:t xml:space="preserve"> </w:t>
      </w:r>
      <w:r w:rsidR="00CB0F78" w:rsidRPr="00CB0F78">
        <w:rPr>
          <w:b/>
          <w:bCs/>
          <w:color w:val="000000" w:themeColor="text1"/>
        </w:rPr>
        <w:t>ST1 pre-colonization protects against weight loss from R20291 and VPI10463 challenge</w:t>
      </w:r>
      <w:r w:rsidR="00CB0F78">
        <w:rPr>
          <w:b/>
          <w:bCs/>
          <w:color w:val="000000" w:themeColor="text1"/>
        </w:rPr>
        <w:t xml:space="preserve">. </w:t>
      </w:r>
      <w:r w:rsidR="00CB0F78">
        <w:rPr>
          <w:color w:val="000000" w:themeColor="text1"/>
        </w:rPr>
        <w:t xml:space="preserve">(A) </w:t>
      </w:r>
      <w:r w:rsidR="00CB0F78" w:rsidRPr="00CB0F78">
        <w:rPr>
          <w:color w:val="000000" w:themeColor="text1"/>
        </w:rPr>
        <w:t xml:space="preserve">Schematic of the </w:t>
      </w:r>
      <w:r w:rsidR="00CB0F78">
        <w:rPr>
          <w:color w:val="000000" w:themeColor="text1"/>
        </w:rPr>
        <w:t>secondary</w:t>
      </w:r>
      <w:r w:rsidR="00CB0F78" w:rsidRPr="00CB0F78">
        <w:rPr>
          <w:color w:val="000000" w:themeColor="text1"/>
        </w:rPr>
        <w:t xml:space="preserve"> challenge protocol, ST1 spore gavage follow</w:t>
      </w:r>
      <w:r w:rsidR="00CB0F78">
        <w:rPr>
          <w:color w:val="000000" w:themeColor="text1"/>
        </w:rPr>
        <w:t xml:space="preserve">ed by </w:t>
      </w:r>
      <w:r w:rsidR="00CB0F78" w:rsidRPr="00CB0F78">
        <w:rPr>
          <w:color w:val="000000" w:themeColor="text1"/>
        </w:rPr>
        <w:t xml:space="preserve">a second </w:t>
      </w:r>
      <w:r w:rsidR="00CB0F78">
        <w:rPr>
          <w:color w:val="000000" w:themeColor="text1"/>
        </w:rPr>
        <w:t>antibiotic</w:t>
      </w:r>
      <w:r w:rsidR="00CB0F78" w:rsidRPr="00CB0F78">
        <w:rPr>
          <w:color w:val="000000" w:themeColor="text1"/>
        </w:rPr>
        <w:t xml:space="preserve"> course and spore gavage with the virulent challenge strain</w:t>
      </w:r>
      <w:r w:rsidR="00CB0F78">
        <w:rPr>
          <w:color w:val="000000" w:themeColor="text1"/>
        </w:rPr>
        <w:t xml:space="preserve">. (B) </w:t>
      </w:r>
      <w:r w:rsidR="00CB0F78" w:rsidRPr="00CB0F78">
        <w:rPr>
          <w:color w:val="000000" w:themeColor="text1"/>
        </w:rPr>
        <w:t>Relative weight trajectories in mice pre-colonized with ST1-75 or ST1-68 before VPI10463 challenge, compared to PBS pre-treated controls challenged with VPI10463, dashed lines marking each gavage timepoint</w:t>
      </w:r>
      <w:r w:rsidR="00CB0F78">
        <w:rPr>
          <w:color w:val="000000" w:themeColor="text1"/>
        </w:rPr>
        <w:t xml:space="preserve">. (C) </w:t>
      </w:r>
      <w:r w:rsidR="00CB0F78" w:rsidRPr="00CB0F78">
        <w:rPr>
          <w:color w:val="000000" w:themeColor="text1"/>
        </w:rPr>
        <w:t>Relative weight trajectories in mice pre-colonized with ST1-75 or ST1-68 before</w:t>
      </w:r>
      <w:r w:rsidR="00CB0F78">
        <w:rPr>
          <w:color w:val="000000" w:themeColor="text1"/>
        </w:rPr>
        <w:t xml:space="preserve"> virulent</w:t>
      </w:r>
      <w:r w:rsidR="00CB0F78" w:rsidRPr="00CB0F78">
        <w:rPr>
          <w:color w:val="000000" w:themeColor="text1"/>
        </w:rPr>
        <w:t xml:space="preserve"> R20291 challenge, compared to PBS pre-treated controls challenged with R2029</w:t>
      </w:r>
      <w:r w:rsidR="00CB0F78">
        <w:rPr>
          <w:color w:val="000000" w:themeColor="text1"/>
        </w:rPr>
        <w:t xml:space="preserve">1. (D) </w:t>
      </w:r>
      <w:r w:rsidR="00CB0F78" w:rsidRPr="00CB0F78">
        <w:rPr>
          <w:color w:val="000000" w:themeColor="text1"/>
        </w:rPr>
        <w:t>Schematic of the co-infection protocol, simultaneous ST1 and VPI10463 spore gavage</w:t>
      </w:r>
      <w:r w:rsidR="00CB0F78">
        <w:rPr>
          <w:color w:val="000000" w:themeColor="text1"/>
        </w:rPr>
        <w:t xml:space="preserve">. (E) </w:t>
      </w:r>
      <w:r w:rsidR="00CB0F78" w:rsidRPr="00CB0F78">
        <w:rPr>
          <w:color w:val="000000" w:themeColor="text1"/>
        </w:rPr>
        <w:t>Individual and mean weight trajectories for co-infection of each ST1 strain with VPI10463</w:t>
      </w:r>
      <w:r w:rsidR="00CB0F78">
        <w:rPr>
          <w:color w:val="000000" w:themeColor="text1"/>
        </w:rPr>
        <w:t>.</w:t>
      </w:r>
    </w:p>
    <w:p w14:paraId="660C2BC6" w14:textId="50D0A6C1" w:rsidR="00D35E20" w:rsidRDefault="00DE4B43" w:rsidP="00DE4B43">
      <w:pPr>
        <w:pStyle w:val="BodyText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Supplementary </w:t>
      </w:r>
      <w:r w:rsidRPr="003569C4">
        <w:rPr>
          <w:b/>
          <w:bCs/>
          <w:color w:val="000000" w:themeColor="text1"/>
        </w:rPr>
        <w:t xml:space="preserve">Figure </w:t>
      </w:r>
      <w:r w:rsidR="00CB0F78">
        <w:rPr>
          <w:b/>
          <w:bCs/>
          <w:color w:val="000000" w:themeColor="text1"/>
        </w:rPr>
        <w:t>3</w:t>
      </w:r>
      <w:r>
        <w:rPr>
          <w:b/>
          <w:bCs/>
          <w:color w:val="000000" w:themeColor="text1"/>
        </w:rPr>
        <w:t xml:space="preserve">: </w:t>
      </w:r>
      <w:proofErr w:type="spellStart"/>
      <w:r w:rsidRPr="00DE4B43">
        <w:rPr>
          <w:b/>
          <w:bCs/>
          <w:color w:val="000000" w:themeColor="text1"/>
        </w:rPr>
        <w:t>tSNE</w:t>
      </w:r>
      <w:proofErr w:type="spellEnd"/>
      <w:r w:rsidRPr="00DE4B43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plots</w:t>
      </w:r>
      <w:r w:rsidRPr="00DE4B43">
        <w:rPr>
          <w:b/>
          <w:bCs/>
          <w:color w:val="000000" w:themeColor="text1"/>
        </w:rPr>
        <w:t xml:space="preserve"> of adaptive and innate immune cell populations by cell type and infection </w:t>
      </w:r>
      <w:r>
        <w:rPr>
          <w:b/>
          <w:bCs/>
          <w:color w:val="000000" w:themeColor="text1"/>
        </w:rPr>
        <w:t xml:space="preserve">type. </w:t>
      </w:r>
      <w:r w:rsidRPr="00DE4B43">
        <w:rPr>
          <w:color w:val="000000" w:themeColor="text1"/>
        </w:rPr>
        <w:t>(</w:t>
      </w:r>
      <w:r>
        <w:rPr>
          <w:color w:val="000000" w:themeColor="text1"/>
        </w:rPr>
        <w:t xml:space="preserve">A) </w:t>
      </w:r>
      <w:proofErr w:type="spellStart"/>
      <w:r w:rsidRPr="00DE4B43">
        <w:rPr>
          <w:color w:val="000000" w:themeColor="text1"/>
        </w:rPr>
        <w:t>tSNE</w:t>
      </w:r>
      <w:proofErr w:type="spellEnd"/>
      <w:r w:rsidRPr="00DE4B43">
        <w:rPr>
          <w:color w:val="000000" w:themeColor="text1"/>
        </w:rPr>
        <w:t xml:space="preserve"> </w:t>
      </w:r>
      <w:r>
        <w:rPr>
          <w:color w:val="000000" w:themeColor="text1"/>
        </w:rPr>
        <w:t>plot</w:t>
      </w:r>
      <w:r w:rsidRPr="00DE4B43">
        <w:rPr>
          <w:color w:val="000000" w:themeColor="text1"/>
        </w:rPr>
        <w:t xml:space="preserve"> </w:t>
      </w:r>
      <w:r>
        <w:rPr>
          <w:color w:val="000000" w:themeColor="text1"/>
        </w:rPr>
        <w:t>for</w:t>
      </w:r>
      <w:r w:rsidRPr="00DE4B43">
        <w:rPr>
          <w:color w:val="000000" w:themeColor="text1"/>
        </w:rPr>
        <w:t xml:space="preserve"> adaptive immune cell populations, colored by cell type (B cells, CD4+ and CD8+ T cells, NK cells, and related subsets)</w:t>
      </w:r>
      <w:r>
        <w:rPr>
          <w:color w:val="000000" w:themeColor="text1"/>
        </w:rPr>
        <w:t xml:space="preserve">. (B) </w:t>
      </w:r>
      <w:r w:rsidRPr="00DE4B43">
        <w:rPr>
          <w:color w:val="000000" w:themeColor="text1"/>
        </w:rPr>
        <w:t xml:space="preserve">The same adaptive </w:t>
      </w:r>
      <w:proofErr w:type="spellStart"/>
      <w:r w:rsidRPr="00DE4B43">
        <w:rPr>
          <w:color w:val="000000" w:themeColor="text1"/>
        </w:rPr>
        <w:t>tSNE</w:t>
      </w:r>
      <w:proofErr w:type="spellEnd"/>
      <w:r w:rsidRPr="00DE4B43">
        <w:rPr>
          <w:color w:val="000000" w:themeColor="text1"/>
        </w:rPr>
        <w:t xml:space="preserve"> embedding, colored by infection group (untreated versus ST1-75 colonized)</w:t>
      </w:r>
      <w:r>
        <w:rPr>
          <w:color w:val="000000" w:themeColor="text1"/>
        </w:rPr>
        <w:t xml:space="preserve">. (C) </w:t>
      </w:r>
      <w:proofErr w:type="spellStart"/>
      <w:r w:rsidRPr="00DE4B43">
        <w:rPr>
          <w:color w:val="000000" w:themeColor="text1"/>
        </w:rPr>
        <w:t>tSNE</w:t>
      </w:r>
      <w:proofErr w:type="spellEnd"/>
      <w:r w:rsidRPr="00DE4B43">
        <w:rPr>
          <w:color w:val="000000" w:themeColor="text1"/>
        </w:rPr>
        <w:t xml:space="preserve"> </w:t>
      </w:r>
      <w:r>
        <w:rPr>
          <w:color w:val="000000" w:themeColor="text1"/>
        </w:rPr>
        <w:t>plot</w:t>
      </w:r>
      <w:r w:rsidRPr="00DE4B43">
        <w:rPr>
          <w:color w:val="000000" w:themeColor="text1"/>
        </w:rPr>
        <w:t xml:space="preserve"> </w:t>
      </w:r>
      <w:r>
        <w:rPr>
          <w:color w:val="000000" w:themeColor="text1"/>
        </w:rPr>
        <w:t>for</w:t>
      </w:r>
      <w:r w:rsidRPr="00DE4B43">
        <w:rPr>
          <w:color w:val="000000" w:themeColor="text1"/>
        </w:rPr>
        <w:t xml:space="preserve"> innate immune cell populations, colored by cell type (dendritic cell subsets, macrophages, monocytes, neutrophils)</w:t>
      </w:r>
      <w:r>
        <w:rPr>
          <w:color w:val="000000" w:themeColor="text1"/>
        </w:rPr>
        <w:t xml:space="preserve">. (D) </w:t>
      </w:r>
      <w:r w:rsidRPr="00DE4B43">
        <w:rPr>
          <w:color w:val="000000" w:themeColor="text1"/>
        </w:rPr>
        <w:t xml:space="preserve">The same innate </w:t>
      </w:r>
      <w:proofErr w:type="spellStart"/>
      <w:r w:rsidRPr="00DE4B43">
        <w:rPr>
          <w:color w:val="000000" w:themeColor="text1"/>
        </w:rPr>
        <w:t>tSNE</w:t>
      </w:r>
      <w:proofErr w:type="spellEnd"/>
      <w:r w:rsidRPr="00DE4B43">
        <w:rPr>
          <w:color w:val="000000" w:themeColor="text1"/>
        </w:rPr>
        <w:t xml:space="preserve"> embedding, colored by infection group</w:t>
      </w:r>
      <w:r>
        <w:rPr>
          <w:color w:val="000000" w:themeColor="text1"/>
        </w:rPr>
        <w:t>.</w:t>
      </w:r>
    </w:p>
    <w:p w14:paraId="6985C0F1" w14:textId="03D436A3" w:rsidR="00DE4B43" w:rsidRPr="008658C8" w:rsidRDefault="00DE4B43" w:rsidP="008658C8">
      <w:pPr>
        <w:pStyle w:val="BodyText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Supplementary </w:t>
      </w:r>
      <w:r w:rsidRPr="003569C4">
        <w:rPr>
          <w:b/>
          <w:bCs/>
          <w:color w:val="000000" w:themeColor="text1"/>
        </w:rPr>
        <w:t xml:space="preserve">Figure </w:t>
      </w:r>
      <w:r w:rsidR="00CB0F78">
        <w:rPr>
          <w:b/>
          <w:bCs/>
          <w:color w:val="000000" w:themeColor="text1"/>
        </w:rPr>
        <w:t>4</w:t>
      </w:r>
      <w:r>
        <w:rPr>
          <w:b/>
          <w:bCs/>
          <w:color w:val="000000" w:themeColor="text1"/>
        </w:rPr>
        <w:t xml:space="preserve">: Remnant </w:t>
      </w:r>
      <w:r w:rsidRPr="00DE4B43">
        <w:rPr>
          <w:b/>
          <w:bCs/>
          <w:color w:val="000000" w:themeColor="text1"/>
        </w:rPr>
        <w:t>microbiota composition and beta diversity across ST1-75 and ST1-12 coloniz</w:t>
      </w:r>
      <w:r>
        <w:rPr>
          <w:b/>
          <w:bCs/>
          <w:color w:val="000000" w:themeColor="text1"/>
        </w:rPr>
        <w:t xml:space="preserve">ed mice. </w:t>
      </w:r>
      <w:r w:rsidR="008658C8">
        <w:rPr>
          <w:color w:val="000000" w:themeColor="text1"/>
        </w:rPr>
        <w:t xml:space="preserve">(A) </w:t>
      </w:r>
      <w:r w:rsidR="008658C8" w:rsidRPr="008658C8">
        <w:rPr>
          <w:color w:val="000000" w:themeColor="text1"/>
        </w:rPr>
        <w:t xml:space="preserve">Relative abundance of gut taxa at Day 1, Day 2, and Day 7 in uninfected mice versus ST1-75 and ST1-12 colonized mice, by </w:t>
      </w:r>
      <w:r w:rsidR="008658C8">
        <w:rPr>
          <w:color w:val="000000" w:themeColor="text1"/>
        </w:rPr>
        <w:t>top 10</w:t>
      </w:r>
      <w:r w:rsidR="008658C8" w:rsidRPr="008658C8">
        <w:rPr>
          <w:color w:val="000000" w:themeColor="text1"/>
        </w:rPr>
        <w:t xml:space="preserve"> genus-level taxon</w:t>
      </w:r>
      <w:r w:rsidR="008658C8">
        <w:rPr>
          <w:color w:val="000000" w:themeColor="text1"/>
        </w:rPr>
        <w:t xml:space="preserve">. (B) </w:t>
      </w:r>
      <w:r w:rsidR="008658C8" w:rsidRPr="008658C8">
        <w:rPr>
          <w:color w:val="000000" w:themeColor="text1"/>
        </w:rPr>
        <w:t xml:space="preserve">Bray-Curtis </w:t>
      </w:r>
      <w:proofErr w:type="spellStart"/>
      <w:r w:rsidR="008658C8" w:rsidRPr="008658C8">
        <w:rPr>
          <w:color w:val="000000" w:themeColor="text1"/>
        </w:rPr>
        <w:t>PCoA</w:t>
      </w:r>
      <w:proofErr w:type="spellEnd"/>
      <w:r w:rsidR="008658C8" w:rsidRPr="008658C8">
        <w:rPr>
          <w:color w:val="000000" w:themeColor="text1"/>
        </w:rPr>
        <w:t xml:space="preserve"> of beta diversity comparing ST1-75 and ST1-12 colonized mice at Day 1, Day 2, and Day 7, with percent variance explained on each axis</w:t>
      </w:r>
      <w:r w:rsidR="008658C8">
        <w:rPr>
          <w:color w:val="000000" w:themeColor="text1"/>
        </w:rPr>
        <w:t>.</w:t>
      </w:r>
    </w:p>
    <w:p w14:paraId="23892833" w14:textId="77777777" w:rsidR="00D35E20" w:rsidRPr="00D35E20" w:rsidRDefault="00D35E20" w:rsidP="00D35E20">
      <w:pPr>
        <w:pStyle w:val="BodyText"/>
        <w:rPr>
          <w:color w:val="000000" w:themeColor="text1"/>
        </w:rPr>
      </w:pPr>
    </w:p>
    <w:p w14:paraId="7D7A763E" w14:textId="558ACDA7" w:rsidR="005057BB" w:rsidRDefault="005057BB"/>
    <w:sectPr w:rsidR="0050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20"/>
    <w:rsid w:val="000235AA"/>
    <w:rsid w:val="0005399D"/>
    <w:rsid w:val="000E1954"/>
    <w:rsid w:val="001A1862"/>
    <w:rsid w:val="00224336"/>
    <w:rsid w:val="003569C4"/>
    <w:rsid w:val="003B4273"/>
    <w:rsid w:val="003D4785"/>
    <w:rsid w:val="004302C0"/>
    <w:rsid w:val="00451DC3"/>
    <w:rsid w:val="00503467"/>
    <w:rsid w:val="005057BB"/>
    <w:rsid w:val="007A292D"/>
    <w:rsid w:val="008658C8"/>
    <w:rsid w:val="008C0487"/>
    <w:rsid w:val="009633E5"/>
    <w:rsid w:val="00995E48"/>
    <w:rsid w:val="00A412E6"/>
    <w:rsid w:val="00A800FC"/>
    <w:rsid w:val="00AE755C"/>
    <w:rsid w:val="00C54B21"/>
    <w:rsid w:val="00CB0F78"/>
    <w:rsid w:val="00D35E20"/>
    <w:rsid w:val="00D35F8F"/>
    <w:rsid w:val="00D76AFA"/>
    <w:rsid w:val="00D97C24"/>
    <w:rsid w:val="00DA7DD7"/>
    <w:rsid w:val="00DE4B43"/>
    <w:rsid w:val="00E10DA2"/>
    <w:rsid w:val="00E91123"/>
    <w:rsid w:val="00EC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54468"/>
  <w15:chartTrackingRefBased/>
  <w15:docId w15:val="{2A24B144-0186-3A47-871D-2AF0A9C1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E2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D35E20"/>
    <w:pPr>
      <w:spacing w:before="180" w:after="18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D35E20"/>
    <w:rPr>
      <w:rFonts w:eastAsiaTheme="minorEastAsia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Vishwas</dc:creator>
  <cp:keywords/>
  <dc:description/>
  <cp:lastModifiedBy>Mishra, Vishwas</cp:lastModifiedBy>
  <cp:revision>2</cp:revision>
  <dcterms:created xsi:type="dcterms:W3CDTF">2026-09-02T17:45:00Z</dcterms:created>
  <dcterms:modified xsi:type="dcterms:W3CDTF">2026-09-03T19:45:00Z</dcterms:modified>
</cp:coreProperties>
</file>