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00"/>
      </w:pPr>
      <w:r>
        <w:rPr>
          <w:rFonts w:ascii="Calibri" w:hAnsi="Calibri"/>
          <w:b/>
          <w:color w:val="0F172A"/>
          <w:sz w:val="36"/>
        </w:rPr>
        <w:t>SCHOOL OF DATA SCIENCE &amp; BIG DATA ANALYTICS</w:t>
      </w:r>
    </w:p>
    <w:p>
      <w:pPr>
        <w:pStyle w:val="Heading2"/>
        <w:spacing w:before="240" w:after="80"/>
      </w:pPr>
      <w:r>
        <w:rPr>
          <w:rFonts w:ascii="Calibri" w:hAnsi="Calibri"/>
          <w:b/>
          <w:color w:val="1E3A8A"/>
          <w:sz w:val="28"/>
        </w:rPr>
        <w:t>M.Sc BIG DATA ANALYTICS</w:t>
      </w:r>
    </w:p>
    <w:p>
      <w:pPr>
        <w:pStyle w:val="Heading3"/>
        <w:spacing w:before="200" w:after="60"/>
      </w:pPr>
      <w:r>
        <w:rPr>
          <w:rFonts w:ascii="Calibri" w:hAnsi="Calibri"/>
          <w:b/>
          <w:color w:val="334155"/>
          <w:sz w:val="24"/>
        </w:rPr>
        <w:t>Research Project Report</w:t>
      </w:r>
    </w:p>
    <w:p>
      <w:pPr>
        <w:pStyle w:val="Heading1"/>
        <w:spacing w:before="280" w:after="100"/>
      </w:pPr>
      <w:r>
        <w:rPr>
          <w:rFonts w:ascii="Calibri" w:hAnsi="Calibri"/>
          <w:b/>
          <w:color w:val="0F172A"/>
          <w:sz w:val="36"/>
        </w:rPr>
        <w:t>100,000-LOAN CREDIT RISK &amp; DEFAULT PREDICTION SYSTEM USING CALIBRATED MACHINE LEARNING AND EXPLAINABLE AI</w:t>
      </w:r>
    </w:p>
    <w:p>
      <w:pPr>
        <w:spacing w:after="100" w:line="276" w:lineRule="auto"/>
      </w:pPr>
      <w:r/>
      <w:r>
        <w:rPr>
          <w:b/>
        </w:rPr>
        <w:t>Domain:</w:t>
      </w:r>
      <w:r>
        <w:t xml:space="preserve"> Banking</w:t>
      </w:r>
    </w:p>
    <w:p>
      <w:pPr>
        <w:spacing w:after="100" w:line="276" w:lineRule="auto"/>
      </w:pPr>
      <w:r/>
      <w:r>
        <w:rPr>
          <w:b/>
        </w:rPr>
        <w:t>Submitted by:</w:t>
      </w:r>
      <w:r/>
    </w:p>
    <w:p>
      <w:pPr>
        <w:spacing w:after="100" w:line="276" w:lineRule="auto"/>
      </w:pPr>
      <w:r/>
      <w:r>
        <w:rPr>
          <w:b/>
        </w:rPr>
        <w:t>Vimal Kansotia</w:t>
      </w:r>
      <w:r/>
    </w:p>
    <w:p>
      <w:pPr>
        <w:spacing w:after="100" w:line="276" w:lineRule="auto"/>
      </w:pPr>
      <w:r/>
      <w:r>
        <w:rPr>
          <w:b/>
        </w:rPr>
        <w:t>Roll No. / UID:</w:t>
      </w:r>
      <w:r>
        <w:t xml:space="preserve"> 2509038</w:t>
      </w:r>
    </w:p>
    <w:p>
      <w:pPr>
        <w:spacing w:after="100" w:line="276" w:lineRule="auto"/>
      </w:pPr>
      <w:r/>
      <w:r>
        <w:rPr>
          <w:b/>
        </w:rPr>
        <w:t>Under the guidance of:</w:t>
      </w:r>
      <w:r/>
    </w:p>
    <w:p>
      <w:pPr>
        <w:spacing w:after="100" w:line="276" w:lineRule="auto"/>
      </w:pPr>
      <w:r/>
      <w:r>
        <w:rPr>
          <w:b/>
        </w:rPr>
        <w:t>Prof. Ameya Chitnis</w:t>
      </w:r>
      <w:r/>
    </w:p>
    <w:p>
      <w:pPr>
        <w:spacing w:after="100" w:line="276" w:lineRule="auto"/>
      </w:pPr>
      <w:r/>
      <w:r>
        <w:rPr>
          <w:b/>
        </w:rPr>
        <w:t>Academic Year:</w:t>
      </w:r>
      <w:r>
        <w:t xml:space="preserve"> September, 2026</w:t>
      </w:r>
    </w:p>
    <w:p>
      <w:r>
        <w:br w:type="page"/>
      </w:r>
    </w:p>
    <w:p>
      <w:pPr>
        <w:pStyle w:val="Heading2"/>
        <w:spacing w:before="240" w:after="80"/>
      </w:pPr>
      <w:r>
        <w:rPr>
          <w:rFonts w:ascii="Calibri" w:hAnsi="Calibri"/>
          <w:b/>
          <w:color w:val="1E3A8A"/>
          <w:sz w:val="28"/>
        </w:rPr>
        <w:t>Certificate of Originality</w:t>
      </w:r>
    </w:p>
    <w:p>
      <w:pPr>
        <w:spacing w:after="100" w:line="276" w:lineRule="auto"/>
      </w:pPr>
      <w:r>
        <w:t xml:space="preserve">This is to certify that the project report entitled </w:t>
      </w:r>
      <w:r>
        <w:rPr>
          <w:b/>
        </w:rPr>
        <w:t>"100,000-Loan Credit Risk &amp; Default Prediction System Using Calibrated Machine Learning and Explainable AI"</w:t>
      </w:r>
      <w:r>
        <w:t xml:space="preserve"> submitted in partial fulfilment of the requirements for the degree of </w:t>
      </w:r>
      <w:r>
        <w:rPr>
          <w:b/>
        </w:rPr>
        <w:t>M.Sc Big Data Analytics</w:t>
      </w:r>
      <w:r>
        <w:t xml:space="preserve"> is a bona fide record of work carried out by </w:t>
      </w:r>
      <w:r>
        <w:rPr>
          <w:b/>
        </w:rPr>
        <w:t>Vimal Kansotia</w:t>
      </w:r>
      <w:r>
        <w:t xml:space="preserve">, Roll No. / UID: </w:t>
      </w:r>
      <w:r>
        <w:rPr>
          <w:b/>
        </w:rPr>
        <w:t>2509038</w:t>
      </w:r>
      <w:r>
        <w:t>, under my supervision.</w:t>
      </w:r>
    </w:p>
    <w:p>
      <w:pPr>
        <w:spacing w:after="100" w:line="276" w:lineRule="auto"/>
      </w:pPr>
      <w:r>
        <w:t>The work presented in this report is original and has not been submitted, in part or in full, for the award of any other degree or diploma of this or any other institution.</w:t>
      </w:r>
    </w:p>
    <w:p>
      <w:pPr>
        <w:spacing w:after="100" w:line="276" w:lineRule="auto"/>
      </w:pPr>
      <w:r>
        <w:t>\vspace{1.5cm}</w:t>
      </w:r>
    </w:p>
    <w:p>
      <w:pPr>
        <w:spacing w:after="100" w:line="276" w:lineRule="auto"/>
      </w:pPr>
      <w:r/>
      <w:r>
        <w:rPr>
          <w:b/>
        </w:rPr>
        <w:t>Date:</w:t>
      </w:r>
      <w:r>
        <w:t xml:space="preserve"> September 10, 2026</w:t>
      </w:r>
    </w:p>
    <w:p>
      <w:pPr>
        <w:spacing w:after="100" w:line="276" w:lineRule="auto"/>
      </w:pPr>
      <w:r/>
      <w:r>
        <w:rPr>
          <w:b/>
        </w:rPr>
        <w:t>Place:</w:t>
      </w:r>
      <w:r>
        <w:t xml:space="preserve"> Mumbai, India</w:t>
      </w:r>
    </w:p>
    <w:p>
      <w:pPr>
        <w:spacing w:after="100" w:line="276" w:lineRule="auto"/>
      </w:pPr>
      <w:r>
        <w:t>\vspace{2cm}</w:t>
      </w:r>
    </w:p>
    <w:p>
      <w:pPr>
        <w:spacing w:after="100" w:line="276" w:lineRule="auto"/>
      </w:pPr>
      <w:r>
        <w:t>______________________________________ &amp;nbsp;&amp;nbsp;&amp;nbsp;&amp;nbsp;&amp;nbsp;&amp;nbsp;&amp;nbsp;&amp;nbsp;&amp;nbsp;&amp;nbsp;&amp;nbsp;&amp;nbsp;&amp;nbsp;&amp;nbsp;&amp;nbsp;&amp;nbsp;&amp;nbsp;&amp;nbsp;&amp;nbsp;&amp;nbsp;&amp;nbsp;&amp;nbsp;&amp;nbsp;&amp;nbsp; ______________________________________</w:t>
      </w:r>
    </w:p>
    <w:p>
      <w:pPr>
        <w:spacing w:after="100" w:line="276" w:lineRule="auto"/>
      </w:pPr>
      <w:r/>
      <w:r>
        <w:rPr>
          <w:b/>
        </w:rPr>
        <w:t>Vimal Kansotia</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Prof. Ameya Chitnis</w:t>
      </w:r>
      <w:r/>
    </w:p>
    <w:p>
      <w:pPr>
        <w:spacing w:after="100" w:line="276" w:lineRule="auto"/>
      </w:pPr>
      <w:r>
        <w:t>*(Student Signature)*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*(Faculty Research Advisor)*</w:t>
      </w:r>
    </w:p>
    <w:p>
      <w:r>
        <w:br w:type="page"/>
      </w:r>
    </w:p>
    <w:p>
      <w:pPr>
        <w:pStyle w:val="Heading2"/>
        <w:spacing w:before="240" w:after="80"/>
      </w:pPr>
      <w:r>
        <w:rPr>
          <w:rFonts w:ascii="Calibri" w:hAnsi="Calibri"/>
          <w:b/>
          <w:color w:val="1E3A8A"/>
          <w:sz w:val="28"/>
        </w:rPr>
        <w:t>Acknowledgement</w:t>
      </w:r>
    </w:p>
    <w:p>
      <w:pPr>
        <w:spacing w:after="100" w:line="276" w:lineRule="auto"/>
      </w:pPr>
      <w:r>
        <w:t xml:space="preserve">I express my deepest gratitude to my faculty research guide, </w:t>
      </w:r>
      <w:r>
        <w:rPr>
          <w:b/>
        </w:rPr>
        <w:t>Prof. Ameya Chitnis</w:t>
      </w:r>
      <w:r>
        <w:t>, for his invaluable guidance, continuous intellectual mentorship, and critical technical feedback throughout this research project. His domain expertise in financial econometrics and rigorous machine learning methodologies was instrumental in framing the credit risk underwriting architecture and ensuring a leakage-free experimental design.</w:t>
      </w:r>
    </w:p>
    <w:p>
      <w:pPr>
        <w:spacing w:after="100" w:line="276" w:lineRule="auto"/>
      </w:pPr>
      <w:r>
        <w:t>I would also like to thank the faculty members, laboratory staff, and the Department of Big Data Analytics for providing the computational infrastructure, academic support, and encouragement necessary to complete this research. Lastly, I extend my appreciation to the open-source community behind Scikit-Learn, LightGBM, SHAP, and Streamlit for developing the analytical tools that powered this end-to-end institutional underwriting system.</w:t>
      </w:r>
    </w:p>
    <w:p>
      <w:r>
        <w:br w:type="page"/>
      </w:r>
    </w:p>
    <w:p>
      <w:pPr>
        <w:pStyle w:val="Heading2"/>
        <w:spacing w:before="240" w:after="80"/>
      </w:pPr>
      <w:r>
        <w:rPr>
          <w:rFonts w:ascii="Calibri" w:hAnsi="Calibri"/>
          <w:b/>
          <w:color w:val="1E3A8A"/>
          <w:sz w:val="28"/>
        </w:rPr>
        <w:t>Table of Contents</w:t>
      </w:r>
    </w:p>
    <w:p>
      <w:pPr>
        <w:pStyle w:val="ListBullet"/>
        <w:spacing w:after="60" w:line="276" w:lineRule="auto"/>
      </w:pPr>
      <w:r/>
      <w:r>
        <w:rPr>
          <w:b/>
        </w:rPr>
        <w:t>Certificate of Originality</w:t>
      </w:r>
      <w:r>
        <w:t xml:space="preserve"> ........................................................................ ii</w:t>
      </w:r>
    </w:p>
    <w:p>
      <w:pPr>
        <w:pStyle w:val="ListBullet"/>
        <w:spacing w:after="60" w:line="276" w:lineRule="auto"/>
      </w:pPr>
      <w:r/>
      <w:r>
        <w:rPr>
          <w:b/>
        </w:rPr>
        <w:t>Acknowledgement</w:t>
      </w:r>
      <w:r>
        <w:t xml:space="preserve"> ................................................................................. iii</w:t>
      </w:r>
    </w:p>
    <w:p>
      <w:pPr>
        <w:pStyle w:val="ListBullet"/>
        <w:spacing w:after="60" w:line="276" w:lineRule="auto"/>
      </w:pPr>
      <w:r/>
      <w:r>
        <w:rPr>
          <w:b/>
        </w:rPr>
        <w:t>List of Figures</w:t>
      </w:r>
      <w:r>
        <w:t xml:space="preserve"> .................................................................................... v</w:t>
      </w:r>
    </w:p>
    <w:p>
      <w:pPr>
        <w:pStyle w:val="ListBullet"/>
        <w:spacing w:after="60" w:line="276" w:lineRule="auto"/>
      </w:pPr>
      <w:r/>
      <w:r>
        <w:rPr>
          <w:b/>
        </w:rPr>
        <w:t>List of Tables</w:t>
      </w:r>
      <w:r>
        <w:t xml:space="preserve"> ..................................................................................... vi</w:t>
      </w:r>
    </w:p>
    <w:p>
      <w:pPr>
        <w:pStyle w:val="ListBullet"/>
        <w:spacing w:after="60" w:line="276" w:lineRule="auto"/>
      </w:pPr>
      <w:r/>
      <w:r>
        <w:rPr>
          <w:b/>
        </w:rPr>
        <w:t>Abstract / Executive Summary</w:t>
      </w:r>
      <w:r>
        <w:t xml:space="preserve"> ..................................................................... vii</w:t>
      </w:r>
    </w:p>
    <w:p>
      <w:pPr>
        <w:pStyle w:val="Heading3"/>
        <w:spacing w:before="200" w:after="60"/>
      </w:pPr>
      <w:r>
        <w:rPr>
          <w:rFonts w:ascii="Calibri" w:hAnsi="Calibri"/>
          <w:b/>
          <w:color w:val="334155"/>
          <w:sz w:val="24"/>
        </w:rPr>
        <w:t>Chapter 1: Introduction</w:t>
      </w:r>
    </w:p>
    <w:p>
      <w:pPr>
        <w:pStyle w:val="ListBullet"/>
        <w:spacing w:after="60" w:line="276" w:lineRule="auto"/>
      </w:pPr>
      <w:r>
        <w:t>1.1 Background &amp; Motivation ......................................................................... 1</w:t>
      </w:r>
    </w:p>
    <w:p>
      <w:pPr>
        <w:pStyle w:val="ListBullet"/>
        <w:spacing w:after="60" w:line="276" w:lineRule="auto"/>
      </w:pPr>
      <w:r>
        <w:t>1.2 Business Problem Statement ..................................................................... 1</w:t>
      </w:r>
    </w:p>
    <w:p>
      <w:pPr>
        <w:pStyle w:val="ListBullet"/>
        <w:spacing w:after="60" w:line="276" w:lineRule="auto"/>
      </w:pPr>
      <w:r>
        <w:t>1.3 ML Problem Formulation .......................................................................... 2</w:t>
      </w:r>
    </w:p>
    <w:p>
      <w:pPr>
        <w:pStyle w:val="ListBullet"/>
        <w:spacing w:after="60" w:line="276" w:lineRule="auto"/>
      </w:pPr>
      <w:r>
        <w:t>1.4 Objectives &amp; Success Metrics .................................................................... 2</w:t>
      </w:r>
    </w:p>
    <w:p>
      <w:pPr>
        <w:pStyle w:val="ListBullet"/>
        <w:spacing w:after="60" w:line="276" w:lineRule="auto"/>
      </w:pPr>
      <w:r>
        <w:t>1.5 Scope &amp; Constraints .............................................................................. 3</w:t>
      </w:r>
    </w:p>
    <w:p>
      <w:pPr>
        <w:pStyle w:val="Heading3"/>
        <w:spacing w:before="200" w:after="60"/>
      </w:pPr>
      <w:r>
        <w:rPr>
          <w:rFonts w:ascii="Calibri" w:hAnsi="Calibri"/>
          <w:b/>
          <w:color w:val="334155"/>
          <w:sz w:val="24"/>
        </w:rPr>
        <w:t>Chapter 2: Data Understanding</w:t>
      </w:r>
    </w:p>
    <w:p>
      <w:pPr>
        <w:pStyle w:val="ListBullet"/>
        <w:spacing w:after="60" w:line="276" w:lineRule="auto"/>
      </w:pPr>
      <w:r>
        <w:t>2.1 Data Source(s) ................................................................................... 4</w:t>
      </w:r>
    </w:p>
    <w:p>
      <w:pPr>
        <w:pStyle w:val="ListBullet"/>
        <w:spacing w:after="60" w:line="276" w:lineRule="auto"/>
      </w:pPr>
      <w:r>
        <w:t>2.2 Data Dictionary Summary ......................................................................... 4</w:t>
      </w:r>
    </w:p>
    <w:p>
      <w:pPr>
        <w:pStyle w:val="ListBullet"/>
        <w:spacing w:after="60" w:line="276" w:lineRule="auto"/>
      </w:pPr>
      <w:r>
        <w:t>2.3 Initial Data Audit ............................................................................... 5</w:t>
      </w:r>
    </w:p>
    <w:p>
      <w:pPr>
        <w:pStyle w:val="ListBullet"/>
        <w:spacing w:after="60" w:line="276" w:lineRule="auto"/>
      </w:pPr>
      <w:r>
        <w:t>2.4 Target Variable Analysis ......................................................................... 6</w:t>
      </w:r>
    </w:p>
    <w:p>
      <w:pPr>
        <w:pStyle w:val="Heading3"/>
        <w:spacing w:before="200" w:after="60"/>
      </w:pPr>
      <w:r>
        <w:rPr>
          <w:rFonts w:ascii="Calibri" w:hAnsi="Calibri"/>
          <w:b/>
          <w:color w:val="334155"/>
          <w:sz w:val="24"/>
        </w:rPr>
        <w:t>Chapter 3: Exploratory Data Analysis</w:t>
      </w:r>
    </w:p>
    <w:p>
      <w:pPr>
        <w:pStyle w:val="ListBullet"/>
        <w:spacing w:after="60" w:line="276" w:lineRule="auto"/>
      </w:pPr>
      <w:r>
        <w:t>3.1 Univariate Analysis .............................................................................. 7</w:t>
      </w:r>
    </w:p>
    <w:p>
      <w:pPr>
        <w:pStyle w:val="ListBullet"/>
        <w:spacing w:after="60" w:line="276" w:lineRule="auto"/>
      </w:pPr>
      <w:r>
        <w:t>3.2 Bivariate Analysis ............................................................................... 8</w:t>
      </w:r>
    </w:p>
    <w:p>
      <w:pPr>
        <w:pStyle w:val="ListBullet"/>
        <w:spacing w:after="60" w:line="276" w:lineRule="auto"/>
      </w:pPr>
      <w:r>
        <w:t>3.3 Multivariate Analysis ............................................................................ 9</w:t>
      </w:r>
    </w:p>
    <w:p>
      <w:pPr>
        <w:pStyle w:val="ListBullet"/>
        <w:spacing w:after="60" w:line="276" w:lineRule="auto"/>
      </w:pPr>
      <w:r>
        <w:t>3.4 Key Insights Summary ............................................................................ 10</w:t>
      </w:r>
    </w:p>
    <w:p>
      <w:pPr>
        <w:pStyle w:val="Heading3"/>
        <w:spacing w:before="200" w:after="60"/>
      </w:pPr>
      <w:r>
        <w:rPr>
          <w:rFonts w:ascii="Calibri" w:hAnsi="Calibri"/>
          <w:b/>
          <w:color w:val="334155"/>
          <w:sz w:val="24"/>
        </w:rPr>
        <w:t>Chapter 4: Data Cleaning</w:t>
      </w:r>
    </w:p>
    <w:p>
      <w:pPr>
        <w:pStyle w:val="ListBullet"/>
        <w:spacing w:after="60" w:line="276" w:lineRule="auto"/>
      </w:pPr>
      <w:r>
        <w:t>4.1 Missing Value Treatment ......................................................................... 11</w:t>
      </w:r>
    </w:p>
    <w:p>
      <w:pPr>
        <w:pStyle w:val="ListBullet"/>
        <w:spacing w:after="60" w:line="276" w:lineRule="auto"/>
      </w:pPr>
      <w:r>
        <w:t>4.2 Outlier Treatment ............................................................................... 11</w:t>
      </w:r>
    </w:p>
    <w:p>
      <w:pPr>
        <w:pStyle w:val="ListBullet"/>
        <w:spacing w:after="60" w:line="276" w:lineRule="auto"/>
      </w:pPr>
      <w:r>
        <w:t>4.3 Inconsistent &amp; Impossible Values ................................................................ 12</w:t>
      </w:r>
    </w:p>
    <w:p>
      <w:pPr>
        <w:pStyle w:val="ListBullet"/>
        <w:spacing w:after="60" w:line="276" w:lineRule="auto"/>
      </w:pPr>
      <w:r>
        <w:t>4.4 Duplicate Handling .............................................................................. 12</w:t>
      </w:r>
    </w:p>
    <w:p>
      <w:pPr>
        <w:pStyle w:val="Heading3"/>
        <w:spacing w:before="200" w:after="60"/>
      </w:pPr>
      <w:r>
        <w:rPr>
          <w:rFonts w:ascii="Calibri" w:hAnsi="Calibri"/>
          <w:b/>
          <w:color w:val="334155"/>
          <w:sz w:val="24"/>
        </w:rPr>
        <w:t>Chapter 5: Feature Engineering</w:t>
      </w:r>
    </w:p>
    <w:p>
      <w:pPr>
        <w:pStyle w:val="ListBullet"/>
        <w:spacing w:after="60" w:line="276" w:lineRule="auto"/>
      </w:pPr>
      <w:r>
        <w:t>5.1 Derived Features ................................................................................ 13</w:t>
      </w:r>
    </w:p>
    <w:p>
      <w:pPr>
        <w:pStyle w:val="ListBullet"/>
        <w:spacing w:after="60" w:line="276" w:lineRule="auto"/>
      </w:pPr>
      <w:r>
        <w:t>5.2 Transformations ................................................................................. 14</w:t>
      </w:r>
    </w:p>
    <w:p>
      <w:pPr>
        <w:pStyle w:val="ListBullet"/>
        <w:spacing w:after="60" w:line="276" w:lineRule="auto"/>
      </w:pPr>
      <w:r>
        <w:t>5.3 Encoding Strategy ................................................................................ 14</w:t>
      </w:r>
    </w:p>
    <w:p>
      <w:pPr>
        <w:pStyle w:val="ListBullet"/>
        <w:spacing w:after="60" w:line="276" w:lineRule="auto"/>
      </w:pPr>
      <w:r>
        <w:t>5.4 Feature Engineering Summary Table .............................................................. 15</w:t>
      </w:r>
    </w:p>
    <w:p>
      <w:pPr>
        <w:pStyle w:val="Heading3"/>
        <w:spacing w:before="200" w:after="60"/>
      </w:pPr>
      <w:r>
        <w:rPr>
          <w:rFonts w:ascii="Calibri" w:hAnsi="Calibri"/>
          <w:b/>
          <w:color w:val="334155"/>
          <w:sz w:val="24"/>
        </w:rPr>
        <w:t>Chapter 6: Feature Selection</w:t>
      </w:r>
    </w:p>
    <w:p>
      <w:pPr>
        <w:pStyle w:val="ListBullet"/>
        <w:spacing w:after="60" w:line="276" w:lineRule="auto"/>
      </w:pPr>
      <w:r>
        <w:t>6.1 Method(s) Used ................................................................................... 16</w:t>
      </w:r>
    </w:p>
    <w:p>
      <w:pPr>
        <w:pStyle w:val="ListBullet"/>
        <w:spacing w:after="60" w:line="276" w:lineRule="auto"/>
      </w:pPr>
      <w:r>
        <w:t>6.2 Final Feature List ............................................................................... 17</w:t>
      </w:r>
    </w:p>
    <w:p>
      <w:pPr>
        <w:pStyle w:val="Heading3"/>
        <w:spacing w:before="200" w:after="60"/>
      </w:pPr>
      <w:r>
        <w:rPr>
          <w:rFonts w:ascii="Calibri" w:hAnsi="Calibri"/>
          <w:b/>
          <w:color w:val="334155"/>
          <w:sz w:val="24"/>
        </w:rPr>
        <w:t>Chapter 7: Data Preprocessing &amp; Train/Test Strategy</w:t>
      </w:r>
    </w:p>
    <w:p>
      <w:pPr>
        <w:pStyle w:val="ListBullet"/>
        <w:spacing w:after="60" w:line="276" w:lineRule="auto"/>
      </w:pPr>
      <w:r>
        <w:t>7.1 Train/Test Split Strategy ....................................................................... 18</w:t>
      </w:r>
    </w:p>
    <w:p>
      <w:pPr>
        <w:pStyle w:val="ListBullet"/>
        <w:spacing w:after="60" w:line="276" w:lineRule="auto"/>
      </w:pPr>
      <w:r>
        <w:t>7.2 Scaling &amp; Encoding Pipeline ..................................................................... 18</w:t>
      </w:r>
    </w:p>
    <w:p>
      <w:pPr>
        <w:pStyle w:val="ListBullet"/>
        <w:spacing w:after="60" w:line="276" w:lineRule="auto"/>
      </w:pPr>
      <w:r>
        <w:t>7.3 Handling Class Imbalance ......................................................................... 19</w:t>
      </w:r>
    </w:p>
    <w:p>
      <w:pPr>
        <w:pStyle w:val="ListBullet"/>
        <w:spacing w:after="60" w:line="276" w:lineRule="auto"/>
      </w:pPr>
      <w:r>
        <w:t>7.4 Cross-Validation Design .......................................................................... 19</w:t>
      </w:r>
    </w:p>
    <w:p>
      <w:pPr>
        <w:pStyle w:val="Heading3"/>
        <w:spacing w:before="200" w:after="60"/>
      </w:pPr>
      <w:r>
        <w:rPr>
          <w:rFonts w:ascii="Calibri" w:hAnsi="Calibri"/>
          <w:b/>
          <w:color w:val="334155"/>
          <w:sz w:val="24"/>
        </w:rPr>
        <w:t>Chapter 8: Model Development</w:t>
      </w:r>
    </w:p>
    <w:p>
      <w:pPr>
        <w:pStyle w:val="ListBullet"/>
        <w:spacing w:after="60" w:line="276" w:lineRule="auto"/>
      </w:pPr>
      <w:r>
        <w:t>8.1 Baseline Model .................................................................................. 20</w:t>
      </w:r>
    </w:p>
    <w:p>
      <w:pPr>
        <w:pStyle w:val="ListBullet"/>
        <w:spacing w:after="60" w:line="276" w:lineRule="auto"/>
      </w:pPr>
      <w:r>
        <w:t>8.2 Candidate Models ................................................................................ 20</w:t>
      </w:r>
    </w:p>
    <w:p>
      <w:pPr>
        <w:pStyle w:val="ListBullet"/>
        <w:spacing w:after="60" w:line="276" w:lineRule="auto"/>
      </w:pPr>
      <w:r>
        <w:t>8.3 Model Selection Rationale ........................................................................ 21</w:t>
      </w:r>
    </w:p>
    <w:p>
      <w:pPr>
        <w:pStyle w:val="Heading3"/>
        <w:spacing w:before="200" w:after="60"/>
      </w:pPr>
      <w:r>
        <w:rPr>
          <w:rFonts w:ascii="Calibri" w:hAnsi="Calibri"/>
          <w:b/>
          <w:color w:val="334155"/>
          <w:sz w:val="24"/>
        </w:rPr>
        <w:t>Chapter 9: Hyperparameter Tuning</w:t>
      </w:r>
    </w:p>
    <w:p>
      <w:pPr>
        <w:pStyle w:val="ListBullet"/>
        <w:spacing w:after="60" w:line="276" w:lineRule="auto"/>
      </w:pPr>
      <w:r>
        <w:t>9.1 Search Method ................................................................................... 22</w:t>
      </w:r>
    </w:p>
    <w:p>
      <w:pPr>
        <w:pStyle w:val="ListBullet"/>
        <w:spacing w:after="60" w:line="276" w:lineRule="auto"/>
      </w:pPr>
      <w:r>
        <w:t>9.2 Search Space .................................................................................... 22</w:t>
      </w:r>
    </w:p>
    <w:p>
      <w:pPr>
        <w:pStyle w:val="ListBullet"/>
        <w:spacing w:after="60" w:line="276" w:lineRule="auto"/>
      </w:pPr>
      <w:r>
        <w:t>9.3 Best Parameters Found ............................................................................ 23</w:t>
      </w:r>
    </w:p>
    <w:p>
      <w:pPr>
        <w:pStyle w:val="Heading3"/>
        <w:spacing w:before="200" w:after="60"/>
      </w:pPr>
      <w:r>
        <w:rPr>
          <w:rFonts w:ascii="Calibri" w:hAnsi="Calibri"/>
          <w:b/>
          <w:color w:val="334155"/>
          <w:sz w:val="24"/>
        </w:rPr>
        <w:t>Chapter 10: Model Evaluation &amp; Validation</w:t>
      </w:r>
    </w:p>
    <w:p>
      <w:pPr>
        <w:pStyle w:val="ListBullet"/>
        <w:spacing w:after="60" w:line="276" w:lineRule="auto"/>
      </w:pPr>
      <w:r>
        <w:t>10.1 Classification Metrics ......................................................................... 24</w:t>
      </w:r>
    </w:p>
    <w:p>
      <w:pPr>
        <w:pStyle w:val="ListBullet"/>
        <w:spacing w:after="60" w:line="276" w:lineRule="auto"/>
      </w:pPr>
      <w:r>
        <w:t>10.2 Discrimination Metrics ......................................................................... 25</w:t>
      </w:r>
    </w:p>
    <w:p>
      <w:pPr>
        <w:pStyle w:val="ListBullet"/>
        <w:spacing w:after="60" w:line="276" w:lineRule="auto"/>
      </w:pPr>
      <w:r>
        <w:t>10.3 Decile / Lift / Gain Analysis .................................................................. 26</w:t>
      </w:r>
    </w:p>
    <w:p>
      <w:pPr>
        <w:pStyle w:val="ListBullet"/>
        <w:spacing w:after="60" w:line="276" w:lineRule="auto"/>
      </w:pPr>
      <w:r>
        <w:t>10.4 Calibration .................................................................................... 27</w:t>
      </w:r>
    </w:p>
    <w:p>
      <w:pPr>
        <w:pStyle w:val="ListBullet"/>
        <w:spacing w:after="60" w:line="276" w:lineRule="auto"/>
      </w:pPr>
      <w:r>
        <w:t>10.5 Overfitting Diagnostics ......................................................................... 28</w:t>
      </w:r>
    </w:p>
    <w:p>
      <w:pPr>
        <w:pStyle w:val="ListBullet"/>
        <w:spacing w:after="60" w:line="276" w:lineRule="auto"/>
      </w:pPr>
      <w:r>
        <w:t>10.6 Stability Analysis (PSI / CSI) ................................................................. 28</w:t>
      </w:r>
    </w:p>
    <w:p>
      <w:pPr>
        <w:pStyle w:val="ListBullet"/>
        <w:spacing w:after="60" w:line="276" w:lineRule="auto"/>
      </w:pPr>
      <w:r>
        <w:t>10.7 Explainable AI (XAI) &amp; SHAP TreeExplainer ...................................................... 29</w:t>
      </w:r>
    </w:p>
    <w:p>
      <w:pPr>
        <w:pStyle w:val="Heading3"/>
        <w:spacing w:before="200" w:after="60"/>
      </w:pPr>
      <w:r>
        <w:rPr>
          <w:rFonts w:ascii="Calibri" w:hAnsi="Calibri"/>
          <w:b/>
          <w:color w:val="334155"/>
          <w:sz w:val="24"/>
        </w:rPr>
        <w:t>Chapter 11: Business Impact &amp; Recommendations</w:t>
      </w:r>
    </w:p>
    <w:p>
      <w:pPr>
        <w:pStyle w:val="ListBullet"/>
        <w:spacing w:after="60" w:line="276" w:lineRule="auto"/>
      </w:pPr>
      <w:r>
        <w:t>11.1 Score-to-Action Mapping ....................................................................... 29</w:t>
      </w:r>
    </w:p>
    <w:p>
      <w:pPr>
        <w:pStyle w:val="ListBullet"/>
        <w:spacing w:after="60" w:line="276" w:lineRule="auto"/>
      </w:pPr>
      <w:r>
        <w:t>11.2 Cost-Benefit Analysis .......................................................................... 30</w:t>
      </w:r>
    </w:p>
    <w:p>
      <w:pPr>
        <w:pStyle w:val="ListBullet"/>
        <w:spacing w:after="60" w:line="276" w:lineRule="auto"/>
      </w:pPr>
      <w:r>
        <w:t>11.3 Deployment &amp; Monitoring Recommendations ...................................................... 31</w:t>
      </w:r>
    </w:p>
    <w:p>
      <w:pPr>
        <w:pStyle w:val="Heading3"/>
        <w:spacing w:before="200" w:after="60"/>
      </w:pPr>
      <w:r>
        <w:rPr>
          <w:rFonts w:ascii="Calibri" w:hAnsi="Calibri"/>
          <w:b/>
          <w:color w:val="334155"/>
          <w:sz w:val="24"/>
        </w:rPr>
        <w:t>Chapter 12: Conclusion &amp; Future Work</w:t>
      </w:r>
    </w:p>
    <w:p>
      <w:pPr>
        <w:pStyle w:val="ListBullet"/>
        <w:spacing w:after="60" w:line="276" w:lineRule="auto"/>
      </w:pPr>
      <w:r>
        <w:t>12.1 Summary of Findings ............................................................................ 32</w:t>
      </w:r>
    </w:p>
    <w:p>
      <w:pPr>
        <w:pStyle w:val="ListBullet"/>
        <w:spacing w:after="60" w:line="276" w:lineRule="auto"/>
      </w:pPr>
      <w:r>
        <w:t>12.2 Limitations .................................................................................... 32</w:t>
      </w:r>
    </w:p>
    <w:p>
      <w:pPr>
        <w:pStyle w:val="ListBullet"/>
        <w:spacing w:after="60" w:line="276" w:lineRule="auto"/>
      </w:pPr>
      <w:r>
        <w:t>12.3 Future Improvements ............................................................................ 33</w:t>
      </w:r>
    </w:p>
    <w:p>
      <w:pPr>
        <w:pStyle w:val="Heading3"/>
        <w:spacing w:before="200" w:after="60"/>
      </w:pPr>
      <w:r>
        <w:rPr>
          <w:rFonts w:ascii="Calibri" w:hAnsi="Calibri"/>
          <w:b/>
          <w:color w:val="334155"/>
          <w:sz w:val="24"/>
        </w:rPr>
        <w:t>References &amp; Appendices</w:t>
      </w:r>
    </w:p>
    <w:p>
      <w:pPr>
        <w:pStyle w:val="ListBullet"/>
        <w:spacing w:after="60" w:line="276" w:lineRule="auto"/>
      </w:pPr>
      <w:r/>
      <w:r>
        <w:rPr>
          <w:b/>
        </w:rPr>
        <w:t>References</w:t>
      </w:r>
      <w:r>
        <w:t xml:space="preserve"> ....................................................................................... 34</w:t>
      </w:r>
    </w:p>
    <w:p>
      <w:pPr>
        <w:pStyle w:val="ListBullet"/>
        <w:spacing w:after="60" w:line="276" w:lineRule="auto"/>
      </w:pPr>
      <w:r/>
      <w:r>
        <w:rPr>
          <w:b/>
        </w:rPr>
        <w:t>Appendix A: Full Data Dictionary</w:t>
      </w:r>
      <w:r>
        <w:t xml:space="preserve"> ................................................................ 35</w:t>
      </w:r>
    </w:p>
    <w:p>
      <w:pPr>
        <w:pStyle w:val="ListBullet"/>
        <w:spacing w:after="60" w:line="276" w:lineRule="auto"/>
      </w:pPr>
      <w:r/>
      <w:r>
        <w:rPr>
          <w:b/>
        </w:rPr>
        <w:t>Appendix B: Key Code Snippets</w:t>
      </w:r>
      <w:r>
        <w:t xml:space="preserve"> ................................................................... 37</w:t>
      </w:r>
    </w:p>
    <w:p>
      <w:pPr>
        <w:pStyle w:val="ListBullet"/>
        <w:spacing w:after="60" w:line="276" w:lineRule="auto"/>
      </w:pPr>
      <w:r/>
      <w:r>
        <w:rPr>
          <w:b/>
        </w:rPr>
        <w:t>Appendix C: Additional Visualizations</w:t>
      </w:r>
      <w:r>
        <w:t xml:space="preserve"> ........................................................... 39</w:t>
      </w:r>
    </w:p>
    <w:p>
      <w:r>
        <w:br w:type="page"/>
      </w:r>
    </w:p>
    <w:p>
      <w:pPr>
        <w:pStyle w:val="Heading2"/>
        <w:spacing w:before="240" w:after="80"/>
      </w:pPr>
      <w:r>
        <w:rPr>
          <w:rFonts w:ascii="Calibri" w:hAnsi="Calibri"/>
          <w:b/>
          <w:color w:val="1E3A8A"/>
          <w:sz w:val="28"/>
        </w:rPr>
        <w:t>List of Figures</w:t>
      </w:r>
    </w:p>
    <w:p>
      <w:pPr>
        <w:pStyle w:val="ListBullet"/>
        <w:spacing w:after="60" w:line="276" w:lineRule="auto"/>
      </w:pPr>
      <w:r/>
      <w:r>
        <w:rPr>
          <w:b/>
        </w:rPr>
        <w:t>Figure 1:</w:t>
      </w:r>
      <w:r>
        <w:t xml:space="preserve"> Target Variable Class Balance (Fully Paid vs. Charged Off) ......................... 6</w:t>
      </w:r>
    </w:p>
    <w:p>
      <w:pPr>
        <w:pStyle w:val="ListBullet"/>
        <w:spacing w:after="60" w:line="276" w:lineRule="auto"/>
      </w:pPr>
      <w:r/>
      <w:r>
        <w:rPr>
          <w:b/>
        </w:rPr>
        <w:t>Figure 2:</w:t>
      </w:r>
      <w:r>
        <w:t xml:space="preserve"> Distribution of Borrower Annual Income and Loan Amounts .......................... 7</w:t>
      </w:r>
    </w:p>
    <w:p>
      <w:pPr>
        <w:pStyle w:val="ListBullet"/>
        <w:spacing w:after="60" w:line="276" w:lineRule="auto"/>
      </w:pPr>
      <w:r/>
      <w:r>
        <w:rPr>
          <w:b/>
        </w:rPr>
        <w:t>Figure 3:</w:t>
      </w:r>
      <w:r>
        <w:t xml:space="preserve"> Default Rate Escalation Across Credit Rating Grades (Grade B to G) ................ 8</w:t>
      </w:r>
    </w:p>
    <w:p>
      <w:pPr>
        <w:pStyle w:val="ListBullet"/>
        <w:spacing w:after="60" w:line="276" w:lineRule="auto"/>
      </w:pPr>
      <w:r/>
      <w:r>
        <w:rPr>
          <w:b/>
        </w:rPr>
        <w:t>Figure 4:</w:t>
      </w:r>
      <w:r>
        <w:t xml:space="preserve"> FICO Score Distribution Stratified by Loan Repayment Outcome ...................... 9</w:t>
      </w:r>
    </w:p>
    <w:p>
      <w:pPr>
        <w:pStyle w:val="ListBullet"/>
        <w:spacing w:after="60" w:line="276" w:lineRule="auto"/>
      </w:pPr>
      <w:r/>
      <w:r>
        <w:rPr>
          <w:b/>
        </w:rPr>
        <w:t>Figure 5:</w:t>
      </w:r>
      <w:r>
        <w:t xml:space="preserve"> Feature Correlation Heatmap Across Core Credit Predictors ......................... 10</w:t>
      </w:r>
    </w:p>
    <w:p>
      <w:pPr>
        <w:pStyle w:val="ListBullet"/>
        <w:spacing w:after="60" w:line="276" w:lineRule="auto"/>
      </w:pPr>
      <w:r/>
      <w:r>
        <w:rPr>
          <w:b/>
        </w:rPr>
        <w:t>Figure 6:</w:t>
      </w:r>
      <w:r>
        <w:t xml:space="preserve"> Multi-Stage scikit-learn ColumnTransformer Pipeline Architecture ................. 18</w:t>
      </w:r>
    </w:p>
    <w:p>
      <w:pPr>
        <w:pStyle w:val="ListBullet"/>
        <w:spacing w:after="60" w:line="276" w:lineRule="auto"/>
      </w:pPr>
      <w:r/>
      <w:r>
        <w:rPr>
          <w:b/>
        </w:rPr>
        <w:t>Figure 7:</w:t>
      </w:r>
      <w:r>
        <w:t xml:space="preserve"> Comparative ROC Curves Across 6 Benchmarked Model Architectures ................... 21</w:t>
      </w:r>
    </w:p>
    <w:p>
      <w:pPr>
        <w:pStyle w:val="ListBullet"/>
        <w:spacing w:after="60" w:line="276" w:lineRule="auto"/>
      </w:pPr>
      <w:r/>
      <w:r>
        <w:rPr>
          <w:b/>
        </w:rPr>
        <w:t>Figure 8:</w:t>
      </w:r>
      <w:r>
        <w:t xml:space="preserve"> Precision-Recall Curve of the Calibrated Production Pipeline ...................... 25</w:t>
      </w:r>
    </w:p>
    <w:p>
      <w:pPr>
        <w:pStyle w:val="ListBullet"/>
        <w:spacing w:after="60" w:line="276" w:lineRule="auto"/>
      </w:pPr>
      <w:r/>
      <w:r>
        <w:rPr>
          <w:b/>
        </w:rPr>
        <w:t>Figure 9:</w:t>
      </w:r>
      <w:r>
        <w:t xml:space="preserve"> Confusion Matrix at the Calibrated Operating Cutoff ($\tau = 0.36$) ................ 25</w:t>
      </w:r>
    </w:p>
    <w:p>
      <w:pPr>
        <w:pStyle w:val="ListBullet"/>
        <w:spacing w:after="60" w:line="276" w:lineRule="auto"/>
      </w:pPr>
      <w:r/>
      <w:r>
        <w:rPr>
          <w:b/>
        </w:rPr>
        <w:t>Figure 10:</w:t>
      </w:r>
      <w:r>
        <w:t xml:space="preserve"> Cumulative Lift and Gain Curves Across Test Deciles ............................... 26</w:t>
      </w:r>
    </w:p>
    <w:p>
      <w:pPr>
        <w:pStyle w:val="ListBullet"/>
        <w:spacing w:after="60" w:line="276" w:lineRule="auto"/>
      </w:pPr>
      <w:r/>
      <w:r>
        <w:rPr>
          <w:b/>
        </w:rPr>
        <w:t>Figure 11:</w:t>
      </w:r>
      <w:r>
        <w:t xml:space="preserve"> Model Calibration Curve (Reliability Diagram) ..................................... 27</w:t>
      </w:r>
    </w:p>
    <w:p>
      <w:pPr>
        <w:pStyle w:val="ListBullet"/>
        <w:spacing w:after="60" w:line="276" w:lineRule="auto"/>
      </w:pPr>
      <w:r/>
      <w:r>
        <w:rPr>
          <w:b/>
        </w:rPr>
        <w:t>Figure 12:</w:t>
      </w:r>
      <w:r>
        <w:t xml:space="preserve"> SHAP Global Feature Importance (TreeExplainer Summary Plot) ...................... 29</w:t>
      </w:r>
    </w:p>
    <w:p>
      <w:pPr>
        <w:pStyle w:val="ListBullet"/>
        <w:spacing w:after="60" w:line="276" w:lineRule="auto"/>
      </w:pPr>
      <w:r/>
      <w:r>
        <w:rPr>
          <w:b/>
        </w:rPr>
        <w:t>Figure 13:</w:t>
      </w:r>
      <w:r>
        <w:t xml:space="preserve"> Net Financial Gain Curve Across Classification Cutoff Thresholds .................. 30</w:t>
      </w:r>
    </w:p>
    <w:p>
      <w:pPr>
        <w:pStyle w:val="ListBullet"/>
        <w:spacing w:after="60" w:line="276" w:lineRule="auto"/>
      </w:pPr>
      <w:r/>
      <w:r>
        <w:rPr>
          <w:b/>
        </w:rPr>
        <w:t>Figure 14:</w:t>
      </w:r>
      <w:r>
        <w:t xml:space="preserve"> Production Streamlit Web Dashboard: Executive Portfolio Overview ................. 39</w:t>
      </w:r>
    </w:p>
    <w:p>
      <w:pPr>
        <w:pStyle w:val="ListBullet"/>
        <w:spacing w:after="60" w:line="276" w:lineRule="auto"/>
      </w:pPr>
      <w:r/>
      <w:r>
        <w:rPr>
          <w:b/>
        </w:rPr>
        <w:t>Figure 15:</w:t>
      </w:r>
      <w:r>
        <w:t xml:space="preserve"> Production Streamlit Web Dashboard: Live Underwriting Prediction Interface ....... 40</w:t>
      </w:r>
    </w:p>
    <w:p>
      <w:pPr>
        <w:pStyle w:val="Heading2"/>
        <w:spacing w:before="240" w:after="80"/>
      </w:pPr>
      <w:r>
        <w:rPr>
          <w:rFonts w:ascii="Calibri" w:hAnsi="Calibri"/>
          <w:b/>
          <w:color w:val="1E3A8A"/>
          <w:sz w:val="28"/>
        </w:rPr>
        <w:t>List of Tables</w:t>
      </w:r>
    </w:p>
    <w:p>
      <w:pPr>
        <w:pStyle w:val="ListBullet"/>
        <w:spacing w:after="60" w:line="276" w:lineRule="auto"/>
      </w:pPr>
      <w:r/>
      <w:r>
        <w:rPr>
          <w:b/>
        </w:rPr>
        <w:t>Table 1:</w:t>
      </w:r>
      <w:r>
        <w:t xml:space="preserve"> Condensed Data Dictionary Summary ................................................... 5</w:t>
      </w:r>
    </w:p>
    <w:p>
      <w:pPr>
        <w:pStyle w:val="ListBullet"/>
        <w:spacing w:after="60" w:line="276" w:lineRule="auto"/>
      </w:pPr>
      <w:r/>
      <w:r>
        <w:rPr>
          <w:b/>
        </w:rPr>
        <w:t>Table 2:</w:t>
      </w:r>
      <w:r>
        <w:t xml:space="preserve"> Missing Value Audit and Imputation Treatments ....................................... 11</w:t>
      </w:r>
    </w:p>
    <w:p>
      <w:pPr>
        <w:pStyle w:val="ListBullet"/>
        <w:spacing w:after="60" w:line="276" w:lineRule="auto"/>
      </w:pPr>
      <w:r/>
      <w:r>
        <w:rPr>
          <w:b/>
        </w:rPr>
        <w:t>Table 3:</w:t>
      </w:r>
      <w:r>
        <w:t xml:space="preserve"> Feature Engineering Specifications and Economic Rationale .......................... 15</w:t>
      </w:r>
    </w:p>
    <w:p>
      <w:pPr>
        <w:pStyle w:val="ListBullet"/>
        <w:spacing w:after="60" w:line="276" w:lineRule="auto"/>
      </w:pPr>
      <w:r/>
      <w:r>
        <w:rPr>
          <w:b/>
        </w:rPr>
        <w:t>Table 4:</w:t>
      </w:r>
      <w:r>
        <w:t xml:space="preserve"> Final Selected Predictor Feature Subset (19 Continuous + 5 Categorical) ............. 17</w:t>
      </w:r>
    </w:p>
    <w:p>
      <w:pPr>
        <w:pStyle w:val="ListBullet"/>
        <w:spacing w:after="60" w:line="276" w:lineRule="auto"/>
      </w:pPr>
      <w:r/>
      <w:r>
        <w:rPr>
          <w:b/>
        </w:rPr>
        <w:t>Table 5:</w:t>
      </w:r>
      <w:r>
        <w:t xml:space="preserve"> Institutional Model Benchmark Leaderboard (20,000 Unseen Holdout Loans) .............. 21</w:t>
      </w:r>
    </w:p>
    <w:p>
      <w:pPr>
        <w:pStyle w:val="ListBullet"/>
        <w:spacing w:after="60" w:line="276" w:lineRule="auto"/>
      </w:pPr>
      <w:r/>
      <w:r>
        <w:rPr>
          <w:b/>
        </w:rPr>
        <w:t>Table 6:</w:t>
      </w:r>
      <w:r>
        <w:t xml:space="preserve"> Hyperparameter Tuning Grid and Optimal Configuration ................................ 23</w:t>
      </w:r>
    </w:p>
    <w:p>
      <w:pPr>
        <w:pStyle w:val="ListBullet"/>
        <w:spacing w:after="60" w:line="276" w:lineRule="auto"/>
      </w:pPr>
      <w:r/>
      <w:r>
        <w:rPr>
          <w:b/>
        </w:rPr>
        <w:t>Table 7:</w:t>
      </w:r>
      <w:r>
        <w:t xml:space="preserve"> Classification Performance at Default ($0.50$) vs. Calibrated ($0.36$) Thresholds ..... 24</w:t>
      </w:r>
    </w:p>
    <w:p>
      <w:pPr>
        <w:pStyle w:val="ListBullet"/>
        <w:spacing w:after="60" w:line="276" w:lineRule="auto"/>
      </w:pPr>
      <w:r/>
      <w:r>
        <w:rPr>
          <w:b/>
        </w:rPr>
        <w:t>Table 8:</w:t>
      </w:r>
      <w:r>
        <w:t xml:space="preserve"> Discrimination and Diagnostic Metrics Summary ...................................... 25</w:t>
      </w:r>
    </w:p>
    <w:p>
      <w:pPr>
        <w:pStyle w:val="ListBullet"/>
        <w:spacing w:after="60" w:line="276" w:lineRule="auto"/>
      </w:pPr>
      <w:r/>
      <w:r>
        <w:rPr>
          <w:b/>
        </w:rPr>
        <w:t>Table 9:</w:t>
      </w:r>
      <w:r>
        <w:t xml:space="preserve"> Ten-Decile Cumulative Lift and Capture Analysis Table .............................. 26</w:t>
      </w:r>
    </w:p>
    <w:p>
      <w:pPr>
        <w:pStyle w:val="ListBullet"/>
        <w:spacing w:after="60" w:line="276" w:lineRule="auto"/>
      </w:pPr>
      <w:r/>
      <w:r>
        <w:rPr>
          <w:b/>
        </w:rPr>
        <w:t>Table 10:</w:t>
      </w:r>
      <w:r>
        <w:t xml:space="preserve"> Train vs. Test Generalization Audit Across Evaluated Architectures ................. 28</w:t>
      </w:r>
    </w:p>
    <w:p>
      <w:pPr>
        <w:pStyle w:val="ListBullet"/>
        <w:spacing w:after="60" w:line="276" w:lineRule="auto"/>
      </w:pPr>
      <w:r/>
      <w:r>
        <w:rPr>
          <w:b/>
        </w:rPr>
        <w:t>Table 11:</w:t>
      </w:r>
      <w:r>
        <w:t xml:space="preserve"> Credit Underwriting Score-to-Action Decision Matrix ................................ 29</w:t>
      </w:r>
    </w:p>
    <w:p>
      <w:pPr>
        <w:pStyle w:val="ListBullet"/>
        <w:spacing w:after="60" w:line="276" w:lineRule="auto"/>
      </w:pPr>
      <w:r/>
      <w:r>
        <w:rPr>
          <w:b/>
        </w:rPr>
        <w:t>Table 12:</w:t>
      </w:r>
      <w:r>
        <w:t xml:space="preserve"> Economic Cost-Benefit Analysis ($1.60B Portfolio Capital Model) .................... 30</w:t>
      </w:r>
    </w:p>
    <w:p>
      <w:r>
        <w:br w:type="page"/>
      </w:r>
    </w:p>
    <w:p>
      <w:pPr>
        <w:pStyle w:val="Heading2"/>
        <w:spacing w:before="240" w:after="80"/>
      </w:pPr>
      <w:r>
        <w:rPr>
          <w:rFonts w:ascii="Calibri" w:hAnsi="Calibri"/>
          <w:b/>
          <w:color w:val="1E3A8A"/>
          <w:sz w:val="28"/>
        </w:rPr>
        <w:t>Abstract / Executive Summary</w:t>
      </w:r>
    </w:p>
    <w:p>
      <w:pPr>
        <w:spacing w:after="100" w:line="276" w:lineRule="auto"/>
      </w:pPr>
      <w:r/>
      <w:r>
        <w:rPr>
          <w:b/>
        </w:rPr>
        <w:t>Problem Statement:</w:t>
      </w:r>
      <w:r>
        <w:t xml:space="preserve"> In consumer credit underwriting, misclassifying a high-risk borrower as creditworthy (False Negative) triggers catastrophic unrecoverable principal losses estimated at four to six times the profit margin earned on a performing loan. Traditional underwriting relying on heuristic FICO cutoffs fails to capture complex non-linear interactions across debt burdens, loan terms, and revolving credit utilization, leading to elevated default rates and severe credit losses.</w:t>
      </w:r>
    </w:p>
    <w:p>
      <w:pPr>
        <w:spacing w:after="100" w:line="276" w:lineRule="auto"/>
      </w:pPr>
      <w:r/>
      <w:r>
        <w:rPr>
          <w:b/>
        </w:rPr>
        <w:t>Methodology &amp; Approach:</w:t>
      </w:r>
      <w:r>
        <w:t xml:space="preserve"> This research develops an end-to-end, leak-free machine learning underwriting engine trained on 100,000 institutional loan records comprising 26 raw variables from Lending Club. Following a strict 8-stage research pipeline, domain-engineered financial metrics—including installment-to-income ratio, annual interest burden, and revolving utilization flags—were constructed. Data was partitioned using an 80/20 stratified split, and all preprocessing transformations were encapsulated within scikit-learn `ColumnTransformer` pipelines fitted exclusively on training data. Six distinct classification algorithms were benchmarked: Dummy Prior, L2-Regularized Logistic Regression, Random Forest, XGBoost, CatBoost, and LightGBM. Optimization was conducted using 5-fold Stratified Cross-Validation and GridSearchCV.</w:t>
      </w:r>
    </w:p>
    <w:p>
      <w:pPr>
        <w:spacing w:after="100" w:line="276" w:lineRule="auto"/>
      </w:pPr>
      <w:r/>
      <w:r>
        <w:rPr>
          <w:b/>
        </w:rPr>
        <w:t>Headline Empirical Results:</w:t>
      </w:r>
      <w:r>
        <w:t xml:space="preserve"> The production LightGBM classifier achieved a holdout </w:t>
      </w:r>
      <w:r>
        <w:rPr>
          <w:b/>
        </w:rPr>
        <w:t>ROC-AUC of 94.11%</w:t>
      </w:r>
      <w:r>
        <w:t xml:space="preserve"> (exceeding the institutional &gt;90% requirement) and a holdout </w:t>
      </w:r>
      <w:r>
        <w:rPr>
          <w:b/>
        </w:rPr>
        <w:t>Accuracy of 86.74%</w:t>
      </w:r>
      <w:r>
        <w:t xml:space="preserve"> (strictly satisfying the 85%–90% target band). Generalization stability was confirmed via 5-Fold Stratified Cross-Validation (</w:t>
      </w:r>
      <w:r>
        <w:rPr>
          <w:b/>
        </w:rPr>
        <w:t>ROC-AUC = 0.9407 ± 0.0010</w:t>
      </w:r>
      <w:r>
        <w:t xml:space="preserve">). By tuning the decision threshold from the arbitrary default of $0.50$ to the cost-calibrated operating point of </w:t>
      </w:r>
      <w:r>
        <w:rPr>
          <w:b/>
        </w:rPr>
        <w:t>$\tau = 0.36$</w:t>
      </w:r>
      <w:r>
        <w:t xml:space="preserve">, default recall surged from 79.32% to </w:t>
      </w:r>
      <w:r>
        <w:rPr>
          <w:b/>
        </w:rPr>
        <w:t>86.50%</w:t>
      </w:r>
      <w:r>
        <w:t xml:space="preserve">, successfully mitigating an estimated </w:t>
      </w:r>
      <w:r>
        <w:rPr>
          <w:b/>
        </w:rPr>
        <w:t>$78.4 Million</w:t>
      </w:r>
      <w:r>
        <w:t xml:space="preserve"> in bad debt capital losses across the underwritten portfolio. Model decisions are fully explained through an integrated SHAP TreeExplainer framework, providing regulatory-compliant Adverse Action notices mandated by the Fair Credit Reporting Act (FCRA).</w:t>
      </w:r>
    </w:p>
    <w:p>
      <w:pPr>
        <w:spacing w:after="100" w:line="276" w:lineRule="auto"/>
      </w:pPr>
      <w:r/>
      <w:r>
        <w:rPr>
          <w:b/>
        </w:rPr>
        <w:t>Strategic Recommendation:</w:t>
      </w:r>
      <w:r>
        <w:t xml:space="preserve"> Financial institutions should replace rigid linear scorecards with calibrated gradient-boosted decision pipelines operating at cost-sensitive thresholds ($\tau = 0.36$). Deploying this architecture through containerized REST endpoints enables automated real-time underwriting (&lt;15 ms inference latency) while maintaining strict auditability and capital protection.</w:t>
      </w:r>
    </w:p>
    <w:p>
      <w:r>
        <w:br w:type="page"/>
      </w:r>
    </w:p>
    <w:p>
      <w:pPr>
        <w:pStyle w:val="Heading1"/>
        <w:spacing w:before="280" w:after="100"/>
      </w:pPr>
      <w:r>
        <w:rPr>
          <w:rFonts w:ascii="Calibri" w:hAnsi="Calibri"/>
          <w:b/>
          <w:color w:val="0F172A"/>
          <w:sz w:val="36"/>
        </w:rPr>
        <w:t>Chapter 1: Introduction</w:t>
      </w:r>
    </w:p>
    <w:p>
      <w:pPr>
        <w:pStyle w:val="Heading3"/>
        <w:spacing w:before="200" w:after="60"/>
      </w:pPr>
      <w:r>
        <w:rPr>
          <w:rFonts w:ascii="Calibri" w:hAnsi="Calibri"/>
          <w:b/>
          <w:color w:val="334155"/>
          <w:sz w:val="24"/>
        </w:rPr>
        <w:t>1.1 Background &amp; Motivation</w:t>
      </w:r>
    </w:p>
    <w:p>
      <w:pPr>
        <w:spacing w:after="100" w:line="276" w:lineRule="auto"/>
      </w:pPr>
      <w:r>
        <w:t>Retail and peer-to-peer lending constitutes a trillion-dollar pillar of modern credit markets. However, the economic viability of consumer lending hinges on the credit underwriter's ability to accurately price risk and differentiate solvent borrowers from those likely to default. Over the past decade, financial institutions have witnessed rapid growth in unsecured personal lending, accompanied by rising consumer debt-to-income ratios and economic volatility.</w:t>
      </w:r>
    </w:p>
    <w:p>
      <w:pPr>
        <w:spacing w:after="100" w:line="276" w:lineRule="auto"/>
      </w:pPr>
      <w:r>
        <w:t>Traditional credit scoring frameworks, such as standard FICO scorecards and linear credit rating buckets, rely on static heuristics. These legacy approaches fail to model high-order interactions among debt burdens, disposable income, and revolving credit behaviors. Furthermore, conventional scoring models are susceptible to severe financial loss asymmetry: while a successfully repaid loan yields a modest interest spread (typically 8% to 15%), a defaulting loan frequently results in the loss of up to 100% of the unpaid principal balance. This asymmetric loss function necessitates advanced, non-linear machine learning architectures combined with cost-sensitive threshold calibration.</w:t>
      </w:r>
    </w:p>
    <w:p>
      <w:pPr>
        <w:pStyle w:val="Heading3"/>
        <w:spacing w:before="200" w:after="60"/>
      </w:pPr>
      <w:r>
        <w:rPr>
          <w:rFonts w:ascii="Calibri" w:hAnsi="Calibri"/>
          <w:b/>
          <w:color w:val="334155"/>
          <w:sz w:val="24"/>
        </w:rPr>
        <w:t>1.2 Business Problem Statement</w:t>
      </w:r>
    </w:p>
    <w:p>
      <w:pPr>
        <w:spacing w:after="100" w:line="276" w:lineRule="auto"/>
      </w:pPr>
      <w:r>
        <w:t>Financial lending institutions face unsustainable default rates when underwritten portfolios are evaluated using naive decision cutoffs. In a typical consumer loan portfolio where defaults comprise 30% to 36% of total volume, approving credit applicants based on a symmetric 0.50 probability threshold results in unacceptable false-negative rates. Credit risk committees cannot afford to treat Type I errors (rejecting a creditworthy applicant, incurring opportunity cost) and Type II errors (funding a future defaulter, incurring principal write-offs) as economically equal. The core business problem is to engineer an automated, robust credit assessment system capable of predicting borrower default with high discrimination (&gt;90% ROC-AUC) while dynamically balancing capital preservation against loan acquisition volume.</w:t>
      </w:r>
    </w:p>
    <w:p>
      <w:pPr>
        <w:pStyle w:val="Heading3"/>
        <w:spacing w:before="200" w:after="60"/>
      </w:pPr>
      <w:r>
        <w:rPr>
          <w:rFonts w:ascii="Calibri" w:hAnsi="Calibri"/>
          <w:b/>
          <w:color w:val="334155"/>
          <w:sz w:val="24"/>
        </w:rPr>
        <w:t>1.3 ML Problem Formulation</w:t>
      </w:r>
    </w:p>
    <w:p>
      <w:pPr>
        <w:spacing w:after="100" w:line="276" w:lineRule="auto"/>
      </w:pPr>
      <w:r>
        <w:t>The machine learning objective is formulated as a supervised binary classification problem:</w:t>
      </w:r>
    </w:p>
    <w:p>
      <w:pPr>
        <w:spacing w:after="100" w:line="276" w:lineRule="auto"/>
      </w:pPr>
      <w:r>
        <w:t>$$\hat{y} = f(\mathbf{x}) \in \{0, 1\}$$</w:t>
      </w:r>
    </w:p>
    <w:p>
      <w:pPr>
        <w:spacing w:after="100" w:line="276" w:lineRule="auto"/>
      </w:pPr>
      <w:r>
        <w:t>where:</w:t>
      </w:r>
    </w:p>
    <w:p>
      <w:pPr>
        <w:pStyle w:val="ListBullet"/>
        <w:spacing w:after="60" w:line="276" w:lineRule="auto"/>
      </w:pPr>
      <w:r/>
      <w:r>
        <w:rPr>
          <w:b/>
        </w:rPr>
        <w:t>Target Variable ($y$):</w:t>
      </w:r>
      <w:r>
        <w:t xml:space="preserve"> `loan_status`, defined as:</w:t>
      </w:r>
    </w:p>
    <w:p>
      <w:pPr>
        <w:spacing w:after="100" w:line="276" w:lineRule="auto"/>
      </w:pPr>
      <w:r>
        <w:t>$$y = \begin{cases} 0 &amp; \text{Fully Paid (Solvent / Non-Default)} \\ 1 &amp; \text{Charged Off / 30+ Days Past Due (Default)} \end{cases}$$</w:t>
      </w:r>
    </w:p>
    <w:p>
      <w:pPr>
        <w:pStyle w:val="ListBullet"/>
        <w:spacing w:after="60" w:line="276" w:lineRule="auto"/>
      </w:pPr>
      <w:r/>
      <w:r>
        <w:rPr>
          <w:b/>
        </w:rPr>
        <w:t>Unit of Analysis:</w:t>
      </w:r>
      <w:r>
        <w:t xml:space="preserve"> Individual retail loan application record at the moment of credit underwriting.</w:t>
      </w:r>
    </w:p>
    <w:p>
      <w:pPr>
        <w:pStyle w:val="ListBullet"/>
        <w:spacing w:after="60" w:line="276" w:lineRule="auto"/>
      </w:pPr>
      <w:r/>
      <w:r>
        <w:rPr>
          <w:b/>
        </w:rPr>
        <w:t>Moment of Prediction:</w:t>
      </w:r>
      <w:r>
        <w:t xml:space="preserve"> Pre-funding origination stage. To eliminate data leakage, only information available *at or before* the loan origination instant is included as predictors. Post-origination servicing variables (e.g., total payment received, debt recovery collections, late fees paid) were strictly audited and excluded.</w:t>
      </w:r>
    </w:p>
    <w:p>
      <w:pPr>
        <w:pStyle w:val="Heading3"/>
        <w:spacing w:before="200" w:after="60"/>
      </w:pPr>
      <w:r>
        <w:rPr>
          <w:rFonts w:ascii="Calibri" w:hAnsi="Calibri"/>
          <w:b/>
          <w:color w:val="334155"/>
          <w:sz w:val="24"/>
        </w:rPr>
        <w:t>1.4 Objectives &amp; Success Metrics</w:t>
      </w:r>
    </w:p>
    <w:p>
      <w:pPr>
        <w:spacing w:after="100" w:line="276" w:lineRule="auto"/>
      </w:pPr>
      <w:r>
        <w:t>The project establishes rigorous quantitative objectives across statistical and business dimensions:</w:t>
      </w:r>
    </w:p>
    <w:p>
      <w:pPr>
        <w:spacing w:after="100" w:line="276" w:lineRule="auto"/>
      </w:pPr>
      <w:r>
        <w:t xml:space="preserve">1. </w:t>
      </w:r>
      <w:r>
        <w:rPr>
          <w:b/>
        </w:rPr>
        <w:t>Statistical Discrimination Objective:</w:t>
      </w:r>
      <w:r>
        <w:t xml:space="preserve"> Achieve an out-of-sample holdout Test </w:t>
      </w:r>
      <w:r>
        <w:rPr>
          <w:b/>
        </w:rPr>
        <w:t>ROC-AUC &gt; 90.0%</w:t>
      </w:r>
      <w:r>
        <w:t xml:space="preserve"> (achieved: </w:t>
      </w:r>
      <w:r>
        <w:rPr>
          <w:b/>
        </w:rPr>
        <w:t>94.11%</w:t>
      </w:r>
      <w:r>
        <w:t xml:space="preserve">) and a Precision-Recall AUC &gt; 88.0% (achieved: </w:t>
      </w:r>
      <w:r>
        <w:rPr>
          <w:b/>
        </w:rPr>
        <w:t>90.63%</w:t>
      </w:r>
      <w:r>
        <w:t>).</w:t>
      </w:r>
    </w:p>
    <w:p>
      <w:pPr>
        <w:spacing w:after="100" w:line="276" w:lineRule="auto"/>
      </w:pPr>
      <w:r>
        <w:t xml:space="preserve">2. </w:t>
      </w:r>
      <w:r>
        <w:rPr>
          <w:b/>
        </w:rPr>
        <w:t>Balanced Accuracy Objective:</w:t>
      </w:r>
      <w:r>
        <w:t xml:space="preserve"> Maintain overall holdout Test </w:t>
      </w:r>
      <w:r>
        <w:rPr>
          <w:b/>
        </w:rPr>
        <w:t>Accuracy strictly between 85.0% and 90.0%</w:t>
      </w:r>
      <w:r>
        <w:t xml:space="preserve"> (achieved: </w:t>
      </w:r>
      <w:r>
        <w:rPr>
          <w:b/>
        </w:rPr>
        <w:t>86.74%</w:t>
      </w:r>
      <w:r>
        <w:t>), ensuring high predictive power without synthetic overfitting.</w:t>
      </w:r>
    </w:p>
    <w:p>
      <w:pPr>
        <w:spacing w:after="100" w:line="276" w:lineRule="auto"/>
      </w:pPr>
      <w:r>
        <w:t xml:space="preserve">3. </w:t>
      </w:r>
      <w:r>
        <w:rPr>
          <w:b/>
        </w:rPr>
        <w:t>Cross-Validation Robustness:</w:t>
      </w:r>
      <w:r>
        <w:t xml:space="preserve"> Demonstrate negligible generalization variance across 5-Fold Stratified Cross-Validation ($\Delta_{\text{ROC-AUC}} \le 0.005$, achieved: </w:t>
      </w:r>
      <w:r>
        <w:rPr>
          <w:b/>
        </w:rPr>
        <w:t>0.9407 ± 0.0010</w:t>
      </w:r>
      <w:r>
        <w:t>).</w:t>
      </w:r>
    </w:p>
    <w:p>
      <w:pPr>
        <w:spacing w:after="100" w:line="276" w:lineRule="auto"/>
      </w:pPr>
      <w:r>
        <w:t xml:space="preserve">4. </w:t>
      </w:r>
      <w:r>
        <w:rPr>
          <w:b/>
        </w:rPr>
        <w:t>Economic Capital Objective:</w:t>
      </w:r>
      <w:r>
        <w:t xml:space="preserve"> Optimize the decision threshold ($\tau = 0.36$) to capture </w:t>
      </w:r>
      <w:r>
        <w:rPr>
          <w:b/>
        </w:rPr>
        <w:t>$\ge 85\%$ of default events</w:t>
      </w:r>
      <w:r>
        <w:t xml:space="preserve"> (Default Recall = </w:t>
      </w:r>
      <w:r>
        <w:rPr>
          <w:b/>
        </w:rPr>
        <w:t>86.50%</w:t>
      </w:r>
      <w:r>
        <w:t xml:space="preserve">), preventing over </w:t>
      </w:r>
      <w:r>
        <w:rPr>
          <w:b/>
        </w:rPr>
        <w:t>$75M</w:t>
      </w:r>
      <w:r>
        <w:t xml:space="preserve"> in institutional loan loss provisions.</w:t>
      </w:r>
    </w:p>
    <w:p>
      <w:pPr>
        <w:spacing w:after="100" w:line="276" w:lineRule="auto"/>
      </w:pPr>
      <w:r>
        <w:t xml:space="preserve">5. </w:t>
      </w:r>
      <w:r>
        <w:rPr>
          <w:b/>
        </w:rPr>
        <w:t>Regulatory Compliance Objective:</w:t>
      </w:r>
      <w:r>
        <w:t xml:space="preserve"> Generate verifiable, compliant adverse action explanations for all rejected applicants using Shapley additive explanations (SHAP).</w:t>
      </w:r>
    </w:p>
    <w:p>
      <w:pPr>
        <w:pStyle w:val="Heading3"/>
        <w:spacing w:before="200" w:after="60"/>
      </w:pPr>
      <w:r>
        <w:rPr>
          <w:rFonts w:ascii="Calibri" w:hAnsi="Calibri"/>
          <w:b/>
          <w:color w:val="334155"/>
          <w:sz w:val="24"/>
        </w:rPr>
        <w:t>1.5 Scope &amp; Constraints</w:t>
      </w:r>
    </w:p>
    <w:p>
      <w:pPr>
        <w:pStyle w:val="ListBullet"/>
        <w:spacing w:after="60" w:line="276" w:lineRule="auto"/>
      </w:pPr>
      <w:r/>
      <w:r>
        <w:rPr>
          <w:b/>
        </w:rPr>
        <w:t>Dataset Scope:</w:t>
      </w:r>
      <w:r>
        <w:t xml:space="preserve"> 100,000 anonymized consumer loan records across 26 institutional variables ($1.60 Billion in underwritten capital).</w:t>
      </w:r>
    </w:p>
    <w:p>
      <w:pPr>
        <w:pStyle w:val="ListBullet"/>
        <w:spacing w:after="60" w:line="276" w:lineRule="auto"/>
      </w:pPr>
      <w:r/>
      <w:r>
        <w:rPr>
          <w:b/>
        </w:rPr>
        <w:t>Computational Constraints:</w:t>
      </w:r>
      <w:r>
        <w:t xml:space="preserve"> All models must run and train within standard workstation memory budgets (Apple M-series / 16 GB RAM) and sustain sub-15 millisecond inference latency for real-time web deployment.</w:t>
      </w:r>
    </w:p>
    <w:p>
      <w:pPr>
        <w:pStyle w:val="ListBullet"/>
        <w:spacing w:after="60" w:line="276" w:lineRule="auto"/>
      </w:pPr>
      <w:r/>
      <w:r>
        <w:rPr>
          <w:b/>
        </w:rPr>
        <w:t>Regulatory Compliance:</w:t>
      </w:r>
      <w:r>
        <w:t xml:space="preserve"> Adherence to the Fair Credit Reporting Act (FCRA) and Equal Credit Opportunity Act (ECOA), prohibiting discriminatory features (gender, race, religion) and requiring explainable adverse action reporting.</w:t>
      </w:r>
    </w:p>
    <w:p>
      <w:r>
        <w:br w:type="page"/>
      </w:r>
    </w:p>
    <w:p>
      <w:pPr>
        <w:pStyle w:val="Heading1"/>
        <w:spacing w:before="280" w:after="100"/>
      </w:pPr>
      <w:r>
        <w:rPr>
          <w:rFonts w:ascii="Calibri" w:hAnsi="Calibri"/>
          <w:b/>
          <w:color w:val="0F172A"/>
          <w:sz w:val="36"/>
        </w:rPr>
        <w:t>Chapter 2: Data Understanding</w:t>
      </w:r>
    </w:p>
    <w:p>
      <w:pPr>
        <w:pStyle w:val="Heading3"/>
        <w:spacing w:before="200" w:after="60"/>
      </w:pPr>
      <w:r>
        <w:rPr>
          <w:rFonts w:ascii="Calibri" w:hAnsi="Calibri"/>
          <w:b/>
          <w:color w:val="334155"/>
          <w:sz w:val="24"/>
        </w:rPr>
        <w:t>2.1 Data Source(s)</w:t>
      </w:r>
    </w:p>
    <w:p>
      <w:pPr>
        <w:spacing w:after="100" w:line="276" w:lineRule="auto"/>
      </w:pPr>
      <w:r>
        <w:t xml:space="preserve">The primary dataset utilized in this research is derived from the institutional Lending Club Consumer Loan Repository, representing unsecured personal loans issued between 2012 and 2018. The dataset was sourced and curated into a dedicated research subset of exactly </w:t>
      </w:r>
      <w:r>
        <w:rPr>
          <w:b/>
        </w:rPr>
        <w:t>100,000 loan records</w:t>
      </w:r>
      <w:r>
        <w:t xml:space="preserve"> (`lending_club_loan_data.csv`, 14.5 MB), encompassing 26 standardized financial, credit history, and loan structure variables.</w:t>
      </w:r>
    </w:p>
    <w:p>
      <w:pPr>
        <w:pStyle w:val="Heading3"/>
        <w:spacing w:before="200" w:after="60"/>
      </w:pPr>
      <w:r>
        <w:rPr>
          <w:rFonts w:ascii="Calibri" w:hAnsi="Calibri"/>
          <w:b/>
          <w:color w:val="334155"/>
          <w:sz w:val="24"/>
        </w:rPr>
        <w:t>2.2 Data Dictionary Summary</w:t>
      </w:r>
    </w:p>
    <w:p>
      <w:pPr>
        <w:spacing w:after="100" w:line="276" w:lineRule="auto"/>
      </w:pPr>
      <w:r>
        <w:t>The dataset includes 21 numerical continuous predictors, 4 categorical predictors, and 1 binary classification target.</w:t>
      </w:r>
    </w:p>
    <w:p>
      <w:pPr>
        <w:spacing w:after="100" w:line="276" w:lineRule="auto"/>
      </w:pPr>
      <w:r/>
      <w:r>
        <w:rPr>
          <w:b/>
        </w:rPr>
        <w:t>Table 1: Condensed Data Dictionary Summary</w:t>
      </w:r>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fill="1E293B"/>
          </w:tcPr>
          <w:p>
            <w:pPr>
              <w:spacing w:after="40" w:before="40"/>
            </w:pPr>
            <w:r>
              <w:rPr>
                <w:b/>
                <w:color w:val="FFFFFF"/>
                <w:sz w:val="19"/>
              </w:rPr>
              <w:t>Feature Category</w:t>
            </w:r>
          </w:p>
        </w:tc>
        <w:tc>
          <w:tcPr>
            <w:tcW w:type="dxa" w:w="1734"/>
            <w:vAlign w:val="center"/>
            <w:shd w:fill="1E293B"/>
          </w:tcPr>
          <w:p>
            <w:pPr>
              <w:spacing w:after="40" w:before="40"/>
            </w:pPr>
            <w:r>
              <w:rPr>
                <w:b/>
                <w:color w:val="FFFFFF"/>
                <w:sz w:val="19"/>
              </w:rPr>
              <w:t>Variable Name</w:t>
            </w:r>
          </w:p>
        </w:tc>
        <w:tc>
          <w:tcPr>
            <w:tcW w:type="dxa" w:w="1734"/>
            <w:vAlign w:val="center"/>
            <w:shd w:fill="1E293B"/>
          </w:tcPr>
          <w:p>
            <w:pPr>
              <w:spacing w:after="40" w:before="40"/>
            </w:pPr>
            <w:r>
              <w:rPr>
                <w:b/>
                <w:color w:val="FFFFFF"/>
                <w:sz w:val="19"/>
              </w:rPr>
              <w:t>Data Type</w:t>
            </w:r>
          </w:p>
        </w:tc>
        <w:tc>
          <w:tcPr>
            <w:tcW w:type="dxa" w:w="1734"/>
            <w:vAlign w:val="center"/>
            <w:shd w:fill="1E293B"/>
          </w:tcPr>
          <w:p>
            <w:pPr>
              <w:spacing w:after="40" w:before="40"/>
            </w:pPr>
            <w:r>
              <w:rPr>
                <w:b/>
                <w:color w:val="FFFFFF"/>
                <w:sz w:val="19"/>
              </w:rPr>
              <w:t>Description</w:t>
            </w:r>
          </w:p>
        </w:tc>
        <w:tc>
          <w:tcPr>
            <w:tcW w:type="dxa" w:w="1734"/>
            <w:vAlign w:val="center"/>
            <w:shd w:fill="1E293B"/>
          </w:tcPr>
          <w:p>
            <w:pPr>
              <w:spacing w:after="40" w:before="40"/>
            </w:pPr>
            <w:r>
              <w:rPr>
                <w:b/>
                <w:color w:val="FFFFFF"/>
                <w:sz w:val="19"/>
              </w:rPr>
              <w:t>Example Values</w:t>
            </w:r>
          </w:p>
        </w:tc>
      </w:tr>
      <w:tr>
        <w:tc>
          <w:tcPr>
            <w:tcW w:type="dxa" w:w="1734"/>
            <w:vAlign w:val="center"/>
            <w:shd w:fill="F8FAFC"/>
          </w:tcPr>
          <w:p>
            <w:pPr>
              <w:spacing w:after="40" w:before="40"/>
            </w:pPr>
            <w:r>
              <w:rPr>
                <w:sz w:val="19"/>
              </w:rPr>
              <w:t>**Loan Attributes**</w:t>
            </w:r>
          </w:p>
        </w:tc>
        <w:tc>
          <w:tcPr>
            <w:tcW w:type="dxa" w:w="1734"/>
            <w:vAlign w:val="center"/>
            <w:shd w:fill="F8FAFC"/>
          </w:tcPr>
          <w:p>
            <w:pPr>
              <w:spacing w:after="40" w:before="40"/>
            </w:pPr>
            <w:r>
              <w:rPr>
                <w:sz w:val="19"/>
              </w:rPr>
              <w:t>`loan_amnt`</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Total principal amount requested by borrower ($)</w:t>
            </w:r>
          </w:p>
        </w:tc>
        <w:tc>
          <w:tcPr>
            <w:tcW w:type="dxa" w:w="1734"/>
            <w:vAlign w:val="center"/>
            <w:shd w:fill="F8FAFC"/>
          </w:tcPr>
          <w:p>
            <w:pPr>
              <w:spacing w:after="40" w:before="40"/>
            </w:pPr>
            <w:r>
              <w:rPr>
                <w:sz w:val="19"/>
              </w:rPr>
              <w:t>\$1,000 to \$40,000</w:t>
            </w:r>
          </w:p>
        </w:tc>
      </w:tr>
      <w:tr>
        <w:tc>
          <w:tcPr>
            <w:tcW w:type="dxa" w:w="1734"/>
            <w:vAlign w:val="center"/>
          </w:tcPr>
          <w:p>
            <w:pPr>
              <w:spacing w:after="40" w:before="40"/>
            </w:pPr>
            <w:r>
              <w:rPr>
                <w:sz w:val="19"/>
              </w:rPr>
            </w:r>
          </w:p>
        </w:tc>
        <w:tc>
          <w:tcPr>
            <w:tcW w:type="dxa" w:w="1734"/>
            <w:vAlign w:val="center"/>
          </w:tcPr>
          <w:p>
            <w:pPr>
              <w:spacing w:after="40" w:before="40"/>
            </w:pPr>
            <w:r>
              <w:rPr>
                <w:sz w:val="19"/>
              </w:rPr>
              <w:t>`term`</w:t>
            </w:r>
          </w:p>
        </w:tc>
        <w:tc>
          <w:tcPr>
            <w:tcW w:type="dxa" w:w="1734"/>
            <w:vAlign w:val="center"/>
          </w:tcPr>
          <w:p>
            <w:pPr>
              <w:spacing w:after="40" w:before="40"/>
            </w:pPr>
            <w:r>
              <w:rPr>
                <w:sz w:val="19"/>
              </w:rPr>
              <w:t>Categorical</w:t>
            </w:r>
          </w:p>
        </w:tc>
        <w:tc>
          <w:tcPr>
            <w:tcW w:type="dxa" w:w="1734"/>
            <w:vAlign w:val="center"/>
          </w:tcPr>
          <w:p>
            <w:pPr>
              <w:spacing w:after="40" w:before="40"/>
            </w:pPr>
            <w:r>
              <w:rPr>
                <w:sz w:val="19"/>
              </w:rPr>
              <w:t>Duration of loan repayment contract</w:t>
            </w:r>
          </w:p>
        </w:tc>
        <w:tc>
          <w:tcPr>
            <w:tcW w:type="dxa" w:w="1734"/>
            <w:vAlign w:val="center"/>
          </w:tcPr>
          <w:p>
            <w:pPr>
              <w:spacing w:after="40" w:before="40"/>
            </w:pPr>
            <w:r>
              <w:rPr>
                <w:sz w:val="19"/>
              </w:rPr>
              <w:t>`36 months`, `60 months`</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`int_rate`</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Commercial interest rate assigned to loan (%)</w:t>
            </w:r>
          </w:p>
        </w:tc>
        <w:tc>
          <w:tcPr>
            <w:tcW w:type="dxa" w:w="1734"/>
            <w:vAlign w:val="center"/>
            <w:shd w:fill="F8FAFC"/>
          </w:tcPr>
          <w:p>
            <w:pPr>
              <w:spacing w:after="40" w:before="40"/>
            </w:pPr>
            <w:r>
              <w:rPr>
                <w:sz w:val="19"/>
              </w:rPr>
              <w:t>5.32% to 30.99%</w:t>
            </w:r>
          </w:p>
        </w:tc>
      </w:tr>
      <w:tr>
        <w:tc>
          <w:tcPr>
            <w:tcW w:type="dxa" w:w="1734"/>
            <w:vAlign w:val="center"/>
          </w:tcPr>
          <w:p>
            <w:pPr>
              <w:spacing w:after="40" w:before="40"/>
            </w:pPr>
            <w:r>
              <w:rPr>
                <w:sz w:val="19"/>
              </w:rPr>
            </w:r>
          </w:p>
        </w:tc>
        <w:tc>
          <w:tcPr>
            <w:tcW w:type="dxa" w:w="1734"/>
            <w:vAlign w:val="center"/>
          </w:tcPr>
          <w:p>
            <w:pPr>
              <w:spacing w:after="40" w:before="40"/>
            </w:pPr>
            <w:r>
              <w:rPr>
                <w:sz w:val="19"/>
              </w:rPr>
              <w:t>`installment`</w:t>
            </w:r>
          </w:p>
        </w:tc>
        <w:tc>
          <w:tcPr>
            <w:tcW w:type="dxa" w:w="1734"/>
            <w:vAlign w:val="center"/>
          </w:tcPr>
          <w:p>
            <w:pPr>
              <w:spacing w:after="40" w:before="40"/>
            </w:pPr>
            <w:r>
              <w:rPr>
                <w:sz w:val="19"/>
              </w:rPr>
              <w:t>Float64</w:t>
            </w:r>
          </w:p>
        </w:tc>
        <w:tc>
          <w:tcPr>
            <w:tcW w:type="dxa" w:w="1734"/>
            <w:vAlign w:val="center"/>
          </w:tcPr>
          <w:p>
            <w:pPr>
              <w:spacing w:after="40" w:before="40"/>
            </w:pPr>
            <w:r>
              <w:rPr>
                <w:sz w:val="19"/>
              </w:rPr>
              <w:t>Monthly payment due if loan funded ($)</w:t>
            </w:r>
          </w:p>
        </w:tc>
        <w:tc>
          <w:tcPr>
            <w:tcW w:type="dxa" w:w="1734"/>
            <w:vAlign w:val="center"/>
          </w:tcPr>
          <w:p>
            <w:pPr>
              <w:spacing w:after="40" w:before="40"/>
            </w:pPr>
            <w:r>
              <w:rPr>
                <w:sz w:val="19"/>
              </w:rPr>
              <w:t>\$30.12 to \$1,566.59</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`grade`</w:t>
            </w:r>
          </w:p>
        </w:tc>
        <w:tc>
          <w:tcPr>
            <w:tcW w:type="dxa" w:w="1734"/>
            <w:vAlign w:val="center"/>
            <w:shd w:fill="F8FAFC"/>
          </w:tcPr>
          <w:p>
            <w:pPr>
              <w:spacing w:after="40" w:before="40"/>
            </w:pPr>
            <w:r>
              <w:rPr>
                <w:sz w:val="19"/>
              </w:rPr>
              <w:t>Categorical</w:t>
            </w:r>
          </w:p>
        </w:tc>
        <w:tc>
          <w:tcPr>
            <w:tcW w:type="dxa" w:w="1734"/>
            <w:vAlign w:val="center"/>
            <w:shd w:fill="F8FAFC"/>
          </w:tcPr>
          <w:p>
            <w:pPr>
              <w:spacing w:after="40" w:before="40"/>
            </w:pPr>
            <w:r>
              <w:rPr>
                <w:sz w:val="19"/>
              </w:rPr>
              <w:t>Institutional loan quality grade</w:t>
            </w:r>
          </w:p>
        </w:tc>
        <w:tc>
          <w:tcPr>
            <w:tcW w:type="dxa" w:w="1734"/>
            <w:vAlign w:val="center"/>
            <w:shd w:fill="F8FAFC"/>
          </w:tcPr>
          <w:p>
            <w:pPr>
              <w:spacing w:after="40" w:before="40"/>
            </w:pPr>
            <w:r>
              <w:rPr>
                <w:sz w:val="19"/>
              </w:rPr>
              <w:t>`B`, `C`, `D`, `E`, `F`, `G`</w:t>
            </w:r>
          </w:p>
        </w:tc>
      </w:tr>
      <w:tr>
        <w:tc>
          <w:tcPr>
            <w:tcW w:type="dxa" w:w="1734"/>
            <w:vAlign w:val="center"/>
          </w:tcPr>
          <w:p>
            <w:pPr>
              <w:spacing w:after="40" w:before="40"/>
            </w:pPr>
            <w:r>
              <w:rPr>
                <w:sz w:val="19"/>
              </w:rPr>
            </w:r>
          </w:p>
        </w:tc>
        <w:tc>
          <w:tcPr>
            <w:tcW w:type="dxa" w:w="1734"/>
            <w:vAlign w:val="center"/>
          </w:tcPr>
          <w:p>
            <w:pPr>
              <w:spacing w:after="40" w:before="40"/>
            </w:pPr>
            <w:r>
              <w:rPr>
                <w:sz w:val="19"/>
              </w:rPr>
              <w:t>`sub_grade`</w:t>
            </w:r>
          </w:p>
        </w:tc>
        <w:tc>
          <w:tcPr>
            <w:tcW w:type="dxa" w:w="1734"/>
            <w:vAlign w:val="center"/>
          </w:tcPr>
          <w:p>
            <w:pPr>
              <w:spacing w:after="40" w:before="40"/>
            </w:pPr>
            <w:r>
              <w:rPr>
                <w:sz w:val="19"/>
              </w:rPr>
              <w:t>Categorical</w:t>
            </w:r>
          </w:p>
        </w:tc>
        <w:tc>
          <w:tcPr>
            <w:tcW w:type="dxa" w:w="1734"/>
            <w:vAlign w:val="center"/>
          </w:tcPr>
          <w:p>
            <w:pPr>
              <w:spacing w:after="40" w:before="40"/>
            </w:pPr>
            <w:r>
              <w:rPr>
                <w:sz w:val="19"/>
              </w:rPr>
              <w:t>Granular risk sub-grade assigned by credit desk</w:t>
            </w:r>
          </w:p>
        </w:tc>
        <w:tc>
          <w:tcPr>
            <w:tcW w:type="dxa" w:w="1734"/>
            <w:vAlign w:val="center"/>
          </w:tcPr>
          <w:p>
            <w:pPr>
              <w:spacing w:after="40" w:before="40"/>
            </w:pPr>
            <w:r>
              <w:rPr>
                <w:sz w:val="19"/>
              </w:rPr>
              <w:t>`B1` to `G5`</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`purpose`</w:t>
            </w:r>
          </w:p>
        </w:tc>
        <w:tc>
          <w:tcPr>
            <w:tcW w:type="dxa" w:w="1734"/>
            <w:vAlign w:val="center"/>
            <w:shd w:fill="F8FAFC"/>
          </w:tcPr>
          <w:p>
            <w:pPr>
              <w:spacing w:after="40" w:before="40"/>
            </w:pPr>
            <w:r>
              <w:rPr>
                <w:sz w:val="19"/>
              </w:rPr>
              <w:t>Categorical</w:t>
            </w:r>
          </w:p>
        </w:tc>
        <w:tc>
          <w:tcPr>
            <w:tcW w:type="dxa" w:w="1734"/>
            <w:vAlign w:val="center"/>
            <w:shd w:fill="F8FAFC"/>
          </w:tcPr>
          <w:p>
            <w:pPr>
              <w:spacing w:after="40" w:before="40"/>
            </w:pPr>
            <w:r>
              <w:rPr>
                <w:sz w:val="19"/>
              </w:rPr>
              <w:t>Stated borrower rationale for loan</w:t>
            </w:r>
          </w:p>
        </w:tc>
        <w:tc>
          <w:tcPr>
            <w:tcW w:type="dxa" w:w="1734"/>
            <w:vAlign w:val="center"/>
            <w:shd w:fill="F8FAFC"/>
          </w:tcPr>
          <w:p>
            <w:pPr>
              <w:spacing w:after="40" w:before="40"/>
            </w:pPr>
            <w:r>
              <w:rPr>
                <w:sz w:val="19"/>
              </w:rPr>
              <w:t>`debt_consolidation`, `credit_card`</w:t>
            </w:r>
          </w:p>
        </w:tc>
      </w:tr>
      <w:tr>
        <w:tc>
          <w:tcPr>
            <w:tcW w:type="dxa" w:w="1734"/>
            <w:vAlign w:val="center"/>
          </w:tcPr>
          <w:p>
            <w:pPr>
              <w:spacing w:after="40" w:before="40"/>
            </w:pPr>
            <w:r>
              <w:rPr>
                <w:sz w:val="19"/>
              </w:rPr>
              <w:t>**Borrower Profile**</w:t>
            </w:r>
          </w:p>
        </w:tc>
        <w:tc>
          <w:tcPr>
            <w:tcW w:type="dxa" w:w="1734"/>
            <w:vAlign w:val="center"/>
          </w:tcPr>
          <w:p>
            <w:pPr>
              <w:spacing w:after="40" w:before="40"/>
            </w:pPr>
            <w:r>
              <w:rPr>
                <w:sz w:val="19"/>
              </w:rPr>
              <w:t>`annual_inc`</w:t>
            </w:r>
          </w:p>
        </w:tc>
        <w:tc>
          <w:tcPr>
            <w:tcW w:type="dxa" w:w="1734"/>
            <w:vAlign w:val="center"/>
          </w:tcPr>
          <w:p>
            <w:pPr>
              <w:spacing w:after="40" w:before="40"/>
            </w:pPr>
            <w:r>
              <w:rPr>
                <w:sz w:val="19"/>
              </w:rPr>
              <w:t>Float64</w:t>
            </w:r>
          </w:p>
        </w:tc>
        <w:tc>
          <w:tcPr>
            <w:tcW w:type="dxa" w:w="1734"/>
            <w:vAlign w:val="center"/>
          </w:tcPr>
          <w:p>
            <w:pPr>
              <w:spacing w:after="40" w:before="40"/>
            </w:pPr>
            <w:r>
              <w:rPr>
                <w:sz w:val="19"/>
              </w:rPr>
              <w:t>Self-reported verified gross annual income ($)</w:t>
            </w:r>
          </w:p>
        </w:tc>
        <w:tc>
          <w:tcPr>
            <w:tcW w:type="dxa" w:w="1734"/>
            <w:vAlign w:val="center"/>
          </w:tcPr>
          <w:p>
            <w:pPr>
              <w:spacing w:after="40" w:before="40"/>
            </w:pPr>
            <w:r>
              <w:rPr>
                <w:sz w:val="19"/>
              </w:rPr>
              <w:t>\$10,000 to \$500,000</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`home_ownership`</w:t>
            </w:r>
          </w:p>
        </w:tc>
        <w:tc>
          <w:tcPr>
            <w:tcW w:type="dxa" w:w="1734"/>
            <w:vAlign w:val="center"/>
            <w:shd w:fill="F8FAFC"/>
          </w:tcPr>
          <w:p>
            <w:pPr>
              <w:spacing w:after="40" w:before="40"/>
            </w:pPr>
            <w:r>
              <w:rPr>
                <w:sz w:val="19"/>
              </w:rPr>
              <w:t>Categorical</w:t>
            </w:r>
          </w:p>
        </w:tc>
        <w:tc>
          <w:tcPr>
            <w:tcW w:type="dxa" w:w="1734"/>
            <w:vAlign w:val="center"/>
            <w:shd w:fill="F8FAFC"/>
          </w:tcPr>
          <w:p>
            <w:pPr>
              <w:spacing w:after="40" w:before="40"/>
            </w:pPr>
            <w:r>
              <w:rPr>
                <w:sz w:val="19"/>
              </w:rPr>
              <w:t>Residential tenure status</w:t>
            </w:r>
          </w:p>
        </w:tc>
        <w:tc>
          <w:tcPr>
            <w:tcW w:type="dxa" w:w="1734"/>
            <w:vAlign w:val="center"/>
            <w:shd w:fill="F8FAFC"/>
          </w:tcPr>
          <w:p>
            <w:pPr>
              <w:spacing w:after="40" w:before="40"/>
            </w:pPr>
            <w:r>
              <w:rPr>
                <w:sz w:val="19"/>
              </w:rPr>
              <w:t>`MORTGAGE`, `RENT`, `OWN`</w:t>
            </w:r>
          </w:p>
        </w:tc>
      </w:tr>
      <w:tr>
        <w:tc>
          <w:tcPr>
            <w:tcW w:type="dxa" w:w="1734"/>
            <w:vAlign w:val="center"/>
          </w:tcPr>
          <w:p>
            <w:pPr>
              <w:spacing w:after="40" w:before="40"/>
            </w:pPr>
            <w:r>
              <w:rPr>
                <w:sz w:val="19"/>
              </w:rPr>
            </w:r>
          </w:p>
        </w:tc>
        <w:tc>
          <w:tcPr>
            <w:tcW w:type="dxa" w:w="1734"/>
            <w:vAlign w:val="center"/>
          </w:tcPr>
          <w:p>
            <w:pPr>
              <w:spacing w:after="40" w:before="40"/>
            </w:pPr>
            <w:r>
              <w:rPr>
                <w:sz w:val="19"/>
              </w:rPr>
              <w:t>`verification_status`</w:t>
            </w:r>
          </w:p>
        </w:tc>
        <w:tc>
          <w:tcPr>
            <w:tcW w:type="dxa" w:w="1734"/>
            <w:vAlign w:val="center"/>
          </w:tcPr>
          <w:p>
            <w:pPr>
              <w:spacing w:after="40" w:before="40"/>
            </w:pPr>
            <w:r>
              <w:rPr>
                <w:sz w:val="19"/>
              </w:rPr>
              <w:t>Categorical</w:t>
            </w:r>
          </w:p>
        </w:tc>
        <w:tc>
          <w:tcPr>
            <w:tcW w:type="dxa" w:w="1734"/>
            <w:vAlign w:val="center"/>
          </w:tcPr>
          <w:p>
            <w:pPr>
              <w:spacing w:after="40" w:before="40"/>
            </w:pPr>
            <w:r>
              <w:rPr>
                <w:sz w:val="19"/>
              </w:rPr>
              <w:t>Income verification audit status</w:t>
            </w:r>
          </w:p>
        </w:tc>
        <w:tc>
          <w:tcPr>
            <w:tcW w:type="dxa" w:w="1734"/>
            <w:vAlign w:val="center"/>
          </w:tcPr>
          <w:p>
            <w:pPr>
              <w:spacing w:after="40" w:before="40"/>
            </w:pPr>
            <w:r>
              <w:rPr>
                <w:sz w:val="19"/>
              </w:rPr>
              <w:t>`Verified`, `Source Verified`, `Not Verified`</w:t>
            </w:r>
          </w:p>
        </w:tc>
      </w:tr>
      <w:tr>
        <w:tc>
          <w:tcPr>
            <w:tcW w:type="dxa" w:w="1734"/>
            <w:vAlign w:val="center"/>
            <w:shd w:fill="F8FAFC"/>
          </w:tcPr>
          <w:p>
            <w:pPr>
              <w:spacing w:after="40" w:before="40"/>
            </w:pPr>
            <w:r>
              <w:rPr>
                <w:sz w:val="19"/>
              </w:rPr>
              <w:t>**Credit History**</w:t>
            </w:r>
          </w:p>
        </w:tc>
        <w:tc>
          <w:tcPr>
            <w:tcW w:type="dxa" w:w="1734"/>
            <w:vAlign w:val="center"/>
            <w:shd w:fill="F8FAFC"/>
          </w:tcPr>
          <w:p>
            <w:pPr>
              <w:spacing w:after="40" w:before="40"/>
            </w:pPr>
            <w:r>
              <w:rPr>
                <w:sz w:val="19"/>
              </w:rPr>
              <w:t>`dti`</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Debt-to-Income ratio excluding requested loan (%)</w:t>
            </w:r>
          </w:p>
        </w:tc>
        <w:tc>
          <w:tcPr>
            <w:tcW w:type="dxa" w:w="1734"/>
            <w:vAlign w:val="center"/>
            <w:shd w:fill="F8FAFC"/>
          </w:tcPr>
          <w:p>
            <w:pPr>
              <w:spacing w:after="40" w:before="40"/>
            </w:pPr>
            <w:r>
              <w:rPr>
                <w:sz w:val="19"/>
              </w:rPr>
              <w:t>0.0% to 45.0%</w:t>
            </w:r>
          </w:p>
        </w:tc>
      </w:tr>
      <w:tr>
        <w:tc>
          <w:tcPr>
            <w:tcW w:type="dxa" w:w="1734"/>
            <w:vAlign w:val="center"/>
          </w:tcPr>
          <w:p>
            <w:pPr>
              <w:spacing w:after="40" w:before="40"/>
            </w:pPr>
            <w:r>
              <w:rPr>
                <w:sz w:val="19"/>
              </w:rPr>
            </w:r>
          </w:p>
        </w:tc>
        <w:tc>
          <w:tcPr>
            <w:tcW w:type="dxa" w:w="1734"/>
            <w:vAlign w:val="center"/>
          </w:tcPr>
          <w:p>
            <w:pPr>
              <w:spacing w:after="40" w:before="40"/>
            </w:pPr>
            <w:r>
              <w:rPr>
                <w:sz w:val="19"/>
              </w:rPr>
              <w:t>`fico_range_low`</w:t>
            </w:r>
          </w:p>
        </w:tc>
        <w:tc>
          <w:tcPr>
            <w:tcW w:type="dxa" w:w="1734"/>
            <w:vAlign w:val="center"/>
          </w:tcPr>
          <w:p>
            <w:pPr>
              <w:spacing w:after="40" w:before="40"/>
            </w:pPr>
            <w:r>
              <w:rPr>
                <w:sz w:val="19"/>
              </w:rPr>
              <w:t>Float64</w:t>
            </w:r>
          </w:p>
        </w:tc>
        <w:tc>
          <w:tcPr>
            <w:tcW w:type="dxa" w:w="1734"/>
            <w:vAlign w:val="center"/>
          </w:tcPr>
          <w:p>
            <w:pPr>
              <w:spacing w:after="40" w:before="40"/>
            </w:pPr>
            <w:r>
              <w:rPr>
                <w:sz w:val="19"/>
              </w:rPr>
              <w:t>Lower boundary of borrower FICO score band</w:t>
            </w:r>
          </w:p>
        </w:tc>
        <w:tc>
          <w:tcPr>
            <w:tcW w:type="dxa" w:w="1734"/>
            <w:vAlign w:val="center"/>
          </w:tcPr>
          <w:p>
            <w:pPr>
              <w:spacing w:after="40" w:before="40"/>
            </w:pPr>
            <w:r>
              <w:rPr>
                <w:sz w:val="19"/>
              </w:rPr>
              <w:t>620 to 845</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`fico_range_high`</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Upper boundary of borrower FICO score band</w:t>
            </w:r>
          </w:p>
        </w:tc>
        <w:tc>
          <w:tcPr>
            <w:tcW w:type="dxa" w:w="1734"/>
            <w:vAlign w:val="center"/>
            <w:shd w:fill="F8FAFC"/>
          </w:tcPr>
          <w:p>
            <w:pPr>
              <w:spacing w:after="40" w:before="40"/>
            </w:pPr>
            <w:r>
              <w:rPr>
                <w:sz w:val="19"/>
              </w:rPr>
              <w:t>624 to 850</w:t>
            </w:r>
          </w:p>
        </w:tc>
      </w:tr>
      <w:tr>
        <w:tc>
          <w:tcPr>
            <w:tcW w:type="dxa" w:w="1734"/>
            <w:vAlign w:val="center"/>
          </w:tcPr>
          <w:p>
            <w:pPr>
              <w:spacing w:after="40" w:before="40"/>
            </w:pPr>
            <w:r>
              <w:rPr>
                <w:sz w:val="19"/>
              </w:rPr>
            </w:r>
          </w:p>
        </w:tc>
        <w:tc>
          <w:tcPr>
            <w:tcW w:type="dxa" w:w="1734"/>
            <w:vAlign w:val="center"/>
          </w:tcPr>
          <w:p>
            <w:pPr>
              <w:spacing w:after="40" w:before="40"/>
            </w:pPr>
            <w:r>
              <w:rPr>
                <w:sz w:val="19"/>
              </w:rPr>
              <w:t>`delinq_2yrs`</w:t>
            </w:r>
          </w:p>
        </w:tc>
        <w:tc>
          <w:tcPr>
            <w:tcW w:type="dxa" w:w="1734"/>
            <w:vAlign w:val="center"/>
          </w:tcPr>
          <w:p>
            <w:pPr>
              <w:spacing w:after="40" w:before="40"/>
            </w:pPr>
            <w:r>
              <w:rPr>
                <w:sz w:val="19"/>
              </w:rPr>
              <w:t>Float64</w:t>
            </w:r>
          </w:p>
        </w:tc>
        <w:tc>
          <w:tcPr>
            <w:tcW w:type="dxa" w:w="1734"/>
            <w:vAlign w:val="center"/>
          </w:tcPr>
          <w:p>
            <w:pPr>
              <w:spacing w:after="40" w:before="40"/>
            </w:pPr>
            <w:r>
              <w:rPr>
                <w:sz w:val="19"/>
              </w:rPr>
              <w:t>30+ days past-due delinquencies in past 2 yrs</w:t>
            </w:r>
          </w:p>
        </w:tc>
        <w:tc>
          <w:tcPr>
            <w:tcW w:type="dxa" w:w="1734"/>
            <w:vAlign w:val="center"/>
          </w:tcPr>
          <w:p>
            <w:pPr>
              <w:spacing w:after="40" w:before="40"/>
            </w:pPr>
            <w:r>
              <w:rPr>
                <w:sz w:val="19"/>
              </w:rPr>
              <w:t>0 to 12</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`inq_last_6mths`</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Hard credit inquiries in past 6 months</w:t>
            </w:r>
          </w:p>
        </w:tc>
        <w:tc>
          <w:tcPr>
            <w:tcW w:type="dxa" w:w="1734"/>
            <w:vAlign w:val="center"/>
            <w:shd w:fill="F8FAFC"/>
          </w:tcPr>
          <w:p>
            <w:pPr>
              <w:spacing w:after="40" w:before="40"/>
            </w:pPr>
            <w:r>
              <w:rPr>
                <w:sz w:val="19"/>
              </w:rPr>
              <w:t>0 to 6</w:t>
            </w:r>
          </w:p>
        </w:tc>
      </w:tr>
      <w:tr>
        <w:tc>
          <w:tcPr>
            <w:tcW w:type="dxa" w:w="1734"/>
            <w:vAlign w:val="center"/>
          </w:tcPr>
          <w:p>
            <w:pPr>
              <w:spacing w:after="40" w:before="40"/>
            </w:pPr>
            <w:r>
              <w:rPr>
                <w:sz w:val="19"/>
              </w:rPr>
            </w:r>
          </w:p>
        </w:tc>
        <w:tc>
          <w:tcPr>
            <w:tcW w:type="dxa" w:w="1734"/>
            <w:vAlign w:val="center"/>
          </w:tcPr>
          <w:p>
            <w:pPr>
              <w:spacing w:after="40" w:before="40"/>
            </w:pPr>
            <w:r>
              <w:rPr>
                <w:sz w:val="19"/>
              </w:rPr>
              <w:t>`open_acc`</w:t>
            </w:r>
          </w:p>
        </w:tc>
        <w:tc>
          <w:tcPr>
            <w:tcW w:type="dxa" w:w="1734"/>
            <w:vAlign w:val="center"/>
          </w:tcPr>
          <w:p>
            <w:pPr>
              <w:spacing w:after="40" w:before="40"/>
            </w:pPr>
            <w:r>
              <w:rPr>
                <w:sz w:val="19"/>
              </w:rPr>
              <w:t>Float64</w:t>
            </w:r>
          </w:p>
        </w:tc>
        <w:tc>
          <w:tcPr>
            <w:tcW w:type="dxa" w:w="1734"/>
            <w:vAlign w:val="center"/>
          </w:tcPr>
          <w:p>
            <w:pPr>
              <w:spacing w:after="40" w:before="40"/>
            </w:pPr>
            <w:r>
              <w:rPr>
                <w:sz w:val="19"/>
              </w:rPr>
              <w:t>Number of open credit lines</w:t>
            </w:r>
          </w:p>
        </w:tc>
        <w:tc>
          <w:tcPr>
            <w:tcW w:type="dxa" w:w="1734"/>
            <w:vAlign w:val="center"/>
          </w:tcPr>
          <w:p>
            <w:pPr>
              <w:spacing w:after="40" w:before="40"/>
            </w:pPr>
            <w:r>
              <w:rPr>
                <w:sz w:val="19"/>
              </w:rPr>
              <w:t>2 to 45</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`pub_rec`</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Derogatory public records (liens, civil judgements)</w:t>
            </w:r>
          </w:p>
        </w:tc>
        <w:tc>
          <w:tcPr>
            <w:tcW w:type="dxa" w:w="1734"/>
            <w:vAlign w:val="center"/>
            <w:shd w:fill="F8FAFC"/>
          </w:tcPr>
          <w:p>
            <w:pPr>
              <w:spacing w:after="40" w:before="40"/>
            </w:pPr>
            <w:r>
              <w:rPr>
                <w:sz w:val="19"/>
              </w:rPr>
              <w:t>0 to 8</w:t>
            </w:r>
          </w:p>
        </w:tc>
      </w:tr>
      <w:tr>
        <w:tc>
          <w:tcPr>
            <w:tcW w:type="dxa" w:w="1734"/>
            <w:vAlign w:val="center"/>
          </w:tcPr>
          <w:p>
            <w:pPr>
              <w:spacing w:after="40" w:before="40"/>
            </w:pPr>
            <w:r>
              <w:rPr>
                <w:sz w:val="19"/>
              </w:rPr>
            </w:r>
          </w:p>
        </w:tc>
        <w:tc>
          <w:tcPr>
            <w:tcW w:type="dxa" w:w="1734"/>
            <w:vAlign w:val="center"/>
          </w:tcPr>
          <w:p>
            <w:pPr>
              <w:spacing w:after="40" w:before="40"/>
            </w:pPr>
            <w:r>
              <w:rPr>
                <w:sz w:val="19"/>
              </w:rPr>
              <w:t>`revol_bal`</w:t>
            </w:r>
          </w:p>
        </w:tc>
        <w:tc>
          <w:tcPr>
            <w:tcW w:type="dxa" w:w="1734"/>
            <w:vAlign w:val="center"/>
          </w:tcPr>
          <w:p>
            <w:pPr>
              <w:spacing w:after="40" w:before="40"/>
            </w:pPr>
            <w:r>
              <w:rPr>
                <w:sz w:val="19"/>
              </w:rPr>
              <w:t>Float64</w:t>
            </w:r>
          </w:p>
        </w:tc>
        <w:tc>
          <w:tcPr>
            <w:tcW w:type="dxa" w:w="1734"/>
            <w:vAlign w:val="center"/>
          </w:tcPr>
          <w:p>
            <w:pPr>
              <w:spacing w:after="40" w:before="40"/>
            </w:pPr>
            <w:r>
              <w:rPr>
                <w:sz w:val="19"/>
              </w:rPr>
              <w:t>Total revolving credit balance outstanding ($)</w:t>
            </w:r>
          </w:p>
        </w:tc>
        <w:tc>
          <w:tcPr>
            <w:tcW w:type="dxa" w:w="1734"/>
            <w:vAlign w:val="center"/>
          </w:tcPr>
          <w:p>
            <w:pPr>
              <w:spacing w:after="40" w:before="40"/>
            </w:pPr>
            <w:r>
              <w:rPr>
                <w:sz w:val="19"/>
              </w:rPr>
              <w:t>\$0 to \$180,000</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`revol_util`</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Revolving line utilization percentage (%)</w:t>
            </w:r>
          </w:p>
        </w:tc>
        <w:tc>
          <w:tcPr>
            <w:tcW w:type="dxa" w:w="1734"/>
            <w:vAlign w:val="center"/>
            <w:shd w:fill="F8FAFC"/>
          </w:tcPr>
          <w:p>
            <w:pPr>
              <w:spacing w:after="40" w:before="40"/>
            </w:pPr>
            <w:r>
              <w:rPr>
                <w:sz w:val="19"/>
              </w:rPr>
              <w:t>0.0% to 110.0%</w:t>
            </w:r>
          </w:p>
        </w:tc>
      </w:tr>
      <w:tr>
        <w:tc>
          <w:tcPr>
            <w:tcW w:type="dxa" w:w="1734"/>
            <w:vAlign w:val="center"/>
          </w:tcPr>
          <w:p>
            <w:pPr>
              <w:spacing w:after="40" w:before="40"/>
            </w:pPr>
            <w:r>
              <w:rPr>
                <w:sz w:val="19"/>
              </w:rPr>
            </w:r>
          </w:p>
        </w:tc>
        <w:tc>
          <w:tcPr>
            <w:tcW w:type="dxa" w:w="1734"/>
            <w:vAlign w:val="center"/>
          </w:tcPr>
          <w:p>
            <w:pPr>
              <w:spacing w:after="40" w:before="40"/>
            </w:pPr>
            <w:r>
              <w:rPr>
                <w:sz w:val="19"/>
              </w:rPr>
              <w:t>`total_acc`</w:t>
            </w:r>
          </w:p>
        </w:tc>
        <w:tc>
          <w:tcPr>
            <w:tcW w:type="dxa" w:w="1734"/>
            <w:vAlign w:val="center"/>
          </w:tcPr>
          <w:p>
            <w:pPr>
              <w:spacing w:after="40" w:before="40"/>
            </w:pPr>
            <w:r>
              <w:rPr>
                <w:sz w:val="19"/>
              </w:rPr>
              <w:t>Float64</w:t>
            </w:r>
          </w:p>
        </w:tc>
        <w:tc>
          <w:tcPr>
            <w:tcW w:type="dxa" w:w="1734"/>
            <w:vAlign w:val="center"/>
          </w:tcPr>
          <w:p>
            <w:pPr>
              <w:spacing w:after="40" w:before="40"/>
            </w:pPr>
            <w:r>
              <w:rPr>
                <w:sz w:val="19"/>
              </w:rPr>
              <w:t>Total credit lines ever recorded on credit file</w:t>
            </w:r>
          </w:p>
        </w:tc>
        <w:tc>
          <w:tcPr>
            <w:tcW w:type="dxa" w:w="1734"/>
            <w:vAlign w:val="center"/>
          </w:tcPr>
          <w:p>
            <w:pPr>
              <w:spacing w:after="40" w:before="40"/>
            </w:pPr>
            <w:r>
              <w:rPr>
                <w:sz w:val="19"/>
              </w:rPr>
              <w:t>4 to 85</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`mort_acc`</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Number of active mortgage accounts</w:t>
            </w:r>
          </w:p>
        </w:tc>
        <w:tc>
          <w:tcPr>
            <w:tcW w:type="dxa" w:w="1734"/>
            <w:vAlign w:val="center"/>
            <w:shd w:fill="F8FAFC"/>
          </w:tcPr>
          <w:p>
            <w:pPr>
              <w:spacing w:after="40" w:before="40"/>
            </w:pPr>
            <w:r>
              <w:rPr>
                <w:sz w:val="19"/>
              </w:rPr>
              <w:t>0 to 14</w:t>
            </w:r>
          </w:p>
        </w:tc>
      </w:tr>
      <w:tr>
        <w:tc>
          <w:tcPr>
            <w:tcW w:type="dxa" w:w="1734"/>
            <w:vAlign w:val="center"/>
          </w:tcPr>
          <w:p>
            <w:pPr>
              <w:spacing w:after="40" w:before="40"/>
            </w:pPr>
            <w:r>
              <w:rPr>
                <w:sz w:val="19"/>
              </w:rPr>
            </w:r>
          </w:p>
        </w:tc>
        <w:tc>
          <w:tcPr>
            <w:tcW w:type="dxa" w:w="1734"/>
            <w:vAlign w:val="center"/>
          </w:tcPr>
          <w:p>
            <w:pPr>
              <w:spacing w:after="40" w:before="40"/>
            </w:pPr>
            <w:r>
              <w:rPr>
                <w:sz w:val="19"/>
              </w:rPr>
              <w:t>`pub_rec_bankruptcies`</w:t>
            </w:r>
          </w:p>
        </w:tc>
        <w:tc>
          <w:tcPr>
            <w:tcW w:type="dxa" w:w="1734"/>
            <w:vAlign w:val="center"/>
          </w:tcPr>
          <w:p>
            <w:pPr>
              <w:spacing w:after="40" w:before="40"/>
            </w:pPr>
            <w:r>
              <w:rPr>
                <w:sz w:val="19"/>
              </w:rPr>
              <w:t>Float64</w:t>
            </w:r>
          </w:p>
        </w:tc>
        <w:tc>
          <w:tcPr>
            <w:tcW w:type="dxa" w:w="1734"/>
            <w:vAlign w:val="center"/>
          </w:tcPr>
          <w:p>
            <w:pPr>
              <w:spacing w:after="40" w:before="40"/>
            </w:pPr>
            <w:r>
              <w:rPr>
                <w:sz w:val="19"/>
              </w:rPr>
              <w:t>Number of recorded personal bankruptcies</w:t>
            </w:r>
          </w:p>
        </w:tc>
        <w:tc>
          <w:tcPr>
            <w:tcW w:type="dxa" w:w="1734"/>
            <w:vAlign w:val="center"/>
          </w:tcPr>
          <w:p>
            <w:pPr>
              <w:spacing w:after="40" w:before="40"/>
            </w:pPr>
            <w:r>
              <w:rPr>
                <w:sz w:val="19"/>
              </w:rPr>
              <w:t>0 to 4</w:t>
            </w:r>
          </w:p>
        </w:tc>
      </w:tr>
      <w:tr>
        <w:tc>
          <w:tcPr>
            <w:tcW w:type="dxa" w:w="1734"/>
            <w:vAlign w:val="center"/>
            <w:shd w:fill="F8FAFC"/>
          </w:tcPr>
          <w:p>
            <w:pPr>
              <w:spacing w:after="40" w:before="40"/>
            </w:pPr>
            <w:r>
              <w:rPr>
                <w:sz w:val="19"/>
              </w:rPr>
            </w:r>
          </w:p>
        </w:tc>
        <w:tc>
          <w:tcPr>
            <w:tcW w:type="dxa" w:w="1734"/>
            <w:vAlign w:val="center"/>
            <w:shd w:fill="F8FAFC"/>
          </w:tcPr>
          <w:p>
            <w:pPr>
              <w:spacing w:after="40" w:before="40"/>
            </w:pPr>
            <w:r>
              <w:rPr>
                <w:sz w:val="19"/>
              </w:rPr>
              <w:t>`cred_hist_years`</w:t>
            </w:r>
          </w:p>
        </w:tc>
        <w:tc>
          <w:tcPr>
            <w:tcW w:type="dxa" w:w="1734"/>
            <w:vAlign w:val="center"/>
            <w:shd w:fill="F8FAFC"/>
          </w:tcPr>
          <w:p>
            <w:pPr>
              <w:spacing w:after="40" w:before="40"/>
            </w:pPr>
            <w:r>
              <w:rPr>
                <w:sz w:val="19"/>
              </w:rPr>
              <w:t>Float64</w:t>
            </w:r>
          </w:p>
        </w:tc>
        <w:tc>
          <w:tcPr>
            <w:tcW w:type="dxa" w:w="1734"/>
            <w:vAlign w:val="center"/>
            <w:shd w:fill="F8FAFC"/>
          </w:tcPr>
          <w:p>
            <w:pPr>
              <w:spacing w:after="40" w:before="40"/>
            </w:pPr>
            <w:r>
              <w:rPr>
                <w:sz w:val="19"/>
              </w:rPr>
              <w:t>Length of borrower credit history (years)</w:t>
            </w:r>
          </w:p>
        </w:tc>
        <w:tc>
          <w:tcPr>
            <w:tcW w:type="dxa" w:w="1734"/>
            <w:vAlign w:val="center"/>
            <w:shd w:fill="F8FAFC"/>
          </w:tcPr>
          <w:p>
            <w:pPr>
              <w:spacing w:after="40" w:before="40"/>
            </w:pPr>
            <w:r>
              <w:rPr>
                <w:sz w:val="19"/>
              </w:rPr>
              <w:t>3.0 to 45.0 years</w:t>
            </w:r>
          </w:p>
        </w:tc>
      </w:tr>
      <w:tr>
        <w:tc>
          <w:tcPr>
            <w:tcW w:type="dxa" w:w="1734"/>
            <w:vAlign w:val="center"/>
          </w:tcPr>
          <w:p>
            <w:pPr>
              <w:spacing w:after="40" w:before="40"/>
            </w:pPr>
            <w:r>
              <w:rPr>
                <w:sz w:val="19"/>
              </w:rPr>
              <w:t>**Target Variable**</w:t>
            </w:r>
          </w:p>
        </w:tc>
        <w:tc>
          <w:tcPr>
            <w:tcW w:type="dxa" w:w="1734"/>
            <w:vAlign w:val="center"/>
          </w:tcPr>
          <w:p>
            <w:pPr>
              <w:spacing w:after="40" w:before="40"/>
            </w:pPr>
            <w:r>
              <w:rPr>
                <w:sz w:val="19"/>
              </w:rPr>
              <w:t>`loan_status`</w:t>
            </w:r>
          </w:p>
        </w:tc>
        <w:tc>
          <w:tcPr>
            <w:tcW w:type="dxa" w:w="1734"/>
            <w:vAlign w:val="center"/>
          </w:tcPr>
          <w:p>
            <w:pPr>
              <w:spacing w:after="40" w:before="40"/>
            </w:pPr>
            <w:r>
              <w:rPr>
                <w:sz w:val="19"/>
              </w:rPr>
              <w:t>Int64</w:t>
            </w:r>
          </w:p>
        </w:tc>
        <w:tc>
          <w:tcPr>
            <w:tcW w:type="dxa" w:w="1734"/>
            <w:vAlign w:val="center"/>
          </w:tcPr>
          <w:p>
            <w:pPr>
              <w:spacing w:after="40" w:before="40"/>
            </w:pPr>
            <w:r>
              <w:rPr>
                <w:sz w:val="19"/>
              </w:rPr>
              <w:t>Ground-truth loan outcome (0=Paid, 1=Default)</w:t>
            </w:r>
          </w:p>
        </w:tc>
        <w:tc>
          <w:tcPr>
            <w:tcW w:type="dxa" w:w="1734"/>
            <w:vAlign w:val="center"/>
          </w:tcPr>
          <w:p>
            <w:pPr>
              <w:spacing w:after="40" w:before="40"/>
            </w:pPr>
            <w:r>
              <w:rPr>
                <w:sz w:val="19"/>
              </w:rPr>
              <w:t>`0`, `1`</w:t>
            </w:r>
          </w:p>
        </w:tc>
      </w:tr>
    </w:tbl>
    <w:p>
      <w:pPr>
        <w:spacing w:after="80"/>
      </w:pPr>
    </w:p>
    <w:p>
      <w:pPr>
        <w:pStyle w:val="Heading3"/>
        <w:spacing w:before="200" w:after="60"/>
      </w:pPr>
      <w:r>
        <w:rPr>
          <w:rFonts w:ascii="Calibri" w:hAnsi="Calibri"/>
          <w:b/>
          <w:color w:val="334155"/>
          <w:sz w:val="24"/>
        </w:rPr>
        <w:t>2.3 Initial Data Audit</w:t>
      </w:r>
    </w:p>
    <w:p>
      <w:pPr>
        <w:spacing w:after="100" w:line="276" w:lineRule="auto"/>
      </w:pPr>
      <w:r>
        <w:t>An automated statistical profiling audit was executed across all 100,000 observations:</w:t>
      </w:r>
    </w:p>
    <w:p>
      <w:pPr>
        <w:pStyle w:val="ListBullet"/>
        <w:spacing w:after="60" w:line="276" w:lineRule="auto"/>
      </w:pPr>
      <w:r/>
      <w:r>
        <w:rPr>
          <w:b/>
        </w:rPr>
        <w:t>Total Records:</w:t>
      </w:r>
      <w:r>
        <w:t xml:space="preserve"> 100,000 rows × 26 columns.</w:t>
      </w:r>
    </w:p>
    <w:p>
      <w:pPr>
        <w:pStyle w:val="ListBullet"/>
        <w:spacing w:after="60" w:line="276" w:lineRule="auto"/>
      </w:pPr>
      <w:r/>
      <w:r>
        <w:rPr>
          <w:b/>
        </w:rPr>
        <w:t>Missing Value Profile:</w:t>
      </w:r>
      <w:r>
        <w:t xml:space="preserve"> Missing values were identified in `mort_acc` (4.8% missing), `pub_rec_bankruptcies` (0.07% missing), and `revol_util` (0.06% missing). All missingness patterns were verified as Missing at Random (MAR) and designated for median imputation.</w:t>
      </w:r>
    </w:p>
    <w:p>
      <w:pPr>
        <w:pStyle w:val="ListBullet"/>
        <w:spacing w:after="60" w:line="276" w:lineRule="auto"/>
      </w:pPr>
      <w:r/>
      <w:r>
        <w:rPr>
          <w:b/>
        </w:rPr>
        <w:t>Zero-Variance Audit:</w:t>
      </w:r>
      <w:r>
        <w:t xml:space="preserve"> No constant or zero-variance columns were detected.</w:t>
      </w:r>
    </w:p>
    <w:p>
      <w:pPr>
        <w:pStyle w:val="ListBullet"/>
        <w:spacing w:after="60" w:line="276" w:lineRule="auto"/>
      </w:pPr>
      <w:r/>
      <w:r>
        <w:rPr>
          <w:b/>
        </w:rPr>
        <w:t>Duplicate Audit:</w:t>
      </w:r>
      <w:r>
        <w:t xml:space="preserve"> Zero duplicate borrower records were identified.</w:t>
      </w:r>
    </w:p>
    <w:p>
      <w:pPr>
        <w:pStyle w:val="Heading3"/>
        <w:spacing w:before="200" w:after="60"/>
      </w:pPr>
      <w:r>
        <w:rPr>
          <w:rFonts w:ascii="Calibri" w:hAnsi="Calibri"/>
          <w:b/>
          <w:color w:val="334155"/>
          <w:sz w:val="24"/>
        </w:rPr>
        <w:t>2.4 Target Variable Analysis</w:t>
      </w:r>
    </w:p>
    <w:p>
      <w:pPr>
        <w:spacing w:after="100" w:line="276" w:lineRule="auto"/>
      </w:pPr>
      <w:r>
        <w:t>The target variable exhibits moderate class imbalance representative of commercial credit risk:</w:t>
      </w:r>
    </w:p>
    <w:p>
      <w:pPr>
        <w:pStyle w:val="ListBullet"/>
        <w:spacing w:after="60" w:line="276" w:lineRule="auto"/>
      </w:pPr>
      <w:r/>
      <w:r>
        <w:rPr>
          <w:b/>
        </w:rPr>
        <w:t>Fully Paid ($y = 0$):</w:t>
      </w:r>
      <w:r>
        <w:t xml:space="preserve"> 64,359 loans (</w:t>
      </w:r>
      <w:r>
        <w:rPr>
          <w:b/>
        </w:rPr>
        <w:t>64.36%</w:t>
      </w:r>
      <w:r>
        <w:t>)</w:t>
      </w:r>
    </w:p>
    <w:p>
      <w:pPr>
        <w:pStyle w:val="ListBullet"/>
        <w:spacing w:after="60" w:line="276" w:lineRule="auto"/>
      </w:pPr>
      <w:r/>
      <w:r>
        <w:rPr>
          <w:b/>
        </w:rPr>
        <w:t>Charged Off / Default ($y = 1$):</w:t>
      </w:r>
      <w:r>
        <w:t xml:space="preserve"> 35,641 loans (</w:t>
      </w:r>
      <w:r>
        <w:rPr>
          <w:b/>
        </w:rPr>
        <w:t>35.64%</w:t>
      </w:r>
      <w:r>
        <w:t>)</w:t>
      </w:r>
    </w:p>
    <w:p>
      <w:pPr>
        <w:pStyle w:val="ListBullet"/>
        <w:spacing w:after="60" w:line="276" w:lineRule="auto"/>
      </w:pPr>
      <w:r/>
      <w:r>
        <w:rPr>
          <w:b/>
        </w:rPr>
        <w:t>Class Ratio:</w:t>
      </w:r>
      <w:r>
        <w:t xml:space="preserve"> Approximately </w:t>
      </w:r>
      <w:r>
        <w:rPr>
          <w:b/>
        </w:rPr>
        <w:t>1.81 : 1</w:t>
      </w:r>
      <w:r>
        <w:t>.</w:t>
      </w:r>
    </w:p>
    <w:p>
      <w:pPr>
        <w:spacing w:after="100" w:line="276" w:lineRule="auto"/>
      </w:pPr>
      <w:r>
        <w:t>Because class imbalance is moderate rather than extreme (unlike credit card fraud with &lt;0.1% positive rates), synthetic minority oversampling (SMOTE) was found to distort local decision boundaries. Instead, stratified cross-validation and cost-calibrated decision threshold optimization were implemented to prioritize default detection without perturbing true posterior probabilities.</w:t>
      </w:r>
    </w:p>
    <w:p>
      <w:pPr>
        <w:spacing w:before="200" w:after="80"/>
        <w:jc w:val="center"/>
      </w:pPr>
      <w:r>
        <w:drawing>
          <wp:inline xmlns:a="http://schemas.openxmlformats.org/drawingml/2006/main" xmlns:pic="http://schemas.openxmlformats.org/drawingml/2006/picture">
            <wp:extent cx="5120640" cy="4267200"/>
            <wp:docPr id="1" name="Picture 1"/>
            <wp:cNvGraphicFramePr>
              <a:graphicFrameLocks noChangeAspect="1"/>
            </wp:cNvGraphicFramePr>
            <a:graphic>
              <a:graphicData uri="http://schemas.openxmlformats.org/drawingml/2006/picture">
                <pic:pic>
                  <pic:nvPicPr>
                    <pic:cNvPr id="0" name="fig1_class_balance.png"/>
                    <pic:cNvPicPr/>
                  </pic:nvPicPr>
                  <pic:blipFill>
                    <a:blip r:embed="rId9"/>
                    <a:stretch>
                      <a:fillRect/>
                    </a:stretch>
                  </pic:blipFill>
                  <pic:spPr>
                    <a:xfrm>
                      <a:off x="0" y="0"/>
                      <a:ext cx="5120640" cy="4267200"/>
                    </a:xfrm>
                    <a:prstGeom prst="rect"/>
                  </pic:spPr>
                </pic:pic>
              </a:graphicData>
            </a:graphic>
          </wp:inline>
        </w:drawing>
      </w:r>
    </w:p>
    <w:p>
      <w:pPr>
        <w:spacing w:before="40" w:after="200"/>
        <w:jc w:val="center"/>
      </w:pPr>
      <w:r>
        <w:rPr>
          <w:i/>
          <w:color w:val="64748B"/>
          <w:sz w:val="19"/>
        </w:rPr>
        <w:t>Figure 1: Distribution of loan repayment status across 100,000 institutional records (64.36% Fully Paid vs. 35.64% Default).</w:t>
      </w:r>
    </w:p>
    <w:p>
      <w:r>
        <w:br w:type="page"/>
      </w:r>
    </w:p>
    <w:p>
      <w:pPr>
        <w:pStyle w:val="Heading1"/>
        <w:spacing w:before="280" w:after="100"/>
      </w:pPr>
      <w:r>
        <w:rPr>
          <w:rFonts w:ascii="Calibri" w:hAnsi="Calibri"/>
          <w:b/>
          <w:color w:val="0F172A"/>
          <w:sz w:val="36"/>
        </w:rPr>
        <w:t>Chapter 3: Exploratory Data Analysis</w:t>
      </w:r>
    </w:p>
    <w:p>
      <w:pPr>
        <w:pStyle w:val="Heading3"/>
        <w:spacing w:before="200" w:after="60"/>
      </w:pPr>
      <w:r>
        <w:rPr>
          <w:rFonts w:ascii="Calibri" w:hAnsi="Calibri"/>
          <w:b/>
          <w:color w:val="334155"/>
          <w:sz w:val="24"/>
        </w:rPr>
        <w:t>3.1 Univariate Analysis</w:t>
      </w:r>
    </w:p>
    <w:p>
      <w:pPr>
        <w:spacing w:after="100" w:line="276" w:lineRule="auto"/>
      </w:pPr>
      <w:r>
        <w:t>Univariate distributions revealed significant positive skewness across borrower financial magnitudes:</w:t>
      </w:r>
    </w:p>
    <w:p>
      <w:pPr>
        <w:pStyle w:val="ListBullet"/>
        <w:spacing w:after="60" w:line="276" w:lineRule="auto"/>
      </w:pPr>
      <w:r/>
      <w:r>
        <w:rPr>
          <w:b/>
        </w:rPr>
        <w:t>Loan Amount (`loan_amnt`):</w:t>
      </w:r>
      <w:r>
        <w:t xml:space="preserve"> Mean = \$15,958 (Median = \$14,000; Std = \$9,120). Displays strong clustering at conventional commercial denominations (\$10,000, \$15,000, \$20,000, and \$35,000).</w:t>
      </w:r>
    </w:p>
    <w:p>
      <w:pPr>
        <w:pStyle w:val="ListBullet"/>
        <w:spacing w:after="60" w:line="276" w:lineRule="auto"/>
      </w:pPr>
      <w:r/>
      <w:r>
        <w:rPr>
          <w:b/>
        </w:rPr>
        <w:t>Annual Income (`annual_inc`):</w:t>
      </w:r>
      <w:r>
        <w:t xml:space="preserve"> Highly right-skewed with a median of \$65,000. Values exceeding \$250,000 represented top-percentile earners; a log-transformation $\ln(1 + \text{annual\_inc})$ was engineered for linear models.</w:t>
      </w:r>
    </w:p>
    <w:p>
      <w:pPr>
        <w:pStyle w:val="ListBullet"/>
        <w:spacing w:after="60" w:line="276" w:lineRule="auto"/>
      </w:pPr>
      <w:r/>
      <w:r>
        <w:rPr>
          <w:b/>
        </w:rPr>
        <w:t>Interest Rate (`int_rate`):</w:t>
      </w:r>
      <w:r>
        <w:t xml:space="preserve"> Bell-shaped distribution spanning 5.32% to 30.99% with a mean of 14.82%. Higher interest rates strongly correlate with subsequent default.</w:t>
      </w:r>
    </w:p>
    <w:p>
      <w:pPr>
        <w:spacing w:before="200" w:after="80"/>
        <w:jc w:val="center"/>
      </w:pPr>
      <w:r>
        <w:drawing>
          <wp:inline xmlns:a="http://schemas.openxmlformats.org/drawingml/2006/main" xmlns:pic="http://schemas.openxmlformats.org/drawingml/2006/picture">
            <wp:extent cx="5120640" cy="2094807"/>
            <wp:docPr id="2" name="Picture 2"/>
            <wp:cNvGraphicFramePr>
              <a:graphicFrameLocks noChangeAspect="1"/>
            </wp:cNvGraphicFramePr>
            <a:graphic>
              <a:graphicData uri="http://schemas.openxmlformats.org/drawingml/2006/picture">
                <pic:pic>
                  <pic:nvPicPr>
                    <pic:cNvPr id="0" name="fig2_income_loan_distributions.png"/>
                    <pic:cNvPicPr/>
                  </pic:nvPicPr>
                  <pic:blipFill>
                    <a:blip r:embed="rId10"/>
                    <a:stretch>
                      <a:fillRect/>
                    </a:stretch>
                  </pic:blipFill>
                  <pic:spPr>
                    <a:xfrm>
                      <a:off x="0" y="0"/>
                      <a:ext cx="5120640" cy="2094807"/>
                    </a:xfrm>
                    <a:prstGeom prst="rect"/>
                  </pic:spPr>
                </pic:pic>
              </a:graphicData>
            </a:graphic>
          </wp:inline>
        </w:drawing>
      </w:r>
    </w:p>
    <w:p>
      <w:pPr>
        <w:spacing w:before="40" w:after="200"/>
        <w:jc w:val="center"/>
      </w:pPr>
      <w:r>
        <w:rPr>
          <w:i/>
          <w:color w:val="64748B"/>
          <w:sz w:val="19"/>
        </w:rPr>
        <w:t>Figure 2: Empirical distributions of applicant verified annual income and requested loan amounts.</w:t>
      </w:r>
    </w:p>
    <w:p>
      <w:pPr>
        <w:pStyle w:val="Heading3"/>
        <w:spacing w:before="200" w:after="60"/>
      </w:pPr>
      <w:r>
        <w:rPr>
          <w:rFonts w:ascii="Calibri" w:hAnsi="Calibri"/>
          <w:b/>
          <w:color w:val="334155"/>
          <w:sz w:val="24"/>
        </w:rPr>
        <w:t>3.2 Bivariate Analysis</w:t>
      </w:r>
    </w:p>
    <w:p>
      <w:pPr>
        <w:spacing w:after="100" w:line="276" w:lineRule="auto"/>
      </w:pPr>
      <w:r>
        <w:t>Bivariate evaluations quantified strong directional relationships between credit predictors and loan failure rates:</w:t>
      </w:r>
    </w:p>
    <w:p>
      <w:pPr>
        <w:spacing w:after="100" w:line="276" w:lineRule="auto"/>
      </w:pPr>
      <w:r>
        <w:t xml:space="preserve">1. </w:t>
      </w:r>
      <w:r>
        <w:rPr>
          <w:b/>
        </w:rPr>
        <w:t>Credit Grade vs. Default Rate:</w:t>
      </w:r>
      <w:r>
        <w:t xml:space="preserve"> Loan grade assigned at origination serves as a powerful risk discriminator. Default rates rise exponentially across grades:</w:t>
      </w:r>
    </w:p>
    <w:p>
      <w:pPr>
        <w:pStyle w:val="ListBullet"/>
        <w:spacing w:after="60" w:line="276" w:lineRule="auto"/>
      </w:pPr>
      <w:r/>
      <w:r>
        <w:rPr>
          <w:b/>
        </w:rPr>
        <w:t>Grade B:</w:t>
      </w:r>
      <w:r>
        <w:t xml:space="preserve"> 0.60% default rate</w:t>
      </w:r>
    </w:p>
    <w:p>
      <w:pPr>
        <w:pStyle w:val="ListBullet"/>
        <w:spacing w:after="60" w:line="276" w:lineRule="auto"/>
      </w:pPr>
      <w:r/>
      <w:r>
        <w:rPr>
          <w:b/>
        </w:rPr>
        <w:t>Grade C:</w:t>
      </w:r>
      <w:r>
        <w:t xml:space="preserve"> 0.77% default rate</w:t>
      </w:r>
    </w:p>
    <w:p>
      <w:pPr>
        <w:pStyle w:val="ListBullet"/>
        <w:spacing w:after="60" w:line="276" w:lineRule="auto"/>
      </w:pPr>
      <w:r/>
      <w:r>
        <w:rPr>
          <w:b/>
        </w:rPr>
        <w:t>Grade D:</w:t>
      </w:r>
      <w:r>
        <w:t xml:space="preserve"> 6.01% default rate</w:t>
      </w:r>
    </w:p>
    <w:p>
      <w:pPr>
        <w:pStyle w:val="ListBullet"/>
        <w:spacing w:after="60" w:line="276" w:lineRule="auto"/>
      </w:pPr>
      <w:r/>
      <w:r>
        <w:rPr>
          <w:b/>
        </w:rPr>
        <w:t>Grade E:</w:t>
      </w:r>
      <w:r>
        <w:t xml:space="preserve"> 24.81% default rate</w:t>
      </w:r>
    </w:p>
    <w:p>
      <w:pPr>
        <w:pStyle w:val="ListBullet"/>
        <w:spacing w:after="60" w:line="276" w:lineRule="auto"/>
      </w:pPr>
      <w:r/>
      <w:r>
        <w:rPr>
          <w:b/>
        </w:rPr>
        <w:t>Grade F:</w:t>
      </w:r>
      <w:r>
        <w:t xml:space="preserve"> 56.09% default rate</w:t>
      </w:r>
    </w:p>
    <w:p>
      <w:pPr>
        <w:pStyle w:val="ListBullet"/>
        <w:spacing w:after="60" w:line="276" w:lineRule="auto"/>
      </w:pPr>
      <w:r/>
      <w:r>
        <w:rPr>
          <w:b/>
        </w:rPr>
        <w:t>Grade G:</w:t>
      </w:r>
      <w:r>
        <w:t xml:space="preserve"> 84.13% default rate</w:t>
      </w:r>
    </w:p>
    <w:p>
      <w:pPr>
        <w:spacing w:after="100" w:line="276" w:lineRule="auto"/>
      </w:pPr>
      <w:r>
        <w:t xml:space="preserve">2. </w:t>
      </w:r>
      <w:r>
        <w:rPr>
          <w:b/>
        </w:rPr>
        <w:t>FICO Score vs. Loan Status:</w:t>
      </w:r>
      <w:r>
        <w:t xml:space="preserve"> Solvent borrowers exhibit a median FICO score of 715, whereas defaulting borrowers demonstrate a median of 672. Borrowers with FICO scores below 660 exhibit nearly three times the baseline default rate.</w:t>
      </w:r>
    </w:p>
    <w:p>
      <w:pPr>
        <w:spacing w:after="100" w:line="276" w:lineRule="auto"/>
      </w:pPr>
      <w:r>
        <w:t xml:space="preserve">3. </w:t>
      </w:r>
      <w:r>
        <w:rPr>
          <w:b/>
        </w:rPr>
        <w:t>Debt-to-Income (DTI) vs. Default:</w:t>
      </w:r>
      <w:r>
        <w:t xml:space="preserve"> Defaulters exhibit significantly higher median DTI (21.4%) compared to non-defaulters (16.2%), confirming that monthly obligations limit repayment capacity during adverse liquidity shocks.</w:t>
      </w:r>
    </w:p>
    <w:p>
      <w:pPr>
        <w:spacing w:before="200" w:after="80"/>
        <w:jc w:val="center"/>
      </w:pPr>
      <w:r>
        <w:drawing>
          <wp:inline xmlns:a="http://schemas.openxmlformats.org/drawingml/2006/main" xmlns:pic="http://schemas.openxmlformats.org/drawingml/2006/picture">
            <wp:extent cx="5120640" cy="3291840"/>
            <wp:docPr id="3" name="Picture 3"/>
            <wp:cNvGraphicFramePr>
              <a:graphicFrameLocks noChangeAspect="1"/>
            </wp:cNvGraphicFramePr>
            <a:graphic>
              <a:graphicData uri="http://schemas.openxmlformats.org/drawingml/2006/picture">
                <pic:pic>
                  <pic:nvPicPr>
                    <pic:cNvPr id="0" name="fig3_grade_default_escalation.png"/>
                    <pic:cNvPicPr/>
                  </pic:nvPicPr>
                  <pic:blipFill>
                    <a:blip r:embed="rId11"/>
                    <a:stretch>
                      <a:fillRect/>
                    </a:stretch>
                  </pic:blipFill>
                  <pic:spPr>
                    <a:xfrm>
                      <a:off x="0" y="0"/>
                      <a:ext cx="5120640" cy="3291840"/>
                    </a:xfrm>
                    <a:prstGeom prst="rect"/>
                  </pic:spPr>
                </pic:pic>
              </a:graphicData>
            </a:graphic>
          </wp:inline>
        </w:drawing>
      </w:r>
    </w:p>
    <w:p>
      <w:pPr>
        <w:spacing w:before="40" w:after="200"/>
        <w:jc w:val="center"/>
      </w:pPr>
      <w:r>
        <w:rPr>
          <w:i/>
          <w:color w:val="64748B"/>
          <w:sz w:val="19"/>
        </w:rPr>
        <w:t>Figure 3: Exponential default rate escalation observed across credit rating grades B through G.</w:t>
      </w:r>
    </w:p>
    <w:p>
      <w:pPr>
        <w:spacing w:before="200" w:after="80"/>
        <w:jc w:val="center"/>
      </w:pPr>
      <w:r>
        <w:drawing>
          <wp:inline xmlns:a="http://schemas.openxmlformats.org/drawingml/2006/main" xmlns:pic="http://schemas.openxmlformats.org/drawingml/2006/picture">
            <wp:extent cx="5120640" cy="3072384"/>
            <wp:docPr id="4" name="Picture 4"/>
            <wp:cNvGraphicFramePr>
              <a:graphicFrameLocks noChangeAspect="1"/>
            </wp:cNvGraphicFramePr>
            <a:graphic>
              <a:graphicData uri="http://schemas.openxmlformats.org/drawingml/2006/picture">
                <pic:pic>
                  <pic:nvPicPr>
                    <pic:cNvPr id="0" name="fig4_fico_vs_default.png"/>
                    <pic:cNvPicPr/>
                  </pic:nvPicPr>
                  <pic:blipFill>
                    <a:blip r:embed="rId12"/>
                    <a:stretch>
                      <a:fillRect/>
                    </a:stretch>
                  </pic:blipFill>
                  <pic:spPr>
                    <a:xfrm>
                      <a:off x="0" y="0"/>
                      <a:ext cx="5120640" cy="3072384"/>
                    </a:xfrm>
                    <a:prstGeom prst="rect"/>
                  </pic:spPr>
                </pic:pic>
              </a:graphicData>
            </a:graphic>
          </wp:inline>
        </w:drawing>
      </w:r>
    </w:p>
    <w:p>
      <w:pPr>
        <w:spacing w:before="40" w:after="200"/>
        <w:jc w:val="center"/>
      </w:pPr>
      <w:r>
        <w:rPr>
          <w:i/>
          <w:color w:val="64748B"/>
          <w:sz w:val="19"/>
        </w:rPr>
        <w:t>Figure 4: Kernel density estimates (KDE) of borrower credit bureau FICO scores stratified by repayment status.</w:t>
      </w:r>
    </w:p>
    <w:p>
      <w:pPr>
        <w:pStyle w:val="Heading3"/>
        <w:spacing w:before="200" w:after="60"/>
      </w:pPr>
      <w:r>
        <w:rPr>
          <w:rFonts w:ascii="Calibri" w:hAnsi="Calibri"/>
          <w:b/>
          <w:color w:val="334155"/>
          <w:sz w:val="24"/>
        </w:rPr>
        <w:t>3.3 Multivariate Analysis</w:t>
      </w:r>
    </w:p>
    <w:p>
      <w:pPr>
        <w:spacing w:after="100" w:line="276" w:lineRule="auto"/>
      </w:pPr>
      <w:r>
        <w:t>A Pearson correlation matrix of continuous features revealed key multi-variable relationships:</w:t>
      </w:r>
    </w:p>
    <w:p>
      <w:pPr>
        <w:pStyle w:val="ListBullet"/>
        <w:spacing w:after="60" w:line="276" w:lineRule="auto"/>
      </w:pPr>
      <w:r>
        <w:t>`loan_amnt` and `installment` exhibit near-perfect collinearity ($r = 0.95$). While tree ensembles easily handle correlated inputs, derived non-linear interaction ratios were engineered to decouple absolute magnitude from debt-servicing strain.</w:t>
      </w:r>
    </w:p>
    <w:p>
      <w:pPr>
        <w:pStyle w:val="ListBullet"/>
        <w:spacing w:after="60" w:line="276" w:lineRule="auto"/>
      </w:pPr>
      <w:r>
        <w:t>`fico_range_low` and `fico_range_high` exhibit collinearity ($r = 1.00$). They were consolidated into a single unified predictor: `fico_avg = (fico_range_low + fico_range_high) / 2`.</w:t>
      </w:r>
    </w:p>
    <w:p>
      <w:pPr>
        <w:pStyle w:val="ListBullet"/>
        <w:spacing w:after="60" w:line="276" w:lineRule="auto"/>
      </w:pPr>
      <w:r>
        <w:t>`int_rate` and `grade` share strong correlation ($r = 0.74$), reflecting credit risk tiering.</w:t>
      </w:r>
    </w:p>
    <w:p>
      <w:pPr>
        <w:spacing w:before="200" w:after="80"/>
        <w:jc w:val="center"/>
      </w:pPr>
      <w:r>
        <w:drawing>
          <wp:inline xmlns:a="http://schemas.openxmlformats.org/drawingml/2006/main" xmlns:pic="http://schemas.openxmlformats.org/drawingml/2006/picture">
            <wp:extent cx="5120640" cy="3915784"/>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5120640" cy="3915784"/>
                    </a:xfrm>
                    <a:prstGeom prst="rect"/>
                  </pic:spPr>
                </pic:pic>
              </a:graphicData>
            </a:graphic>
          </wp:inline>
        </w:drawing>
      </w:r>
    </w:p>
    <w:p>
      <w:pPr>
        <w:spacing w:before="40" w:after="200"/>
        <w:jc w:val="center"/>
      </w:pPr>
      <w:r>
        <w:rPr>
          <w:i/>
          <w:color w:val="64748B"/>
          <w:sz w:val="19"/>
        </w:rPr>
        <w:t>Figure 5: Pearson correlation matrix across numerical borrower financial and credit history variables.</w:t>
      </w:r>
    </w:p>
    <w:p>
      <w:pPr>
        <w:pStyle w:val="Heading3"/>
        <w:spacing w:before="200" w:after="60"/>
      </w:pPr>
      <w:r>
        <w:rPr>
          <w:rFonts w:ascii="Calibri" w:hAnsi="Calibri"/>
          <w:b/>
          <w:color w:val="334155"/>
          <w:sz w:val="24"/>
        </w:rPr>
        <w:t>3.4 Key Insights Summary</w:t>
      </w:r>
    </w:p>
    <w:p>
      <w:pPr>
        <w:spacing w:after="100" w:line="276" w:lineRule="auto"/>
      </w:pPr>
      <w:r>
        <w:t xml:space="preserve">1. </w:t>
      </w:r>
      <w:r>
        <w:rPr>
          <w:b/>
        </w:rPr>
        <w:t>Graded Credit Stratification:</w:t>
      </w:r>
      <w:r>
        <w:t xml:space="preserve"> Credit grades B–D represent high-volume prime credit, while grades E–G exhibit severe default risk (&gt;24% to 84%).</w:t>
      </w:r>
    </w:p>
    <w:p>
      <w:pPr>
        <w:spacing w:after="100" w:line="276" w:lineRule="auto"/>
      </w:pPr>
      <w:r>
        <w:t xml:space="preserve">2. </w:t>
      </w:r>
      <w:r>
        <w:rPr>
          <w:b/>
        </w:rPr>
        <w:t>Income Alone Does Not Prevent Default:</w:t>
      </w:r>
      <w:r>
        <w:t xml:space="preserve"> Total income without considering monthly debt payments has weak predictive power ($r = -0.06$ with default). The ratio of monthly payment obligations to income is far more predictive.</w:t>
      </w:r>
    </w:p>
    <w:p>
      <w:pPr>
        <w:spacing w:after="100" w:line="276" w:lineRule="auto"/>
      </w:pPr>
      <w:r>
        <w:t xml:space="preserve">3. </w:t>
      </w:r>
      <w:r>
        <w:rPr>
          <w:b/>
        </w:rPr>
        <w:t>Revolving Credit Strain:</w:t>
      </w:r>
      <w:r>
        <w:t xml:space="preserve"> Borrowers utilizing over 75% of their revolving credit lines default at double the rate of low-utilization borrowers.</w:t>
      </w:r>
    </w:p>
    <w:p>
      <w:pPr>
        <w:spacing w:after="100" w:line="276" w:lineRule="auto"/>
      </w:pPr>
      <w:r>
        <w:t xml:space="preserve">4. </w:t>
      </w:r>
      <w:r>
        <w:rPr>
          <w:b/>
        </w:rPr>
        <w:t>Loan Purpose Asymmetry:</w:t>
      </w:r>
      <w:r>
        <w:t xml:space="preserve"> Small business loans exhibit the highest volatility, whereas debt consolidation accounts for 58.1% of total loan volume.</w:t>
      </w:r>
    </w:p>
    <w:p>
      <w:r>
        <w:br w:type="page"/>
      </w:r>
    </w:p>
    <w:p>
      <w:pPr>
        <w:pStyle w:val="Heading1"/>
        <w:spacing w:before="280" w:after="100"/>
      </w:pPr>
      <w:r>
        <w:rPr>
          <w:rFonts w:ascii="Calibri" w:hAnsi="Calibri"/>
          <w:b/>
          <w:color w:val="0F172A"/>
          <w:sz w:val="36"/>
        </w:rPr>
        <w:t>Chapter 4: Data Cleaning</w:t>
      </w:r>
    </w:p>
    <w:p>
      <w:pPr>
        <w:pStyle w:val="Heading3"/>
        <w:spacing w:before="200" w:after="60"/>
      </w:pPr>
      <w:r>
        <w:rPr>
          <w:rFonts w:ascii="Calibri" w:hAnsi="Calibri"/>
          <w:b/>
          <w:color w:val="334155"/>
          <w:sz w:val="24"/>
        </w:rPr>
        <w:t>4.1 Missing Value Treatment</w:t>
      </w:r>
    </w:p>
    <w:p>
      <w:pPr>
        <w:spacing w:after="100" w:line="276" w:lineRule="auto"/>
      </w:pPr>
      <w:r>
        <w:t>Missing data was audited across all columns. Because missingness was concentrated in credit bureau reporting variables, median imputation was implemented within a scikit-learn `Pipeline` to guarantee zero data leakage.</w:t>
      </w:r>
    </w:p>
    <w:p>
      <w:pPr>
        <w:spacing w:after="100" w:line="276" w:lineRule="auto"/>
      </w:pPr>
      <w:r/>
      <w:r>
        <w:rPr>
          <w:b/>
        </w:rPr>
        <w:t>Table 2: Missing Value Audit and Imputation Treatments</w:t>
      </w:r>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vAlign w:val="center"/>
            <w:shd w:fill="1E293B"/>
          </w:tcPr>
          <w:p>
            <w:pPr>
              <w:spacing w:after="40" w:before="40"/>
            </w:pPr>
            <w:r>
              <w:rPr>
                <w:b/>
                <w:color w:val="FFFFFF"/>
                <w:sz w:val="19"/>
              </w:rPr>
              <w:t>Feature Name</w:t>
            </w:r>
          </w:p>
        </w:tc>
        <w:tc>
          <w:tcPr>
            <w:tcW w:type="dxa" w:w="1445"/>
            <w:vAlign w:val="center"/>
            <w:shd w:fill="1E293B"/>
          </w:tcPr>
          <w:p>
            <w:pPr>
              <w:spacing w:after="40" w:before="40"/>
            </w:pPr>
            <w:r>
              <w:rPr>
                <w:b/>
                <w:color w:val="FFFFFF"/>
                <w:sz w:val="19"/>
              </w:rPr>
              <w:t>Missing Count</w:t>
            </w:r>
          </w:p>
        </w:tc>
        <w:tc>
          <w:tcPr>
            <w:tcW w:type="dxa" w:w="1445"/>
            <w:vAlign w:val="center"/>
            <w:shd w:fill="1E293B"/>
          </w:tcPr>
          <w:p>
            <w:pPr>
              <w:spacing w:after="40" w:before="40"/>
            </w:pPr>
            <w:r>
              <w:rPr>
                <w:b/>
                <w:color w:val="FFFFFF"/>
                <w:sz w:val="19"/>
              </w:rPr>
              <w:t>Missing Pct (%)</w:t>
            </w:r>
          </w:p>
        </w:tc>
        <w:tc>
          <w:tcPr>
            <w:tcW w:type="dxa" w:w="1445"/>
            <w:vAlign w:val="center"/>
            <w:shd w:fill="1E293B"/>
          </w:tcPr>
          <w:p>
            <w:pPr>
              <w:spacing w:after="40" w:before="40"/>
            </w:pPr>
            <w:r>
              <w:rPr>
                <w:b/>
                <w:color w:val="FFFFFF"/>
                <w:sz w:val="19"/>
              </w:rPr>
              <w:t>Mechanism</w:t>
            </w:r>
          </w:p>
        </w:tc>
        <w:tc>
          <w:tcPr>
            <w:tcW w:type="dxa" w:w="1445"/>
            <w:vAlign w:val="center"/>
            <w:shd w:fill="1E293B"/>
          </w:tcPr>
          <w:p>
            <w:pPr>
              <w:spacing w:after="40" w:before="40"/>
            </w:pPr>
            <w:r>
              <w:rPr>
                <w:b/>
                <w:color w:val="FFFFFF"/>
                <w:sz w:val="19"/>
              </w:rPr>
              <w:t>Treatment Strategy</w:t>
            </w:r>
          </w:p>
        </w:tc>
        <w:tc>
          <w:tcPr>
            <w:tcW w:type="dxa" w:w="1445"/>
            <w:vAlign w:val="center"/>
            <w:shd w:fill="1E293B"/>
          </w:tcPr>
          <w:p>
            <w:pPr>
              <w:spacing w:after="40" w:before="40"/>
            </w:pPr>
            <w:r>
              <w:rPr>
                <w:b/>
                <w:color w:val="FFFFFF"/>
                <w:sz w:val="19"/>
              </w:rPr>
              <w:t>Technical Rationale</w:t>
            </w:r>
          </w:p>
        </w:tc>
      </w:tr>
      <w:tr>
        <w:tc>
          <w:tcPr>
            <w:tcW w:type="dxa" w:w="1445"/>
            <w:vAlign w:val="center"/>
            <w:shd w:fill="F8FAFC"/>
          </w:tcPr>
          <w:p>
            <w:pPr>
              <w:spacing w:after="40" w:before="40"/>
            </w:pPr>
            <w:r>
              <w:rPr>
                <w:sz w:val="19"/>
              </w:rPr>
              <w:t>`mort_acc`</w:t>
            </w:r>
          </w:p>
        </w:tc>
        <w:tc>
          <w:tcPr>
            <w:tcW w:type="dxa" w:w="1445"/>
            <w:vAlign w:val="center"/>
            <w:shd w:fill="F8FAFC"/>
          </w:tcPr>
          <w:p>
            <w:pPr>
              <w:spacing w:after="40" w:before="40"/>
            </w:pPr>
            <w:r>
              <w:rPr>
                <w:sz w:val="19"/>
              </w:rPr>
              <w:t>4,821</w:t>
            </w:r>
          </w:p>
        </w:tc>
        <w:tc>
          <w:tcPr>
            <w:tcW w:type="dxa" w:w="1445"/>
            <w:vAlign w:val="center"/>
            <w:shd w:fill="F8FAFC"/>
          </w:tcPr>
          <w:p>
            <w:pPr>
              <w:spacing w:after="40" w:before="40"/>
            </w:pPr>
            <w:r>
              <w:rPr>
                <w:sz w:val="19"/>
              </w:rPr>
              <w:t>4.82%</w:t>
            </w:r>
          </w:p>
        </w:tc>
        <w:tc>
          <w:tcPr>
            <w:tcW w:type="dxa" w:w="1445"/>
            <w:vAlign w:val="center"/>
            <w:shd w:fill="F8FAFC"/>
          </w:tcPr>
          <w:p>
            <w:pPr>
              <w:spacing w:after="40" w:before="40"/>
            </w:pPr>
            <w:r>
              <w:rPr>
                <w:sz w:val="19"/>
              </w:rPr>
              <w:t>MAR</w:t>
            </w:r>
          </w:p>
        </w:tc>
        <w:tc>
          <w:tcPr>
            <w:tcW w:type="dxa" w:w="1445"/>
            <w:vAlign w:val="center"/>
            <w:shd w:fill="F8FAFC"/>
          </w:tcPr>
          <w:p>
            <w:pPr>
              <w:spacing w:after="40" w:before="40"/>
            </w:pPr>
            <w:r>
              <w:rPr>
                <w:sz w:val="19"/>
              </w:rPr>
              <w:t>Median Imputation (0.0)</w:t>
            </w:r>
          </w:p>
        </w:tc>
        <w:tc>
          <w:tcPr>
            <w:tcW w:type="dxa" w:w="1445"/>
            <w:vAlign w:val="center"/>
            <w:shd w:fill="F8FAFC"/>
          </w:tcPr>
          <w:p>
            <w:pPr>
              <w:spacing w:after="40" w:before="40"/>
            </w:pPr>
            <w:r>
              <w:rPr>
                <w:sz w:val="19"/>
              </w:rPr>
              <w:t>Absences represent individuals with zero mortgage history.</w:t>
            </w:r>
          </w:p>
        </w:tc>
      </w:tr>
      <w:tr>
        <w:tc>
          <w:tcPr>
            <w:tcW w:type="dxa" w:w="1445"/>
            <w:vAlign w:val="center"/>
          </w:tcPr>
          <w:p>
            <w:pPr>
              <w:spacing w:after="40" w:before="40"/>
            </w:pPr>
            <w:r>
              <w:rPr>
                <w:sz w:val="19"/>
              </w:rPr>
              <w:t>`pub_rec_bankruptcies`</w:t>
            </w:r>
          </w:p>
        </w:tc>
        <w:tc>
          <w:tcPr>
            <w:tcW w:type="dxa" w:w="1445"/>
            <w:vAlign w:val="center"/>
          </w:tcPr>
          <w:p>
            <w:pPr>
              <w:spacing w:after="40" w:before="40"/>
            </w:pPr>
            <w:r>
              <w:rPr>
                <w:sz w:val="19"/>
              </w:rPr>
              <w:t>74</w:t>
            </w:r>
          </w:p>
        </w:tc>
        <w:tc>
          <w:tcPr>
            <w:tcW w:type="dxa" w:w="1445"/>
            <w:vAlign w:val="center"/>
          </w:tcPr>
          <w:p>
            <w:pPr>
              <w:spacing w:after="40" w:before="40"/>
            </w:pPr>
            <w:r>
              <w:rPr>
                <w:sz w:val="19"/>
              </w:rPr>
              <w:t>0.07%</w:t>
            </w:r>
          </w:p>
        </w:tc>
        <w:tc>
          <w:tcPr>
            <w:tcW w:type="dxa" w:w="1445"/>
            <w:vAlign w:val="center"/>
          </w:tcPr>
          <w:p>
            <w:pPr>
              <w:spacing w:after="40" w:before="40"/>
            </w:pPr>
            <w:r>
              <w:rPr>
                <w:sz w:val="19"/>
              </w:rPr>
              <w:t>MAR</w:t>
            </w:r>
          </w:p>
        </w:tc>
        <w:tc>
          <w:tcPr>
            <w:tcW w:type="dxa" w:w="1445"/>
            <w:vAlign w:val="center"/>
          </w:tcPr>
          <w:p>
            <w:pPr>
              <w:spacing w:after="40" w:before="40"/>
            </w:pPr>
            <w:r>
              <w:rPr>
                <w:sz w:val="19"/>
              </w:rPr>
              <w:t>Median Imputation (0.0)</w:t>
            </w:r>
          </w:p>
        </w:tc>
        <w:tc>
          <w:tcPr>
            <w:tcW w:type="dxa" w:w="1445"/>
            <w:vAlign w:val="center"/>
          </w:tcPr>
          <w:p>
            <w:pPr>
              <w:spacing w:after="40" w:before="40"/>
            </w:pPr>
            <w:r>
              <w:rPr>
                <w:sz w:val="19"/>
              </w:rPr>
              <w:t>Standard bureau non-reporting indicates zero bankruptcies.</w:t>
            </w:r>
          </w:p>
        </w:tc>
      </w:tr>
      <w:tr>
        <w:tc>
          <w:tcPr>
            <w:tcW w:type="dxa" w:w="1445"/>
            <w:vAlign w:val="center"/>
            <w:shd w:fill="F8FAFC"/>
          </w:tcPr>
          <w:p>
            <w:pPr>
              <w:spacing w:after="40" w:before="40"/>
            </w:pPr>
            <w:r>
              <w:rPr>
                <w:sz w:val="19"/>
              </w:rPr>
              <w:t>`revol_util`</w:t>
            </w:r>
          </w:p>
        </w:tc>
        <w:tc>
          <w:tcPr>
            <w:tcW w:type="dxa" w:w="1445"/>
            <w:vAlign w:val="center"/>
            <w:shd w:fill="F8FAFC"/>
          </w:tcPr>
          <w:p>
            <w:pPr>
              <w:spacing w:after="40" w:before="40"/>
            </w:pPr>
            <w:r>
              <w:rPr>
                <w:sz w:val="19"/>
              </w:rPr>
              <w:t>61</w:t>
            </w:r>
          </w:p>
        </w:tc>
        <w:tc>
          <w:tcPr>
            <w:tcW w:type="dxa" w:w="1445"/>
            <w:vAlign w:val="center"/>
            <w:shd w:fill="F8FAFC"/>
          </w:tcPr>
          <w:p>
            <w:pPr>
              <w:spacing w:after="40" w:before="40"/>
            </w:pPr>
            <w:r>
              <w:rPr>
                <w:sz w:val="19"/>
              </w:rPr>
              <w:t>0.06%</w:t>
            </w:r>
          </w:p>
        </w:tc>
        <w:tc>
          <w:tcPr>
            <w:tcW w:type="dxa" w:w="1445"/>
            <w:vAlign w:val="center"/>
            <w:shd w:fill="F8FAFC"/>
          </w:tcPr>
          <w:p>
            <w:pPr>
              <w:spacing w:after="40" w:before="40"/>
            </w:pPr>
            <w:r>
              <w:rPr>
                <w:sz w:val="19"/>
              </w:rPr>
              <w:t>MAR</w:t>
            </w:r>
          </w:p>
        </w:tc>
        <w:tc>
          <w:tcPr>
            <w:tcW w:type="dxa" w:w="1445"/>
            <w:vAlign w:val="center"/>
            <w:shd w:fill="F8FAFC"/>
          </w:tcPr>
          <w:p>
            <w:pPr>
              <w:spacing w:after="40" w:before="40"/>
            </w:pPr>
            <w:r>
              <w:rPr>
                <w:sz w:val="19"/>
              </w:rPr>
              <w:t>Median Imputation (52.4%)</w:t>
            </w:r>
          </w:p>
        </w:tc>
        <w:tc>
          <w:tcPr>
            <w:tcW w:type="dxa" w:w="1445"/>
            <w:vAlign w:val="center"/>
            <w:shd w:fill="F8FAFC"/>
          </w:tcPr>
          <w:p>
            <w:pPr>
              <w:spacing w:after="40" w:before="40"/>
            </w:pPr>
            <w:r>
              <w:rPr>
                <w:sz w:val="19"/>
              </w:rPr>
              <w:t>Missing values imputed with median population utilization.</w:t>
            </w:r>
          </w:p>
        </w:tc>
      </w:tr>
    </w:tbl>
    <w:p>
      <w:pPr>
        <w:spacing w:after="80"/>
      </w:pPr>
    </w:p>
    <w:p>
      <w:pPr>
        <w:pStyle w:val="Heading3"/>
        <w:spacing w:before="200" w:after="60"/>
      </w:pPr>
      <w:r>
        <w:rPr>
          <w:rFonts w:ascii="Calibri" w:hAnsi="Calibri"/>
          <w:b/>
          <w:color w:val="334155"/>
          <w:sz w:val="24"/>
        </w:rPr>
        <w:t>4.2 Outlier Treatment</w:t>
      </w:r>
    </w:p>
    <w:p>
      <w:pPr>
        <w:pStyle w:val="ListBullet"/>
        <w:spacing w:after="60" w:line="276" w:lineRule="auto"/>
      </w:pPr>
      <w:r/>
      <w:r>
        <w:rPr>
          <w:b/>
        </w:rPr>
        <w:t>Annual Income:</w:t>
      </w:r>
      <w:r>
        <w:t xml:space="preserve"> Outliers exceeding \$500,000 were validated as genuine high-net-worth borrowers rather than data entry errors. To prevent extreme values from distorting distance-based metrics, `log_annual_inc` was computed.</w:t>
      </w:r>
    </w:p>
    <w:p>
      <w:pPr>
        <w:pStyle w:val="ListBullet"/>
        <w:spacing w:after="60" w:line="276" w:lineRule="auto"/>
      </w:pPr>
      <w:r/>
      <w:r>
        <w:rPr>
          <w:b/>
        </w:rPr>
        <w:t>Revolving Utilization:</w:t>
      </w:r>
      <w:r>
        <w:t xml:space="preserve"> Values slightly exceeding 100% (up to 110%) represent valid bank over-limit penalty statuses and were retained.</w:t>
      </w:r>
    </w:p>
    <w:p>
      <w:pPr>
        <w:pStyle w:val="Heading3"/>
        <w:spacing w:before="200" w:after="60"/>
      </w:pPr>
      <w:r>
        <w:rPr>
          <w:rFonts w:ascii="Calibri" w:hAnsi="Calibri"/>
          <w:b/>
          <w:color w:val="334155"/>
          <w:sz w:val="24"/>
        </w:rPr>
        <w:t>4.3 Inconsistent &amp; Impossible Values</w:t>
      </w:r>
    </w:p>
    <w:p>
      <w:pPr>
        <w:pStyle w:val="ListBullet"/>
        <w:spacing w:after="60" w:line="276" w:lineRule="auto"/>
      </w:pPr>
      <w:r/>
      <w:r>
        <w:rPr>
          <w:b/>
        </w:rPr>
        <w:t>FICO Scores:</w:t>
      </w:r>
      <w:r>
        <w:t xml:space="preserve"> Validated to lie strictly within the legitimate range of 300 to 850.</w:t>
      </w:r>
    </w:p>
    <w:p>
      <w:pPr>
        <w:pStyle w:val="ListBullet"/>
        <w:spacing w:after="60" w:line="276" w:lineRule="auto"/>
      </w:pPr>
      <w:r/>
      <w:r>
        <w:rPr>
          <w:b/>
        </w:rPr>
        <w:t>Negative Values:</w:t>
      </w:r>
      <w:r>
        <w:t xml:space="preserve"> Verified that no negative values exist in loan amount, installment, or interest rates.</w:t>
      </w:r>
    </w:p>
    <w:p>
      <w:pPr>
        <w:pStyle w:val="ListBullet"/>
        <w:spacing w:after="60" w:line="276" w:lineRule="auto"/>
      </w:pPr>
      <w:r/>
      <w:r>
        <w:rPr>
          <w:b/>
        </w:rPr>
        <w:t>String Standardization:</w:t>
      </w:r>
      <w:r>
        <w:t xml:space="preserve"> Trimmed extraneous whitespace from categorical features (`term`, `home_ownership`, `purpose`).</w:t>
      </w:r>
    </w:p>
    <w:p>
      <w:pPr>
        <w:pStyle w:val="Heading3"/>
        <w:spacing w:before="200" w:after="60"/>
      </w:pPr>
      <w:r>
        <w:rPr>
          <w:rFonts w:ascii="Calibri" w:hAnsi="Calibri"/>
          <w:b/>
          <w:color w:val="334155"/>
          <w:sz w:val="24"/>
        </w:rPr>
        <w:t>4.4 Duplicate Handling</w:t>
      </w:r>
    </w:p>
    <w:p>
      <w:pPr>
        <w:spacing w:after="100" w:line="276" w:lineRule="auto"/>
      </w:pPr>
      <w:r>
        <w:t xml:space="preserve">A primary key deduplication scan across all 26 feature attributes identified </w:t>
      </w:r>
      <w:r>
        <w:rPr>
          <w:b/>
        </w:rPr>
        <w:t>0 duplicate rows</w:t>
      </w:r>
      <w:r>
        <w:t>, confirming dataset integrity.</w:t>
      </w:r>
    </w:p>
    <w:p>
      <w:r>
        <w:br w:type="page"/>
      </w:r>
    </w:p>
    <w:p>
      <w:pPr>
        <w:pStyle w:val="Heading1"/>
        <w:spacing w:before="280" w:after="100"/>
      </w:pPr>
      <w:r>
        <w:rPr>
          <w:rFonts w:ascii="Calibri" w:hAnsi="Calibri"/>
          <w:b/>
          <w:color w:val="0F172A"/>
          <w:sz w:val="36"/>
        </w:rPr>
        <w:t>Chapter 5: Feature Engineering</w:t>
      </w:r>
    </w:p>
    <w:p>
      <w:pPr>
        <w:pStyle w:val="Heading3"/>
        <w:spacing w:before="200" w:after="60"/>
      </w:pPr>
      <w:r>
        <w:rPr>
          <w:rFonts w:ascii="Calibri" w:hAnsi="Calibri"/>
          <w:b/>
          <w:color w:val="334155"/>
          <w:sz w:val="24"/>
        </w:rPr>
        <w:t>5.1 Derived Features</w:t>
      </w:r>
    </w:p>
    <w:p>
      <w:pPr>
        <w:spacing w:after="100" w:line="276" w:lineRule="auto"/>
      </w:pPr>
      <w:r>
        <w:t>Domain expertise was leveraged to formulate 6 new interaction and financial burden indicators:</w:t>
      </w:r>
    </w:p>
    <w:p>
      <w:pPr>
        <w:spacing w:after="100" w:line="276" w:lineRule="auto"/>
      </w:pPr>
      <w:r>
        <w:t xml:space="preserve">1. </w:t>
      </w:r>
      <w:r>
        <w:rPr>
          <w:b/>
        </w:rPr>
        <w:t>`installment_to_inc` (Monthly Debt Service Burden):</w:t>
      </w:r>
      <w:r/>
    </w:p>
    <w:p>
      <w:pPr>
        <w:pStyle w:val="ListBullet"/>
        <w:spacing w:after="60" w:line="276" w:lineRule="auto"/>
      </w:pPr>
      <w:r/>
      <w:r>
        <w:rPr>
          <w:b/>
        </w:rPr>
        <w:t>Implementation Formula:</w:t>
      </w:r>
      <w:r>
        <w:t xml:space="preserve"> `installment_to_inc = (installment * 12.0) / (annual_inc + 1.0)`</w:t>
      </w:r>
    </w:p>
    <w:p>
      <w:pPr>
        <w:pStyle w:val="ListBullet"/>
        <w:spacing w:after="60" w:line="276" w:lineRule="auto"/>
      </w:pPr>
      <w:r/>
      <w:r>
        <w:rPr>
          <w:b/>
        </w:rPr>
        <w:t>Mathematical Formulation:</w:t>
      </w:r>
      <w:r/>
    </w:p>
    <w:p>
      <w:pPr>
        <w:spacing w:after="100" w:line="276" w:lineRule="auto"/>
      </w:pPr>
      <w:r>
        <w:t>$$\text{Installment-to-Income} = \frac{\text{Monthly Installment} \times 12}{\text{Annual Income} + 1}$$</w:t>
      </w:r>
    </w:p>
    <w:p>
      <w:pPr>
        <w:pStyle w:val="ListBullet"/>
        <w:spacing w:after="60" w:line="276" w:lineRule="auto"/>
      </w:pPr>
      <w:r>
        <w:t>*Underwriting Hypothesis:* High debt-servicing strain leaves zero liquidity cushion for unforeseen financial shocks.</w:t>
      </w:r>
    </w:p>
    <w:p>
      <w:pPr>
        <w:spacing w:after="100" w:line="276" w:lineRule="auto"/>
      </w:pPr>
      <w:r>
        <w:t xml:space="preserve">2. </w:t>
      </w:r>
      <w:r>
        <w:rPr>
          <w:b/>
        </w:rPr>
        <w:t>`loan_to_inc` (Total Leverage Exposure):</w:t>
      </w:r>
      <w:r/>
    </w:p>
    <w:p>
      <w:pPr>
        <w:pStyle w:val="ListBullet"/>
        <w:spacing w:after="60" w:line="276" w:lineRule="auto"/>
      </w:pPr>
      <w:r/>
      <w:r>
        <w:rPr>
          <w:b/>
        </w:rPr>
        <w:t>Implementation Formula:</w:t>
      </w:r>
      <w:r>
        <w:t xml:space="preserve"> `loan_to_inc = loan_amnt / (annual_inc + 1.0)`</w:t>
      </w:r>
    </w:p>
    <w:p>
      <w:pPr>
        <w:pStyle w:val="ListBullet"/>
        <w:spacing w:after="60" w:line="276" w:lineRule="auto"/>
      </w:pPr>
      <w:r/>
      <w:r>
        <w:rPr>
          <w:b/>
        </w:rPr>
        <w:t>Mathematical Formulation:</w:t>
      </w:r>
      <w:r/>
    </w:p>
    <w:p>
      <w:pPr>
        <w:spacing w:after="100" w:line="276" w:lineRule="auto"/>
      </w:pPr>
      <w:r>
        <w:t>$$\text{Loan-to-Income} = \frac{\text{Loan Principal Requested}}{\text{Annual Income} + 1}$$</w:t>
      </w:r>
    </w:p>
    <w:p>
      <w:pPr>
        <w:pStyle w:val="ListBullet"/>
        <w:spacing w:after="60" w:line="276" w:lineRule="auto"/>
      </w:pPr>
      <w:r>
        <w:t>*Underwriting Hypothesis:* Borrowers requesting loans exceeding 40% of their annual salary carry substantially higher default hazard rates.</w:t>
      </w:r>
    </w:p>
    <w:p>
      <w:pPr>
        <w:spacing w:after="100" w:line="276" w:lineRule="auto"/>
      </w:pPr>
      <w:r>
        <w:t xml:space="preserve">3. </w:t>
      </w:r>
      <w:r>
        <w:rPr>
          <w:b/>
        </w:rPr>
        <w:t>`interest_burden_annual` (Gross Annual Interest Cost):</w:t>
      </w:r>
      <w:r/>
    </w:p>
    <w:p>
      <w:pPr>
        <w:pStyle w:val="ListBullet"/>
        <w:spacing w:after="60" w:line="276" w:lineRule="auto"/>
      </w:pPr>
      <w:r/>
      <w:r>
        <w:rPr>
          <w:b/>
        </w:rPr>
        <w:t>Implementation Formula:</w:t>
      </w:r>
      <w:r>
        <w:t xml:space="preserve"> `interest_burden_annual = loan_amnt * (int_rate / 100.0)`</w:t>
      </w:r>
    </w:p>
    <w:p>
      <w:pPr>
        <w:pStyle w:val="ListBullet"/>
        <w:spacing w:after="60" w:line="276" w:lineRule="auto"/>
      </w:pPr>
      <w:r/>
      <w:r>
        <w:rPr>
          <w:b/>
        </w:rPr>
        <w:t>Mathematical Formulation:</w:t>
      </w:r>
      <w:r/>
    </w:p>
    <w:p>
      <w:pPr>
        <w:spacing w:after="100" w:line="276" w:lineRule="auto"/>
      </w:pPr>
      <w:r>
        <w:t>$$\text{Annual Interest Burden} = \text{Loan Amount} \times \left(\frac{\text{Interest Rate}}{100}\right)$$</w:t>
      </w:r>
    </w:p>
    <w:p>
      <w:pPr>
        <w:pStyle w:val="ListBullet"/>
        <w:spacing w:after="60" w:line="276" w:lineRule="auto"/>
      </w:pPr>
      <w:r>
        <w:t>*Underwriting Hypothesis:* High compounding interest carry accelerates credit deterioration and borrower delinquency.</w:t>
      </w:r>
    </w:p>
    <w:p>
      <w:pPr>
        <w:spacing w:after="100" w:line="276" w:lineRule="auto"/>
      </w:pPr>
      <w:r>
        <w:t xml:space="preserve">4. </w:t>
      </w:r>
      <w:r>
        <w:rPr>
          <w:b/>
        </w:rPr>
        <w:t>`high_util_flag` (Revolving Line Stress Indicator):</w:t>
      </w:r>
      <w:r/>
    </w:p>
    <w:p>
      <w:pPr>
        <w:pStyle w:val="ListBullet"/>
        <w:spacing w:after="60" w:line="276" w:lineRule="auto"/>
      </w:pPr>
      <w:r/>
      <w:r>
        <w:rPr>
          <w:b/>
        </w:rPr>
        <w:t>Implementation Formula:</w:t>
      </w:r>
      <w:r>
        <w:t xml:space="preserve"> `high_util_flag = 1 if revol_util &gt; 75.0 else 0`</w:t>
      </w:r>
    </w:p>
    <w:p>
      <w:pPr>
        <w:pStyle w:val="ListBullet"/>
        <w:spacing w:after="60" w:line="276" w:lineRule="auto"/>
      </w:pPr>
      <w:r/>
      <w:r>
        <w:rPr>
          <w:b/>
        </w:rPr>
        <w:t>Mathematical Formulation:</w:t>
      </w:r>
      <w:r/>
    </w:p>
    <w:p>
      <w:pPr>
        <w:spacing w:after="100" w:line="276" w:lineRule="auto"/>
      </w:pPr>
      <w:r>
        <w:t>$$\text{High Utilization Flag} = \begin{cases} 1 &amp; \text{if Revolving Line Utilization} &gt; 75\% \\ 0 &amp; \text{otherwise} \end{cases}$$</w:t>
      </w:r>
    </w:p>
    <w:p>
      <w:pPr>
        <w:pStyle w:val="ListBullet"/>
        <w:spacing w:after="60" w:line="276" w:lineRule="auto"/>
      </w:pPr>
      <w:r>
        <w:t>*Underwriting Hypothesis:* Maxed-out revolving credit limits indicate acute personal liquidity distress.</w:t>
      </w:r>
    </w:p>
    <w:p>
      <w:pPr>
        <w:spacing w:after="100" w:line="276" w:lineRule="auto"/>
      </w:pPr>
      <w:r>
        <w:t xml:space="preserve">5. </w:t>
      </w:r>
      <w:r>
        <w:rPr>
          <w:b/>
        </w:rPr>
        <w:t>`derogatory_flag` (Prior Credit Bureau Delinquency):</w:t>
      </w:r>
      <w:r/>
    </w:p>
    <w:p>
      <w:pPr>
        <w:pStyle w:val="ListBullet"/>
        <w:spacing w:after="60" w:line="276" w:lineRule="auto"/>
      </w:pPr>
      <w:r/>
      <w:r>
        <w:rPr>
          <w:b/>
        </w:rPr>
        <w:t>Implementation Formula:</w:t>
      </w:r>
      <w:r>
        <w:t xml:space="preserve"> `derogatory_flag = 1 if (delinq_2yrs &gt; 0 or pub_rec &gt; 0) else 0`</w:t>
      </w:r>
    </w:p>
    <w:p>
      <w:pPr>
        <w:pStyle w:val="ListBullet"/>
        <w:spacing w:after="60" w:line="276" w:lineRule="auto"/>
      </w:pPr>
      <w:r/>
      <w:r>
        <w:rPr>
          <w:b/>
        </w:rPr>
        <w:t>Mathematical Formulation:</w:t>
      </w:r>
      <w:r/>
    </w:p>
    <w:p>
      <w:pPr>
        <w:spacing w:after="100" w:line="276" w:lineRule="auto"/>
      </w:pPr>
      <w:r>
        <w:t>$$\text{Derogatory Flag} = \begin{cases} 1 &amp; \text{if 30+ Days Delinquencies} &gt; 0 \text{ or Public Derogatory Records} &gt; 0 \\ 0 &amp; \text{otherwise} \end{cases}$$</w:t>
      </w:r>
    </w:p>
    <w:p>
      <w:pPr>
        <w:pStyle w:val="ListBullet"/>
        <w:spacing w:after="60" w:line="276" w:lineRule="auto"/>
      </w:pPr>
      <w:r>
        <w:t>*Underwriting Hypothesis:* Borrowers with historical delinquencies or bankruptcies display higher recurrence of default.</w:t>
      </w:r>
    </w:p>
    <w:p>
      <w:pPr>
        <w:spacing w:after="100" w:line="276" w:lineRule="auto"/>
      </w:pPr>
      <w:r>
        <w:t xml:space="preserve">6. </w:t>
      </w:r>
      <w:r>
        <w:rPr>
          <w:b/>
        </w:rPr>
        <w:t>`revol_to_inc` (Revolving Balance Leverage):</w:t>
      </w:r>
      <w:r/>
    </w:p>
    <w:p>
      <w:pPr>
        <w:pStyle w:val="ListBullet"/>
        <w:spacing w:after="60" w:line="276" w:lineRule="auto"/>
      </w:pPr>
      <w:r/>
      <w:r>
        <w:rPr>
          <w:b/>
        </w:rPr>
        <w:t>Implementation Formula:</w:t>
      </w:r>
      <w:r>
        <w:t xml:space="preserve"> `revol_to_inc = revol_bal / (annual_inc + 1.0)`</w:t>
      </w:r>
    </w:p>
    <w:p>
      <w:pPr>
        <w:pStyle w:val="ListBullet"/>
        <w:spacing w:after="60" w:line="276" w:lineRule="auto"/>
      </w:pPr>
      <w:r/>
      <w:r>
        <w:rPr>
          <w:b/>
        </w:rPr>
        <w:t>Mathematical Formulation:</w:t>
      </w:r>
      <w:r/>
    </w:p>
    <w:p>
      <w:pPr>
        <w:spacing w:after="100" w:line="276" w:lineRule="auto"/>
      </w:pPr>
      <w:r>
        <w:t>$$\text{Revolving-to-Income} = \frac{\text{Total Revolving Balance}}{\text{Annual Income} + 1}$$</w:t>
      </w:r>
    </w:p>
    <w:p>
      <w:pPr>
        <w:pStyle w:val="ListBullet"/>
        <w:spacing w:after="60" w:line="276" w:lineRule="auto"/>
      </w:pPr>
      <w:r>
        <w:t>*Underwriting Hypothesis:* High revolving debt relative to annual earnings impairs long-term debt-servicing capacity.</w:t>
      </w:r>
    </w:p>
    <w:p>
      <w:pPr>
        <w:pStyle w:val="Heading3"/>
        <w:spacing w:before="200" w:after="60"/>
      </w:pPr>
      <w:r>
        <w:rPr>
          <w:rFonts w:ascii="Calibri" w:hAnsi="Calibri"/>
          <w:b/>
          <w:color w:val="334155"/>
          <w:sz w:val="24"/>
        </w:rPr>
        <w:t>5.2 Transformations</w:t>
      </w:r>
    </w:p>
    <w:p>
      <w:pPr>
        <w:pStyle w:val="ListBullet"/>
        <w:spacing w:after="60" w:line="276" w:lineRule="auto"/>
      </w:pPr>
      <w:r/>
      <w:r>
        <w:rPr>
          <w:b/>
        </w:rPr>
        <w:t>Logarithmic Transformation:</w:t>
      </w:r>
      <w:r>
        <w:t xml:space="preserve"> Applied to annual income (`np.log1p(annual_inc)`) to stabilize variance and compress long-tailed earnings distributions.</w:t>
      </w:r>
    </w:p>
    <w:p>
      <w:pPr>
        <w:pStyle w:val="ListBullet"/>
        <w:spacing w:after="60" w:line="276" w:lineRule="auto"/>
      </w:pPr>
      <w:r/>
      <w:r>
        <w:rPr>
          <w:b/>
        </w:rPr>
        <w:t>FICO Consolidation:</w:t>
      </w:r>
      <w:r>
        <w:t xml:space="preserve"> Consolidated `fico_range_low` and `fico_range_high` into a single mid-point metric `fico_avg = (fico_range_low + fico_range_high) / 2.0`.</w:t>
      </w:r>
    </w:p>
    <w:p>
      <w:pPr>
        <w:pStyle w:val="Heading3"/>
        <w:spacing w:before="200" w:after="60"/>
      </w:pPr>
      <w:r>
        <w:rPr>
          <w:rFonts w:ascii="Calibri" w:hAnsi="Calibri"/>
          <w:b/>
          <w:color w:val="334155"/>
          <w:sz w:val="24"/>
        </w:rPr>
        <w:t>5.3 Encoding Strategy</w:t>
      </w:r>
    </w:p>
    <w:p>
      <w:pPr>
        <w:pStyle w:val="ListBullet"/>
        <w:spacing w:after="60" w:line="276" w:lineRule="auto"/>
      </w:pPr>
      <w:r/>
      <w:r>
        <w:rPr>
          <w:b/>
        </w:rPr>
        <w:t>One-Hot Encoding:</w:t>
      </w:r>
      <w:r>
        <w:t xml:space="preserve"> Applied to nominal categorical variables with low to medium cardinality: `term` (2 levels), `home_ownership` (4 levels), `verification_status` (3 levels), and `purpose` (7 levels). Handled via `OneHotEncoder(handle_unknown='ignore', sparse_output=False)`.</w:t>
      </w:r>
    </w:p>
    <w:p>
      <w:pPr>
        <w:pStyle w:val="ListBullet"/>
        <w:spacing w:after="60" w:line="276" w:lineRule="auto"/>
      </w:pPr>
      <w:r/>
      <w:r>
        <w:rPr>
          <w:b/>
        </w:rPr>
        <w:t>Ordinal Representation:</w:t>
      </w:r>
      <w:r>
        <w:t xml:space="preserve"> Handled implicitly by decision trees for loan `grade` and `sub_grade`.</w:t>
      </w:r>
    </w:p>
    <w:p>
      <w:pPr>
        <w:pStyle w:val="Heading3"/>
        <w:spacing w:before="200" w:after="60"/>
      </w:pPr>
      <w:r>
        <w:rPr>
          <w:rFonts w:ascii="Calibri" w:hAnsi="Calibri"/>
          <w:b/>
          <w:color w:val="334155"/>
          <w:sz w:val="24"/>
        </w:rPr>
        <w:t>5.4 Feature Engineering Summary Table</w:t>
      </w:r>
    </w:p>
    <w:p>
      <w:pPr>
        <w:spacing w:after="100" w:line="276" w:lineRule="auto"/>
      </w:pPr>
      <w:r/>
      <w:r>
        <w:rPr>
          <w:b/>
        </w:rPr>
        <w:t>Table 3: Feature Engineering Specifications and Economic Rationale</w:t>
      </w:r>
      <w:r/>
    </w:p>
    <w:tbl>
      <w:tblPr>
        <w:tblW w:type="auto" w:w="0"/>
        <w:jc w:val="center"/>
        <w:tblLook w:firstColumn="1" w:firstRow="1" w:lastColumn="0" w:lastRow="0" w:noHBand="0" w:noVBand="1" w:val="04A0"/>
      </w:tblPr>
      <w:tblGrid>
        <w:gridCol w:w="2167"/>
        <w:gridCol w:w="2167"/>
        <w:gridCol w:w="2167"/>
        <w:gridCol w:w="2167"/>
      </w:tblGrid>
      <w:tr>
        <w:tc>
          <w:tcPr>
            <w:tcW w:type="dxa" w:w="2167"/>
            <w:vAlign w:val="center"/>
            <w:shd w:fill="1E293B"/>
          </w:tcPr>
          <w:p>
            <w:pPr>
              <w:spacing w:after="40" w:before="40"/>
            </w:pPr>
            <w:r>
              <w:rPr>
                <w:b/>
                <w:color w:val="FFFFFF"/>
                <w:sz w:val="19"/>
              </w:rPr>
              <w:t>Feature Name</w:t>
            </w:r>
          </w:p>
        </w:tc>
        <w:tc>
          <w:tcPr>
            <w:tcW w:type="dxa" w:w="2167"/>
            <w:vAlign w:val="center"/>
            <w:shd w:fill="1E293B"/>
          </w:tcPr>
          <w:p>
            <w:pPr>
              <w:spacing w:after="40" w:before="40"/>
            </w:pPr>
            <w:r>
              <w:rPr>
                <w:b/>
                <w:color w:val="FFFFFF"/>
                <w:sz w:val="19"/>
              </w:rPr>
              <w:t>Feature Type</w:t>
            </w:r>
          </w:p>
        </w:tc>
        <w:tc>
          <w:tcPr>
            <w:tcW w:type="dxa" w:w="2167"/>
            <w:vAlign w:val="center"/>
            <w:shd w:fill="1E293B"/>
          </w:tcPr>
          <w:p>
            <w:pPr>
              <w:spacing w:after="40" w:before="40"/>
            </w:pPr>
            <w:r>
              <w:rPr>
                <w:b/>
                <w:color w:val="FFFFFF"/>
                <w:sz w:val="19"/>
              </w:rPr>
              <w:t>Source Column(s)</w:t>
            </w:r>
          </w:p>
        </w:tc>
        <w:tc>
          <w:tcPr>
            <w:tcW w:type="dxa" w:w="2167"/>
            <w:vAlign w:val="center"/>
            <w:shd w:fill="1E293B"/>
          </w:tcPr>
          <w:p>
            <w:pPr>
              <w:spacing w:after="40" w:before="40"/>
            </w:pPr>
            <w:r>
              <w:rPr>
                <w:b/>
                <w:color w:val="FFFFFF"/>
                <w:sz w:val="19"/>
              </w:rPr>
              <w:t>Economic &amp; Underwriting Rationale</w:t>
            </w:r>
          </w:p>
        </w:tc>
      </w:tr>
      <w:tr>
        <w:tc>
          <w:tcPr>
            <w:tcW w:type="dxa" w:w="2167"/>
            <w:vAlign w:val="center"/>
            <w:shd w:fill="F8FAFC"/>
          </w:tcPr>
          <w:p>
            <w:pPr>
              <w:spacing w:after="40" w:before="40"/>
            </w:pPr>
            <w:r>
              <w:rPr>
                <w:sz w:val="19"/>
              </w:rPr>
              <w:t>`installment_to_inc`</w:t>
            </w:r>
          </w:p>
        </w:tc>
        <w:tc>
          <w:tcPr>
            <w:tcW w:type="dxa" w:w="2167"/>
            <w:vAlign w:val="center"/>
            <w:shd w:fill="F8FAFC"/>
          </w:tcPr>
          <w:p>
            <w:pPr>
              <w:spacing w:after="40" w:before="40"/>
            </w:pPr>
            <w:r>
              <w:rPr>
                <w:sz w:val="19"/>
              </w:rPr>
              <w:t>Continuous</w:t>
            </w:r>
          </w:p>
        </w:tc>
        <w:tc>
          <w:tcPr>
            <w:tcW w:type="dxa" w:w="2167"/>
            <w:vAlign w:val="center"/>
            <w:shd w:fill="F8FAFC"/>
          </w:tcPr>
          <w:p>
            <w:pPr>
              <w:spacing w:after="40" w:before="40"/>
            </w:pPr>
            <w:r>
              <w:rPr>
                <w:sz w:val="19"/>
              </w:rPr>
              <w:t>`installment`, `annual_inc`</w:t>
            </w:r>
          </w:p>
        </w:tc>
        <w:tc>
          <w:tcPr>
            <w:tcW w:type="dxa" w:w="2167"/>
            <w:vAlign w:val="center"/>
            <w:shd w:fill="F8FAFC"/>
          </w:tcPr>
          <w:p>
            <w:pPr>
              <w:spacing w:after="40" w:before="40"/>
            </w:pPr>
            <w:r>
              <w:rPr>
                <w:sz w:val="19"/>
              </w:rPr>
              <w:t>Measures monthly cash-flow debt service burden.</w:t>
            </w:r>
          </w:p>
        </w:tc>
      </w:tr>
      <w:tr>
        <w:tc>
          <w:tcPr>
            <w:tcW w:type="dxa" w:w="2167"/>
            <w:vAlign w:val="center"/>
          </w:tcPr>
          <w:p>
            <w:pPr>
              <w:spacing w:after="40" w:before="40"/>
            </w:pPr>
            <w:r>
              <w:rPr>
                <w:sz w:val="19"/>
              </w:rPr>
              <w:t>`loan_to_inc`</w:t>
            </w:r>
          </w:p>
        </w:tc>
        <w:tc>
          <w:tcPr>
            <w:tcW w:type="dxa" w:w="2167"/>
            <w:vAlign w:val="center"/>
          </w:tcPr>
          <w:p>
            <w:pPr>
              <w:spacing w:after="40" w:before="40"/>
            </w:pPr>
            <w:r>
              <w:rPr>
                <w:sz w:val="19"/>
              </w:rPr>
              <w:t>Continuous</w:t>
            </w:r>
          </w:p>
        </w:tc>
        <w:tc>
          <w:tcPr>
            <w:tcW w:type="dxa" w:w="2167"/>
            <w:vAlign w:val="center"/>
          </w:tcPr>
          <w:p>
            <w:pPr>
              <w:spacing w:after="40" w:before="40"/>
            </w:pPr>
            <w:r>
              <w:rPr>
                <w:sz w:val="19"/>
              </w:rPr>
              <w:t>`loan_amnt`, `annual_inc`</w:t>
            </w:r>
          </w:p>
        </w:tc>
        <w:tc>
          <w:tcPr>
            <w:tcW w:type="dxa" w:w="2167"/>
            <w:vAlign w:val="center"/>
          </w:tcPr>
          <w:p>
            <w:pPr>
              <w:spacing w:after="40" w:before="40"/>
            </w:pPr>
            <w:r>
              <w:rPr>
                <w:sz w:val="19"/>
              </w:rPr>
              <w:t>Quantifies total leverage relative to annual income.</w:t>
            </w:r>
          </w:p>
        </w:tc>
      </w:tr>
      <w:tr>
        <w:tc>
          <w:tcPr>
            <w:tcW w:type="dxa" w:w="2167"/>
            <w:vAlign w:val="center"/>
            <w:shd w:fill="F8FAFC"/>
          </w:tcPr>
          <w:p>
            <w:pPr>
              <w:spacing w:after="40" w:before="40"/>
            </w:pPr>
            <w:r>
              <w:rPr>
                <w:sz w:val="19"/>
              </w:rPr>
              <w:t>`interest_burden_annual`</w:t>
            </w:r>
          </w:p>
        </w:tc>
        <w:tc>
          <w:tcPr>
            <w:tcW w:type="dxa" w:w="2167"/>
            <w:vAlign w:val="center"/>
            <w:shd w:fill="F8FAFC"/>
          </w:tcPr>
          <w:p>
            <w:pPr>
              <w:spacing w:after="40" w:before="40"/>
            </w:pPr>
            <w:r>
              <w:rPr>
                <w:sz w:val="19"/>
              </w:rPr>
              <w:t>Continuous</w:t>
            </w:r>
          </w:p>
        </w:tc>
        <w:tc>
          <w:tcPr>
            <w:tcW w:type="dxa" w:w="2167"/>
            <w:vAlign w:val="center"/>
            <w:shd w:fill="F8FAFC"/>
          </w:tcPr>
          <w:p>
            <w:pPr>
              <w:spacing w:after="40" w:before="40"/>
            </w:pPr>
            <w:r>
              <w:rPr>
                <w:sz w:val="19"/>
              </w:rPr>
              <w:t>`loan_amnt`, `int_rate`</w:t>
            </w:r>
          </w:p>
        </w:tc>
        <w:tc>
          <w:tcPr>
            <w:tcW w:type="dxa" w:w="2167"/>
            <w:vAlign w:val="center"/>
            <w:shd w:fill="F8FAFC"/>
          </w:tcPr>
          <w:p>
            <w:pPr>
              <w:spacing w:after="40" w:before="40"/>
            </w:pPr>
            <w:r>
              <w:rPr>
                <w:sz w:val="19"/>
              </w:rPr>
              <w:t>Captures absolute dollar burden of annual interest carry.</w:t>
            </w:r>
          </w:p>
        </w:tc>
      </w:tr>
      <w:tr>
        <w:tc>
          <w:tcPr>
            <w:tcW w:type="dxa" w:w="2167"/>
            <w:vAlign w:val="center"/>
          </w:tcPr>
          <w:p>
            <w:pPr>
              <w:spacing w:after="40" w:before="40"/>
            </w:pPr>
            <w:r>
              <w:rPr>
                <w:sz w:val="19"/>
              </w:rPr>
              <w:t>`fico_avg`</w:t>
            </w:r>
          </w:p>
        </w:tc>
        <w:tc>
          <w:tcPr>
            <w:tcW w:type="dxa" w:w="2167"/>
            <w:vAlign w:val="center"/>
          </w:tcPr>
          <w:p>
            <w:pPr>
              <w:spacing w:after="40" w:before="40"/>
            </w:pPr>
            <w:r>
              <w:rPr>
                <w:sz w:val="19"/>
              </w:rPr>
              <w:t>Continuous</w:t>
            </w:r>
          </w:p>
        </w:tc>
        <w:tc>
          <w:tcPr>
            <w:tcW w:type="dxa" w:w="2167"/>
            <w:vAlign w:val="center"/>
          </w:tcPr>
          <w:p>
            <w:pPr>
              <w:spacing w:after="40" w:before="40"/>
            </w:pPr>
            <w:r>
              <w:rPr>
                <w:sz w:val="19"/>
              </w:rPr>
              <w:t>`fico_range_low`, `high`</w:t>
            </w:r>
          </w:p>
        </w:tc>
        <w:tc>
          <w:tcPr>
            <w:tcW w:type="dxa" w:w="2167"/>
            <w:vAlign w:val="center"/>
          </w:tcPr>
          <w:p>
            <w:pPr>
              <w:spacing w:after="40" w:before="40"/>
            </w:pPr>
            <w:r>
              <w:rPr>
                <w:sz w:val="19"/>
              </w:rPr>
              <w:t>Consolidates collinear credit score boundary markers.</w:t>
            </w:r>
          </w:p>
        </w:tc>
      </w:tr>
      <w:tr>
        <w:tc>
          <w:tcPr>
            <w:tcW w:type="dxa" w:w="2167"/>
            <w:vAlign w:val="center"/>
            <w:shd w:fill="F8FAFC"/>
          </w:tcPr>
          <w:p>
            <w:pPr>
              <w:spacing w:after="40" w:before="40"/>
            </w:pPr>
            <w:r>
              <w:rPr>
                <w:sz w:val="19"/>
              </w:rPr>
              <w:t>`revol_to_inc`</w:t>
            </w:r>
          </w:p>
        </w:tc>
        <w:tc>
          <w:tcPr>
            <w:tcW w:type="dxa" w:w="2167"/>
            <w:vAlign w:val="center"/>
            <w:shd w:fill="F8FAFC"/>
          </w:tcPr>
          <w:p>
            <w:pPr>
              <w:spacing w:after="40" w:before="40"/>
            </w:pPr>
            <w:r>
              <w:rPr>
                <w:sz w:val="19"/>
              </w:rPr>
              <w:t>Continuous</w:t>
            </w:r>
          </w:p>
        </w:tc>
        <w:tc>
          <w:tcPr>
            <w:tcW w:type="dxa" w:w="2167"/>
            <w:vAlign w:val="center"/>
            <w:shd w:fill="F8FAFC"/>
          </w:tcPr>
          <w:p>
            <w:pPr>
              <w:spacing w:after="40" w:before="40"/>
            </w:pPr>
            <w:r>
              <w:rPr>
                <w:sz w:val="19"/>
              </w:rPr>
              <w:t>`revol_bal`, `annual_inc`</w:t>
            </w:r>
          </w:p>
        </w:tc>
        <w:tc>
          <w:tcPr>
            <w:tcW w:type="dxa" w:w="2167"/>
            <w:vAlign w:val="center"/>
            <w:shd w:fill="F8FAFC"/>
          </w:tcPr>
          <w:p>
            <w:pPr>
              <w:spacing w:after="40" w:before="40"/>
            </w:pPr>
            <w:r>
              <w:rPr>
                <w:sz w:val="19"/>
              </w:rPr>
              <w:t>Captures existing revolving debt reliance vs. earnings.</w:t>
            </w:r>
          </w:p>
        </w:tc>
      </w:tr>
      <w:tr>
        <w:tc>
          <w:tcPr>
            <w:tcW w:type="dxa" w:w="2167"/>
            <w:vAlign w:val="center"/>
          </w:tcPr>
          <w:p>
            <w:pPr>
              <w:spacing w:after="40" w:before="40"/>
            </w:pPr>
            <w:r>
              <w:rPr>
                <w:sz w:val="19"/>
              </w:rPr>
              <w:t>`high_util_flag`</w:t>
            </w:r>
          </w:p>
        </w:tc>
        <w:tc>
          <w:tcPr>
            <w:tcW w:type="dxa" w:w="2167"/>
            <w:vAlign w:val="center"/>
          </w:tcPr>
          <w:p>
            <w:pPr>
              <w:spacing w:after="40" w:before="40"/>
            </w:pPr>
            <w:r>
              <w:rPr>
                <w:sz w:val="19"/>
              </w:rPr>
              <w:t>Binary Flag</w:t>
            </w:r>
          </w:p>
        </w:tc>
        <w:tc>
          <w:tcPr>
            <w:tcW w:type="dxa" w:w="2167"/>
            <w:vAlign w:val="center"/>
          </w:tcPr>
          <w:p>
            <w:pPr>
              <w:spacing w:after="40" w:before="40"/>
            </w:pPr>
            <w:r>
              <w:rPr>
                <w:sz w:val="19"/>
              </w:rPr>
              <w:t>`revol_util`</w:t>
            </w:r>
          </w:p>
        </w:tc>
        <w:tc>
          <w:tcPr>
            <w:tcW w:type="dxa" w:w="2167"/>
            <w:vAlign w:val="center"/>
          </w:tcPr>
          <w:p>
            <w:pPr>
              <w:spacing w:after="40" w:before="40"/>
            </w:pPr>
            <w:r>
              <w:rPr>
                <w:sz w:val="19"/>
              </w:rPr>
              <w:t>Signals acute credit line stress (&gt;75% maxed out).</w:t>
            </w:r>
          </w:p>
        </w:tc>
      </w:tr>
      <w:tr>
        <w:tc>
          <w:tcPr>
            <w:tcW w:type="dxa" w:w="2167"/>
            <w:vAlign w:val="center"/>
            <w:shd w:fill="F8FAFC"/>
          </w:tcPr>
          <w:p>
            <w:pPr>
              <w:spacing w:after="40" w:before="40"/>
            </w:pPr>
            <w:r>
              <w:rPr>
                <w:sz w:val="19"/>
              </w:rPr>
              <w:t>`derogatory_flag`</w:t>
            </w:r>
          </w:p>
        </w:tc>
        <w:tc>
          <w:tcPr>
            <w:tcW w:type="dxa" w:w="2167"/>
            <w:vAlign w:val="center"/>
            <w:shd w:fill="F8FAFC"/>
          </w:tcPr>
          <w:p>
            <w:pPr>
              <w:spacing w:after="40" w:before="40"/>
            </w:pPr>
            <w:r>
              <w:rPr>
                <w:sz w:val="19"/>
              </w:rPr>
              <w:t>Binary Flag</w:t>
            </w:r>
          </w:p>
        </w:tc>
        <w:tc>
          <w:tcPr>
            <w:tcW w:type="dxa" w:w="2167"/>
            <w:vAlign w:val="center"/>
            <w:shd w:fill="F8FAFC"/>
          </w:tcPr>
          <w:p>
            <w:pPr>
              <w:spacing w:after="40" w:before="40"/>
            </w:pPr>
            <w:r>
              <w:rPr>
                <w:sz w:val="19"/>
              </w:rPr>
              <w:t>`delinq_2yrs`, `pub_rec`</w:t>
            </w:r>
          </w:p>
        </w:tc>
        <w:tc>
          <w:tcPr>
            <w:tcW w:type="dxa" w:w="2167"/>
            <w:vAlign w:val="center"/>
            <w:shd w:fill="F8FAFC"/>
          </w:tcPr>
          <w:p>
            <w:pPr>
              <w:spacing w:after="40" w:before="40"/>
            </w:pPr>
            <w:r>
              <w:rPr>
                <w:sz w:val="19"/>
              </w:rPr>
              <w:t>Flags active or recent adverse credit bureau events.</w:t>
            </w:r>
          </w:p>
        </w:tc>
      </w:tr>
    </w:tbl>
    <w:p>
      <w:pPr>
        <w:spacing w:after="80"/>
      </w:pPr>
    </w:p>
    <w:p>
      <w:r>
        <w:br w:type="page"/>
      </w:r>
    </w:p>
    <w:p>
      <w:pPr>
        <w:pStyle w:val="Heading1"/>
        <w:spacing w:before="280" w:after="100"/>
      </w:pPr>
      <w:r>
        <w:rPr>
          <w:rFonts w:ascii="Calibri" w:hAnsi="Calibri"/>
          <w:b/>
          <w:color w:val="0F172A"/>
          <w:sz w:val="36"/>
        </w:rPr>
        <w:t>Chapter 6: Feature Selection</w:t>
      </w:r>
    </w:p>
    <w:p>
      <w:pPr>
        <w:pStyle w:val="Heading3"/>
        <w:spacing w:before="200" w:after="60"/>
      </w:pPr>
      <w:r>
        <w:rPr>
          <w:rFonts w:ascii="Calibri" w:hAnsi="Calibri"/>
          <w:b/>
          <w:color w:val="334155"/>
          <w:sz w:val="24"/>
        </w:rPr>
        <w:t>6.1 Method(s) Used</w:t>
      </w:r>
    </w:p>
    <w:p>
      <w:pPr>
        <w:spacing w:after="100" w:line="276" w:lineRule="auto"/>
      </w:pPr>
      <w:r>
        <w:t>Feature selection was conducted using a three-tier hybrid methodology:</w:t>
      </w:r>
    </w:p>
    <w:p>
      <w:pPr>
        <w:spacing w:after="100" w:line="276" w:lineRule="auto"/>
      </w:pPr>
      <w:r>
        <w:t xml:space="preserve">1. </w:t>
      </w:r>
      <w:r>
        <w:rPr>
          <w:b/>
        </w:rPr>
        <w:t>Variance Threshold Filtering:</w:t>
      </w:r>
      <w:r>
        <w:t xml:space="preserve"> Eliminated zero-variance and quasi-constant predictors.</w:t>
      </w:r>
    </w:p>
    <w:p>
      <w:pPr>
        <w:spacing w:after="100" w:line="276" w:lineRule="auto"/>
      </w:pPr>
      <w:r>
        <w:t xml:space="preserve">2. </w:t>
      </w:r>
      <w:r>
        <w:rPr>
          <w:b/>
        </w:rPr>
        <w:t>Multicollinearity Pruning (VIF):</w:t>
      </w:r>
      <w:r>
        <w:t xml:space="preserve"> Inspected Variance Inflation Factors. `fico_range_low` and `fico_range_high` ($VIF &gt; 100$) were eliminated in favor of `fico_avg`.</w:t>
      </w:r>
    </w:p>
    <w:p>
      <w:pPr>
        <w:spacing w:after="100" w:line="276" w:lineRule="auto"/>
      </w:pPr>
      <w:r>
        <w:t xml:space="preserve">3. </w:t>
      </w:r>
      <w:r>
        <w:rPr>
          <w:b/>
        </w:rPr>
        <w:t>Tree-Based Feature Importance Ranking:</w:t>
      </w:r>
      <w:r>
        <w:t xml:space="preserve"> Validated feature predictive power using LightGBM and CatBoost split gains and permutation importance.</w:t>
      </w:r>
    </w:p>
    <w:p>
      <w:pPr>
        <w:pStyle w:val="Heading3"/>
        <w:spacing w:before="200" w:after="60"/>
      </w:pPr>
      <w:r>
        <w:rPr>
          <w:rFonts w:ascii="Calibri" w:hAnsi="Calibri"/>
          <w:b/>
          <w:color w:val="334155"/>
          <w:sz w:val="24"/>
        </w:rPr>
        <w:t>6.2 Final Feature List</w:t>
      </w:r>
    </w:p>
    <w:p>
      <w:pPr>
        <w:spacing w:after="100" w:line="276" w:lineRule="auto"/>
      </w:pPr>
      <w:r>
        <w:t xml:space="preserve">The final feature space comprises </w:t>
      </w:r>
      <w:r>
        <w:rPr>
          <w:b/>
        </w:rPr>
        <w:t>27 modeling predictors</w:t>
      </w:r>
      <w:r>
        <w:t xml:space="preserve"> (22 numerical continuous features and 5 categorical features).</w:t>
      </w:r>
    </w:p>
    <w:p>
      <w:pPr>
        <w:spacing w:after="100" w:line="276" w:lineRule="auto"/>
      </w:pPr>
      <w:r/>
      <w:r>
        <w:rPr>
          <w:b/>
        </w:rPr>
        <w:t>Table 4: Final Selected Predictor Feature Subset</w:t>
      </w:r>
      <w:r/>
    </w:p>
    <w:tbl>
      <w:tblPr>
        <w:tblW w:type="auto" w:w="0"/>
        <w:jc w:val="center"/>
        <w:tblLook w:firstColumn="1" w:firstRow="1" w:lastColumn="0" w:lastRow="0" w:noHBand="0" w:noVBand="1" w:val="04A0"/>
      </w:tblPr>
      <w:tblGrid>
        <w:gridCol w:w="2890"/>
        <w:gridCol w:w="2890"/>
        <w:gridCol w:w="2890"/>
      </w:tblGrid>
      <w:tr>
        <w:tc>
          <w:tcPr>
            <w:tcW w:type="dxa" w:w="2890"/>
            <w:vAlign w:val="center"/>
            <w:shd w:fill="1E293B"/>
          </w:tcPr>
          <w:p>
            <w:pPr>
              <w:spacing w:after="40" w:before="40"/>
            </w:pPr>
            <w:r>
              <w:rPr>
                <w:b/>
                <w:color w:val="FFFFFF"/>
                <w:sz w:val="19"/>
              </w:rPr>
              <w:t>Feature Name</w:t>
            </w:r>
          </w:p>
        </w:tc>
        <w:tc>
          <w:tcPr>
            <w:tcW w:type="dxa" w:w="2890"/>
            <w:vAlign w:val="center"/>
            <w:shd w:fill="1E293B"/>
          </w:tcPr>
          <w:p>
            <w:pPr>
              <w:spacing w:after="40" w:before="40"/>
            </w:pPr>
            <w:r>
              <w:rPr>
                <w:b/>
                <w:color w:val="FFFFFF"/>
                <w:sz w:val="19"/>
              </w:rPr>
              <w:t>Category</w:t>
            </w:r>
          </w:p>
        </w:tc>
        <w:tc>
          <w:tcPr>
            <w:tcW w:type="dxa" w:w="2890"/>
            <w:vAlign w:val="center"/>
            <w:shd w:fill="1E293B"/>
          </w:tcPr>
          <w:p>
            <w:pPr>
              <w:spacing w:after="40" w:before="40"/>
            </w:pPr>
            <w:r>
              <w:rPr>
                <w:b/>
                <w:color w:val="FFFFFF"/>
                <w:sz w:val="19"/>
              </w:rPr>
              <w:t>Inclusion Justification</w:t>
            </w:r>
          </w:p>
        </w:tc>
      </w:tr>
      <w:tr>
        <w:tc>
          <w:tcPr>
            <w:tcW w:type="dxa" w:w="2890"/>
            <w:vAlign w:val="center"/>
            <w:shd w:fill="F8FAFC"/>
          </w:tcPr>
          <w:p>
            <w:pPr>
              <w:spacing w:after="40" w:before="40"/>
            </w:pPr>
            <w:r>
              <w:rPr>
                <w:sz w:val="19"/>
              </w:rPr>
              <w:t>`interest_burden_annual`</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Ranked #1 in global SHAP importance; direct proxy for borrower debt service load.</w:t>
            </w:r>
          </w:p>
        </w:tc>
      </w:tr>
      <w:tr>
        <w:tc>
          <w:tcPr>
            <w:tcW w:type="dxa" w:w="2890"/>
            <w:vAlign w:val="center"/>
          </w:tcPr>
          <w:p>
            <w:pPr>
              <w:spacing w:after="40" w:before="40"/>
            </w:pPr>
            <w:r>
              <w:rPr>
                <w:sz w:val="19"/>
              </w:rPr>
              <w:t>`int_rate`</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Core pricing risk indicator; strongly reflects institutional risk tiering.</w:t>
            </w:r>
          </w:p>
        </w:tc>
      </w:tr>
      <w:tr>
        <w:tc>
          <w:tcPr>
            <w:tcW w:type="dxa" w:w="2890"/>
            <w:vAlign w:val="center"/>
            <w:shd w:fill="F8FAFC"/>
          </w:tcPr>
          <w:p>
            <w:pPr>
              <w:spacing w:after="40" w:before="40"/>
            </w:pPr>
            <w:r>
              <w:rPr>
                <w:sz w:val="19"/>
              </w:rPr>
              <w:t>`installment_to_inc`</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Essential underwriting ratio measuring disposable income post-payment.</w:t>
            </w:r>
          </w:p>
        </w:tc>
      </w:tr>
      <w:tr>
        <w:tc>
          <w:tcPr>
            <w:tcW w:type="dxa" w:w="2890"/>
            <w:vAlign w:val="center"/>
          </w:tcPr>
          <w:p>
            <w:pPr>
              <w:spacing w:after="40" w:before="40"/>
            </w:pPr>
            <w:r>
              <w:rPr>
                <w:sz w:val="19"/>
              </w:rPr>
              <w:t>`fico_avg`</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Core measure of borrower historical credit reliability.</w:t>
            </w:r>
          </w:p>
        </w:tc>
      </w:tr>
      <w:tr>
        <w:tc>
          <w:tcPr>
            <w:tcW w:type="dxa" w:w="2890"/>
            <w:vAlign w:val="center"/>
            <w:shd w:fill="F8FAFC"/>
          </w:tcPr>
          <w:p>
            <w:pPr>
              <w:spacing w:after="40" w:before="40"/>
            </w:pPr>
            <w:r>
              <w:rPr>
                <w:sz w:val="19"/>
              </w:rPr>
              <w:t>`dti`</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Measures borrower existing debt commitments prior to new funding.</w:t>
            </w:r>
          </w:p>
        </w:tc>
      </w:tr>
      <w:tr>
        <w:tc>
          <w:tcPr>
            <w:tcW w:type="dxa" w:w="2890"/>
            <w:vAlign w:val="center"/>
          </w:tcPr>
          <w:p>
            <w:pPr>
              <w:spacing w:after="40" w:before="40"/>
            </w:pPr>
            <w:r>
              <w:rPr>
                <w:sz w:val="19"/>
              </w:rPr>
              <w:t>`loan_to_inc`</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Normalized leverage indicator.</w:t>
            </w:r>
          </w:p>
        </w:tc>
      </w:tr>
      <w:tr>
        <w:tc>
          <w:tcPr>
            <w:tcW w:type="dxa" w:w="2890"/>
            <w:vAlign w:val="center"/>
            <w:shd w:fill="F8FAFC"/>
          </w:tcPr>
          <w:p>
            <w:pPr>
              <w:spacing w:after="40" w:before="40"/>
            </w:pPr>
            <w:r>
              <w:rPr>
                <w:sz w:val="19"/>
              </w:rPr>
              <w:t>`revol_util`</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Directly measures revolving liquidity exhaustion.</w:t>
            </w:r>
          </w:p>
        </w:tc>
      </w:tr>
      <w:tr>
        <w:tc>
          <w:tcPr>
            <w:tcW w:type="dxa" w:w="2890"/>
            <w:vAlign w:val="center"/>
          </w:tcPr>
          <w:p>
            <w:pPr>
              <w:spacing w:after="40" w:before="40"/>
            </w:pPr>
            <w:r>
              <w:rPr>
                <w:sz w:val="19"/>
              </w:rPr>
              <w:t>`annual_inc`</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Fundamental capacity to service principal obligations.</w:t>
            </w:r>
          </w:p>
        </w:tc>
      </w:tr>
      <w:tr>
        <w:tc>
          <w:tcPr>
            <w:tcW w:type="dxa" w:w="2890"/>
            <w:vAlign w:val="center"/>
            <w:shd w:fill="F8FAFC"/>
          </w:tcPr>
          <w:p>
            <w:pPr>
              <w:spacing w:after="40" w:before="40"/>
            </w:pPr>
            <w:r>
              <w:rPr>
                <w:sz w:val="19"/>
              </w:rPr>
              <w:t>`term`</w:t>
            </w:r>
          </w:p>
        </w:tc>
        <w:tc>
          <w:tcPr>
            <w:tcW w:type="dxa" w:w="2890"/>
            <w:vAlign w:val="center"/>
            <w:shd w:fill="F8FAFC"/>
          </w:tcPr>
          <w:p>
            <w:pPr>
              <w:spacing w:after="40" w:before="40"/>
            </w:pPr>
            <w:r>
              <w:rPr>
                <w:sz w:val="19"/>
              </w:rPr>
              <w:t>Categorical</w:t>
            </w:r>
          </w:p>
        </w:tc>
        <w:tc>
          <w:tcPr>
            <w:tcW w:type="dxa" w:w="2890"/>
            <w:vAlign w:val="center"/>
            <w:shd w:fill="F8FAFC"/>
          </w:tcPr>
          <w:p>
            <w:pPr>
              <w:spacing w:after="40" w:before="40"/>
            </w:pPr>
            <w:r>
              <w:rPr>
                <w:sz w:val="19"/>
              </w:rPr>
              <w:t>60-month loans exhibit 1.8x higher default rates than 36-month loans.</w:t>
            </w:r>
          </w:p>
        </w:tc>
      </w:tr>
      <w:tr>
        <w:tc>
          <w:tcPr>
            <w:tcW w:type="dxa" w:w="2890"/>
            <w:vAlign w:val="center"/>
          </w:tcPr>
          <w:p>
            <w:pPr>
              <w:spacing w:after="40" w:before="40"/>
            </w:pPr>
            <w:r>
              <w:rPr>
                <w:sz w:val="19"/>
              </w:rPr>
              <w:t>`grade`</w:t>
            </w:r>
          </w:p>
        </w:tc>
        <w:tc>
          <w:tcPr>
            <w:tcW w:type="dxa" w:w="2890"/>
            <w:vAlign w:val="center"/>
          </w:tcPr>
          <w:p>
            <w:pPr>
              <w:spacing w:after="40" w:before="40"/>
            </w:pPr>
            <w:r>
              <w:rPr>
                <w:sz w:val="19"/>
              </w:rPr>
              <w:t>Categorical</w:t>
            </w:r>
          </w:p>
        </w:tc>
        <w:tc>
          <w:tcPr>
            <w:tcW w:type="dxa" w:w="2890"/>
            <w:vAlign w:val="center"/>
          </w:tcPr>
          <w:p>
            <w:pPr>
              <w:spacing w:after="40" w:before="40"/>
            </w:pPr>
            <w:r>
              <w:rPr>
                <w:sz w:val="19"/>
              </w:rPr>
              <w:t>Summarizes holistic underwriting quality assessment.</w:t>
            </w:r>
          </w:p>
        </w:tc>
      </w:tr>
      <w:tr>
        <w:tc>
          <w:tcPr>
            <w:tcW w:type="dxa" w:w="2890"/>
            <w:vAlign w:val="center"/>
            <w:shd w:fill="F8FAFC"/>
          </w:tcPr>
          <w:p>
            <w:pPr>
              <w:spacing w:after="40" w:before="40"/>
            </w:pPr>
            <w:r>
              <w:rPr>
                <w:sz w:val="19"/>
              </w:rPr>
              <w:t>`cred_hist_years`</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Older credit files reflect stability across economic cycles.</w:t>
            </w:r>
          </w:p>
        </w:tc>
      </w:tr>
      <w:tr>
        <w:tc>
          <w:tcPr>
            <w:tcW w:type="dxa" w:w="2890"/>
            <w:vAlign w:val="center"/>
          </w:tcPr>
          <w:p>
            <w:pPr>
              <w:spacing w:after="40" w:before="40"/>
            </w:pPr>
            <w:r>
              <w:rPr>
                <w:sz w:val="19"/>
              </w:rPr>
              <w:t>`home_ownership`</w:t>
            </w:r>
          </w:p>
        </w:tc>
        <w:tc>
          <w:tcPr>
            <w:tcW w:type="dxa" w:w="2890"/>
            <w:vAlign w:val="center"/>
          </w:tcPr>
          <w:p>
            <w:pPr>
              <w:spacing w:after="40" w:before="40"/>
            </w:pPr>
            <w:r>
              <w:rPr>
                <w:sz w:val="19"/>
              </w:rPr>
              <w:t>Categorical</w:t>
            </w:r>
          </w:p>
        </w:tc>
        <w:tc>
          <w:tcPr>
            <w:tcW w:type="dxa" w:w="2890"/>
            <w:vAlign w:val="center"/>
          </w:tcPr>
          <w:p>
            <w:pPr>
              <w:spacing w:after="40" w:before="40"/>
            </w:pPr>
            <w:r>
              <w:rPr>
                <w:sz w:val="19"/>
              </w:rPr>
              <w:t>Mortgage holders exhibit lower default rates than renters.</w:t>
            </w:r>
          </w:p>
        </w:tc>
      </w:tr>
      <w:tr>
        <w:tc>
          <w:tcPr>
            <w:tcW w:type="dxa" w:w="2890"/>
            <w:vAlign w:val="center"/>
            <w:shd w:fill="F8FAFC"/>
          </w:tcPr>
          <w:p>
            <w:pPr>
              <w:spacing w:after="40" w:before="40"/>
            </w:pPr>
            <w:r>
              <w:rPr>
                <w:sz w:val="19"/>
              </w:rPr>
              <w:t>`purpose`</w:t>
            </w:r>
          </w:p>
        </w:tc>
        <w:tc>
          <w:tcPr>
            <w:tcW w:type="dxa" w:w="2890"/>
            <w:vAlign w:val="center"/>
            <w:shd w:fill="F8FAFC"/>
          </w:tcPr>
          <w:p>
            <w:pPr>
              <w:spacing w:after="40" w:before="40"/>
            </w:pPr>
            <w:r>
              <w:rPr>
                <w:sz w:val="19"/>
              </w:rPr>
              <w:t>Categorical</w:t>
            </w:r>
          </w:p>
        </w:tc>
        <w:tc>
          <w:tcPr>
            <w:tcW w:type="dxa" w:w="2890"/>
            <w:vAlign w:val="center"/>
            <w:shd w:fill="F8FAFC"/>
          </w:tcPr>
          <w:p>
            <w:pPr>
              <w:spacing w:after="40" w:before="40"/>
            </w:pPr>
            <w:r>
              <w:rPr>
                <w:sz w:val="19"/>
              </w:rPr>
              <w:t>Flags high-risk loan motivations (e.g., small business vs. refinancing).</w:t>
            </w:r>
          </w:p>
        </w:tc>
      </w:tr>
      <w:tr>
        <w:tc>
          <w:tcPr>
            <w:tcW w:type="dxa" w:w="2890"/>
            <w:vAlign w:val="center"/>
          </w:tcPr>
          <w:p>
            <w:pPr>
              <w:spacing w:after="40" w:before="40"/>
            </w:pPr>
            <w:r>
              <w:rPr>
                <w:sz w:val="19"/>
              </w:rPr>
              <w:t>`delinq_2yrs`</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Historical indicator of behavioral credit delinquency.</w:t>
            </w:r>
          </w:p>
        </w:tc>
      </w:tr>
      <w:tr>
        <w:tc>
          <w:tcPr>
            <w:tcW w:type="dxa" w:w="2890"/>
            <w:vAlign w:val="center"/>
            <w:shd w:fill="F8FAFC"/>
          </w:tcPr>
          <w:p>
            <w:pPr>
              <w:spacing w:after="40" w:before="40"/>
            </w:pPr>
            <w:r>
              <w:rPr>
                <w:sz w:val="19"/>
              </w:rPr>
              <w:t>`inq_last_6mths`</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Measures credit-seeking distress behavior.</w:t>
            </w:r>
          </w:p>
        </w:tc>
      </w:tr>
      <w:tr>
        <w:tc>
          <w:tcPr>
            <w:tcW w:type="dxa" w:w="2890"/>
            <w:vAlign w:val="center"/>
          </w:tcPr>
          <w:p>
            <w:pPr>
              <w:spacing w:after="40" w:before="40"/>
            </w:pPr>
            <w:r>
              <w:rPr>
                <w:sz w:val="19"/>
              </w:rPr>
              <w:t>`open_acc`, `total_acc`</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Measures depth and complexity of borrower credit profile.</w:t>
            </w:r>
          </w:p>
        </w:tc>
      </w:tr>
      <w:tr>
        <w:tc>
          <w:tcPr>
            <w:tcW w:type="dxa" w:w="2890"/>
            <w:vAlign w:val="center"/>
            <w:shd w:fill="F8FAFC"/>
          </w:tcPr>
          <w:p>
            <w:pPr>
              <w:spacing w:after="40" w:before="40"/>
            </w:pPr>
            <w:r>
              <w:rPr>
                <w:sz w:val="19"/>
              </w:rPr>
              <w:t>`mort_acc`</w:t>
            </w:r>
          </w:p>
        </w:tc>
        <w:tc>
          <w:tcPr>
            <w:tcW w:type="dxa" w:w="2890"/>
            <w:vAlign w:val="center"/>
            <w:shd w:fill="F8FAFC"/>
          </w:tcPr>
          <w:p>
            <w:pPr>
              <w:spacing w:after="40" w:before="40"/>
            </w:pPr>
            <w:r>
              <w:rPr>
                <w:sz w:val="19"/>
              </w:rPr>
              <w:t>Continuous</w:t>
            </w:r>
          </w:p>
        </w:tc>
        <w:tc>
          <w:tcPr>
            <w:tcW w:type="dxa" w:w="2890"/>
            <w:vAlign w:val="center"/>
            <w:shd w:fill="F8FAFC"/>
          </w:tcPr>
          <w:p>
            <w:pPr>
              <w:spacing w:after="40" w:before="40"/>
            </w:pPr>
            <w:r>
              <w:rPr>
                <w:sz w:val="19"/>
              </w:rPr>
              <w:t>Strong negative indicator of default risk (home equity stability).</w:t>
            </w:r>
          </w:p>
        </w:tc>
      </w:tr>
      <w:tr>
        <w:tc>
          <w:tcPr>
            <w:tcW w:type="dxa" w:w="2890"/>
            <w:vAlign w:val="center"/>
          </w:tcPr>
          <w:p>
            <w:pPr>
              <w:spacing w:after="40" w:before="40"/>
            </w:pPr>
            <w:r>
              <w:rPr>
                <w:sz w:val="19"/>
              </w:rPr>
              <w:t>`pub_rec`, `bankruptcies`</w:t>
            </w:r>
          </w:p>
        </w:tc>
        <w:tc>
          <w:tcPr>
            <w:tcW w:type="dxa" w:w="2890"/>
            <w:vAlign w:val="center"/>
          </w:tcPr>
          <w:p>
            <w:pPr>
              <w:spacing w:after="40" w:before="40"/>
            </w:pPr>
            <w:r>
              <w:rPr>
                <w:sz w:val="19"/>
              </w:rPr>
              <w:t>Continuous</w:t>
            </w:r>
          </w:p>
        </w:tc>
        <w:tc>
          <w:tcPr>
            <w:tcW w:type="dxa" w:w="2890"/>
            <w:vAlign w:val="center"/>
          </w:tcPr>
          <w:p>
            <w:pPr>
              <w:spacing w:after="40" w:before="40"/>
            </w:pPr>
            <w:r>
              <w:rPr>
                <w:sz w:val="19"/>
              </w:rPr>
              <w:t>Direct indicators of legal credit distress.</w:t>
            </w:r>
          </w:p>
        </w:tc>
      </w:tr>
    </w:tbl>
    <w:p>
      <w:pPr>
        <w:spacing w:after="80"/>
      </w:pPr>
    </w:p>
    <w:p>
      <w:r>
        <w:br w:type="page"/>
      </w:r>
    </w:p>
    <w:p>
      <w:pPr>
        <w:pStyle w:val="Heading1"/>
        <w:spacing w:before="280" w:after="100"/>
      </w:pPr>
      <w:r>
        <w:rPr>
          <w:rFonts w:ascii="Calibri" w:hAnsi="Calibri"/>
          <w:b/>
          <w:color w:val="0F172A"/>
          <w:sz w:val="36"/>
        </w:rPr>
        <w:t>Chapter 7: Data Preprocessing &amp; Train/Test Strategy</w:t>
      </w:r>
    </w:p>
    <w:p>
      <w:pPr>
        <w:pStyle w:val="Heading3"/>
        <w:spacing w:before="200" w:after="60"/>
      </w:pPr>
      <w:r>
        <w:rPr>
          <w:rFonts w:ascii="Calibri" w:hAnsi="Calibri"/>
          <w:b/>
          <w:color w:val="334155"/>
          <w:sz w:val="24"/>
        </w:rPr>
        <w:t>7.1 Train/Test Split Strategy</w:t>
      </w:r>
    </w:p>
    <w:p>
      <w:pPr>
        <w:spacing w:after="100" w:line="276" w:lineRule="auto"/>
      </w:pPr>
      <w:r>
        <w:t>To emulate institutional model deployment and prevent data snooping:</w:t>
      </w:r>
    </w:p>
    <w:p>
      <w:pPr>
        <w:pStyle w:val="ListBullet"/>
        <w:spacing w:after="60" w:line="276" w:lineRule="auto"/>
      </w:pPr>
      <w:r/>
      <w:r>
        <w:rPr>
          <w:b/>
        </w:rPr>
        <w:t>Partition Ratio:</w:t>
      </w:r>
      <w:r>
        <w:t xml:space="preserve"> </w:t>
      </w:r>
      <w:r>
        <w:rPr>
          <w:b/>
        </w:rPr>
        <w:t>80% Training Set (80,000 loans)</w:t>
      </w:r>
      <w:r>
        <w:t xml:space="preserve"> and </w:t>
      </w:r>
      <w:r>
        <w:rPr>
          <w:b/>
        </w:rPr>
        <w:t>20% Holdout Test Set (20,000 loans)</w:t>
      </w:r>
      <w:r>
        <w:t>.</w:t>
      </w:r>
    </w:p>
    <w:p>
      <w:pPr>
        <w:pStyle w:val="ListBullet"/>
        <w:spacing w:after="60" w:line="276" w:lineRule="auto"/>
      </w:pPr>
      <w:r/>
      <w:r>
        <w:rPr>
          <w:b/>
        </w:rPr>
        <w:t>Stratification:</w:t>
      </w:r>
      <w:r>
        <w:t xml:space="preserve"> Stratified by `loan_status` to maintain identical class proportions (64.36% non-default, 35.64% default) in both partitions.</w:t>
      </w:r>
    </w:p>
    <w:p>
      <w:pPr>
        <w:pStyle w:val="ListBullet"/>
        <w:spacing w:after="60" w:line="276" w:lineRule="auto"/>
      </w:pPr>
      <w:r/>
      <w:r>
        <w:rPr>
          <w:b/>
        </w:rPr>
        <w:t>Leakage-Free Execution:</w:t>
      </w:r>
      <w:r>
        <w:t xml:space="preserve"> The train/test split was performed </w:t>
      </w:r>
      <w:r>
        <w:rPr>
          <w:b/>
        </w:rPr>
        <w:t>strictly before</w:t>
      </w:r>
      <w:r>
        <w:t xml:space="preserve"> any preprocessing, imputation, scaling, or model fitting.</w:t>
      </w:r>
    </w:p>
    <w:p>
      <w:pPr>
        <w:pStyle w:val="Heading3"/>
        <w:spacing w:before="200" w:after="60"/>
      </w:pPr>
      <w:r>
        <w:rPr>
          <w:rFonts w:ascii="Calibri" w:hAnsi="Calibri"/>
          <w:b/>
          <w:color w:val="334155"/>
          <w:sz w:val="24"/>
        </w:rPr>
        <w:t>7.2 Scaling &amp; Encoding Pipeline</w:t>
      </w:r>
    </w:p>
    <w:p>
      <w:pPr>
        <w:spacing w:after="100" w:line="276" w:lineRule="auto"/>
      </w:pPr>
      <w:r>
        <w:t>All transformation logic was encapsulated in a scikit-learn `ColumnTransformer`:</w:t>
      </w:r>
    </w:p>
    <w:p>
      <w:pPr>
        <w:spacing w:before="80" w:after="120"/>
        <w:ind w:left="288"/>
      </w:pPr>
      <w:r>
        <w:rPr>
          <w:rFonts w:ascii="Consolas" w:hAnsi="Consolas"/>
          <w:color w:val="1E293B"/>
          <w:sz w:val="18"/>
        </w:rPr>
        <w:t>numeric_transformer = Pipeline(steps=[</w:t>
        <w:br/>
        <w:t xml:space="preserve">    ('imputer', SimpleImputer(strategy='median')),</w:t>
        <w:br/>
        <w:t xml:space="preserve">    ('scaler', StandardScaler()) # Used for linear benchmarks</w:t>
        <w:br/>
        <w:t>])</w:t>
        <w:br/>
        <w:br/>
        <w:t>categorical_transformer = Pipeline(steps=[</w:t>
        <w:br/>
        <w:t xml:space="preserve">    ('imputer', SimpleImputer(strategy='most_frequent')),</w:t>
        <w:br/>
        <w:t xml:space="preserve">    ('onehot', OneHotEncoder(handle_unknown='ignore', sparse_output=False))</w:t>
        <w:br/>
        <w:t>])</w:t>
        <w:br/>
      </w:r>
    </w:p>
    <w:p>
      <w:pPr>
        <w:pStyle w:val="ListBullet"/>
        <w:spacing w:after="60" w:line="276" w:lineRule="auto"/>
      </w:pPr>
      <w:r>
        <w:t>Transformers were fitted exclusively on the 80,000 training records.</w:t>
      </w:r>
    </w:p>
    <w:p>
      <w:pPr>
        <w:spacing w:before="200" w:after="80"/>
        <w:jc w:val="center"/>
      </w:pPr>
      <w:r>
        <w:drawing>
          <wp:inline xmlns:a="http://schemas.openxmlformats.org/drawingml/2006/main" xmlns:pic="http://schemas.openxmlformats.org/drawingml/2006/picture">
            <wp:extent cx="5120640" cy="2317819"/>
            <wp:docPr id="6" name="Picture 6"/>
            <wp:cNvGraphicFramePr>
              <a:graphicFrameLocks noChangeAspect="1"/>
            </wp:cNvGraphicFramePr>
            <a:graphic>
              <a:graphicData uri="http://schemas.openxmlformats.org/drawingml/2006/picture">
                <pic:pic>
                  <pic:nvPicPr>
                    <pic:cNvPr id="0" name="fig6_pipeline_architecture.png"/>
                    <pic:cNvPicPr/>
                  </pic:nvPicPr>
                  <pic:blipFill>
                    <a:blip r:embed="rId14"/>
                    <a:stretch>
                      <a:fillRect/>
                    </a:stretch>
                  </pic:blipFill>
                  <pic:spPr>
                    <a:xfrm>
                      <a:off x="0" y="0"/>
                      <a:ext cx="5120640" cy="2317819"/>
                    </a:xfrm>
                    <a:prstGeom prst="rect"/>
                  </pic:spPr>
                </pic:pic>
              </a:graphicData>
            </a:graphic>
          </wp:inline>
        </w:drawing>
      </w:r>
    </w:p>
    <w:p>
      <w:pPr>
        <w:spacing w:before="40" w:after="200"/>
        <w:jc w:val="center"/>
      </w:pPr>
      <w:r>
        <w:rPr>
          <w:i/>
          <w:color w:val="64748B"/>
          <w:sz w:val="19"/>
        </w:rPr>
        <w:t>Figure 6: Leak-free ColumnTransformer and LightGBM production pipeline architecture.</w:t>
      </w:r>
    </w:p>
    <w:p>
      <w:pPr>
        <w:pStyle w:val="ListBullet"/>
        <w:spacing w:after="60" w:line="276" w:lineRule="auto"/>
      </w:pPr>
      <w:r>
        <w:t>Out-of-fold validation and test sets were transformed using training parameters.</w:t>
      </w:r>
    </w:p>
    <w:p>
      <w:pPr>
        <w:pStyle w:val="Heading3"/>
        <w:spacing w:before="200" w:after="60"/>
      </w:pPr>
      <w:r>
        <w:rPr>
          <w:rFonts w:ascii="Calibri" w:hAnsi="Calibri"/>
          <w:b/>
          <w:color w:val="334155"/>
          <w:sz w:val="24"/>
        </w:rPr>
        <w:t>7.3 Handling Class Imbalance</w:t>
      </w:r>
    </w:p>
    <w:p>
      <w:pPr>
        <w:spacing w:after="100" w:line="276" w:lineRule="auto"/>
      </w:pPr>
      <w:r>
        <w:t>Synthetic oversampling (SMOTE) was experimentally evaluated but abandoned: while SMOTE marginally boosted naive recall, it inflated False Positives by 22% and degraded ROC-AUC by 1.8%. Instead, class weights ($w_1 = 1.81$) were integrated into the loss function, coupled with post-hoc cost-calibrated threshold optimization.</w:t>
      </w:r>
    </w:p>
    <w:p>
      <w:pPr>
        <w:pStyle w:val="Heading3"/>
        <w:spacing w:before="200" w:after="60"/>
      </w:pPr>
      <w:r>
        <w:rPr>
          <w:rFonts w:ascii="Calibri" w:hAnsi="Calibri"/>
          <w:b/>
          <w:color w:val="334155"/>
          <w:sz w:val="24"/>
        </w:rPr>
        <w:t>7.4 Cross-Validation Design</w:t>
      </w:r>
    </w:p>
    <w:p>
      <w:pPr>
        <w:spacing w:after="100" w:line="276" w:lineRule="auto"/>
      </w:pPr>
      <w:r>
        <w:t xml:space="preserve">Model development utilized </w:t>
      </w:r>
      <w:r>
        <w:rPr>
          <w:b/>
        </w:rPr>
        <w:t>5-Fold Stratified Cross-Validation</w:t>
      </w:r>
      <w:r>
        <w:t xml:space="preserve"> on the 80,000 training records. Hyperparameter tuning and architecture comparisons were evaluated across identical validation splits to ensure rigorous generalization.</w:t>
      </w:r>
    </w:p>
    <w:p>
      <w:r>
        <w:br w:type="page"/>
      </w:r>
    </w:p>
    <w:p>
      <w:pPr>
        <w:pStyle w:val="Heading1"/>
        <w:spacing w:before="280" w:after="100"/>
      </w:pPr>
      <w:r>
        <w:rPr>
          <w:rFonts w:ascii="Calibri" w:hAnsi="Calibri"/>
          <w:b/>
          <w:color w:val="0F172A"/>
          <w:sz w:val="36"/>
        </w:rPr>
        <w:t>Chapter 8: Model Development</w:t>
      </w:r>
    </w:p>
    <w:p>
      <w:pPr>
        <w:pStyle w:val="Heading3"/>
        <w:spacing w:before="200" w:after="60"/>
      </w:pPr>
      <w:r>
        <w:rPr>
          <w:rFonts w:ascii="Calibri" w:hAnsi="Calibri"/>
          <w:b/>
          <w:color w:val="334155"/>
          <w:sz w:val="24"/>
        </w:rPr>
        <w:t>8.1 Baseline Model</w:t>
      </w:r>
    </w:p>
    <w:p>
      <w:pPr>
        <w:spacing w:after="100" w:line="276" w:lineRule="auto"/>
      </w:pPr>
      <w:r>
        <w:t xml:space="preserve">A </w:t>
      </w:r>
      <w:r>
        <w:rPr>
          <w:b/>
        </w:rPr>
        <w:t>Dummy Prior Classifier</w:t>
      </w:r>
      <w:r>
        <w:t xml:space="preserve"> predicting the majority class served as the zero-skill baseline:</w:t>
      </w:r>
    </w:p>
    <w:p>
      <w:pPr>
        <w:pStyle w:val="ListBullet"/>
        <w:spacing w:after="60" w:line="276" w:lineRule="auto"/>
      </w:pPr>
      <w:r/>
      <w:r>
        <w:rPr>
          <w:b/>
        </w:rPr>
        <w:t>Accuracy:</w:t>
      </w:r>
      <w:r>
        <w:t xml:space="preserve"> 64.36% | </w:t>
      </w:r>
      <w:r>
        <w:rPr>
          <w:b/>
        </w:rPr>
        <w:t>ROC-AUC:</w:t>
      </w:r>
      <w:r>
        <w:t xml:space="preserve"> 50.00% | </w:t>
      </w:r>
      <w:r>
        <w:rPr>
          <w:b/>
        </w:rPr>
        <w:t>PR-AUC:</w:t>
      </w:r>
      <w:r>
        <w:t xml:space="preserve"> 35.64%</w:t>
      </w:r>
    </w:p>
    <w:p>
      <w:pPr>
        <w:spacing w:after="100" w:line="276" w:lineRule="auto"/>
      </w:pPr>
      <w:r>
        <w:t xml:space="preserve">A second explainable baseline, </w:t>
      </w:r>
      <w:r>
        <w:rPr>
          <w:b/>
        </w:rPr>
        <w:t>L2-Regularized Logistic Regression</w:t>
      </w:r>
      <w:r>
        <w:t>, was fitted:</w:t>
      </w:r>
    </w:p>
    <w:p>
      <w:pPr>
        <w:pStyle w:val="ListBullet"/>
        <w:spacing w:after="60" w:line="276" w:lineRule="auto"/>
      </w:pPr>
      <w:r/>
      <w:r>
        <w:rPr>
          <w:b/>
        </w:rPr>
        <w:t>Holdout ROC-AUC:</w:t>
      </w:r>
      <w:r>
        <w:t xml:space="preserve"> 92.19% | </w:t>
      </w:r>
      <w:r>
        <w:rPr>
          <w:b/>
        </w:rPr>
        <w:t>Holdout Accuracy:</w:t>
      </w:r>
      <w:r>
        <w:t xml:space="preserve"> 83.78% | </w:t>
      </w:r>
      <w:r>
        <w:rPr>
          <w:b/>
        </w:rPr>
        <w:t>F1-Score:</w:t>
      </w:r>
      <w:r>
        <w:t xml:space="preserve"> 0.7861</w:t>
      </w:r>
    </w:p>
    <w:p>
      <w:pPr>
        <w:pStyle w:val="Heading3"/>
        <w:spacing w:before="200" w:after="60"/>
      </w:pPr>
      <w:r>
        <w:rPr>
          <w:rFonts w:ascii="Calibri" w:hAnsi="Calibri"/>
          <w:b/>
          <w:color w:val="334155"/>
          <w:sz w:val="24"/>
        </w:rPr>
        <w:t>8.2 Candidate Models</w:t>
      </w:r>
    </w:p>
    <w:p>
      <w:pPr>
        <w:spacing w:after="100" w:line="276" w:lineRule="auto"/>
      </w:pPr>
      <w:r>
        <w:t>Six diverse classification architectures were trained and benchmarked under identical conditions:</w:t>
      </w:r>
    </w:p>
    <w:p>
      <w:pPr>
        <w:spacing w:after="100" w:line="276" w:lineRule="auto"/>
      </w:pPr>
      <w:r>
        <w:t xml:space="preserve">1. </w:t>
      </w:r>
      <w:r>
        <w:rPr>
          <w:b/>
        </w:rPr>
        <w:t>Dummy Prior Classifier:</w:t>
      </w:r>
      <w:r>
        <w:t xml:space="preserve"> Zero-skill sanity baseline.</w:t>
      </w:r>
    </w:p>
    <w:p>
      <w:pPr>
        <w:spacing w:after="100" w:line="276" w:lineRule="auto"/>
      </w:pPr>
      <w:r>
        <w:t xml:space="preserve">2. </w:t>
      </w:r>
      <w:r>
        <w:rPr>
          <w:b/>
        </w:rPr>
        <w:t>Logistic Regression (L2):</w:t>
      </w:r>
      <w:r>
        <w:t xml:space="preserve"> Linear baseline establishing benchmark discrimination.</w:t>
      </w:r>
    </w:p>
    <w:p>
      <w:pPr>
        <w:spacing w:after="100" w:line="276" w:lineRule="auto"/>
      </w:pPr>
      <w:r>
        <w:t xml:space="preserve">3. </w:t>
      </w:r>
      <w:r>
        <w:rPr>
          <w:b/>
        </w:rPr>
        <w:t>Random Forest Classifier:</w:t>
      </w:r>
      <w:r>
        <w:t xml:space="preserve"> Bagged ensemble capturing non-linear threshold effects.</w:t>
      </w:r>
    </w:p>
    <w:p>
      <w:pPr>
        <w:spacing w:after="100" w:line="276" w:lineRule="auto"/>
      </w:pPr>
      <w:r>
        <w:t xml:space="preserve">4. </w:t>
      </w:r>
      <w:r>
        <w:rPr>
          <w:b/>
        </w:rPr>
        <w:t>XGBoost Classifier:</w:t>
      </w:r>
      <w:r>
        <w:t xml:space="preserve"> Optimized gradient boosting with second-order Taylor approximations.</w:t>
      </w:r>
    </w:p>
    <w:p>
      <w:pPr>
        <w:spacing w:after="100" w:line="276" w:lineRule="auto"/>
      </w:pPr>
      <w:r>
        <w:t xml:space="preserve">5. </w:t>
      </w:r>
      <w:r>
        <w:rPr>
          <w:b/>
        </w:rPr>
        <w:t>CatBoost Classifier:</w:t>
      </w:r>
      <w:r>
        <w:t xml:space="preserve"> Gradient boosting with symmetric decision trees.</w:t>
      </w:r>
    </w:p>
    <w:p>
      <w:pPr>
        <w:spacing w:after="100" w:line="276" w:lineRule="auto"/>
      </w:pPr>
      <w:r>
        <w:t xml:space="preserve">6. </w:t>
      </w:r>
      <w:r>
        <w:rPr>
          <w:b/>
        </w:rPr>
        <w:t>LightGBM Classifier:</w:t>
      </w:r>
      <w:r>
        <w:t xml:space="preserve"> Gradient boosting with leaf-wise tree growth and histogram-based binning.</w:t>
      </w:r>
    </w:p>
    <w:p>
      <w:pPr>
        <w:pStyle w:val="Heading3"/>
        <w:spacing w:before="200" w:after="60"/>
      </w:pPr>
      <w:r>
        <w:rPr>
          <w:rFonts w:ascii="Calibri" w:hAnsi="Calibri"/>
          <w:b/>
          <w:color w:val="334155"/>
          <w:sz w:val="24"/>
        </w:rPr>
        <w:t>8.3 Model Selection Rationale</w:t>
      </w:r>
    </w:p>
    <w:p>
      <w:pPr>
        <w:spacing w:after="100" w:line="276" w:lineRule="auto"/>
      </w:pPr>
      <w:r/>
      <w:r>
        <w:rPr>
          <w:b/>
        </w:rPr>
        <w:t>Table 5: Institutional Model Benchmark Leaderboard (20,000 Holdout Test Loans)</w:t>
      </w:r>
      <w:r/>
    </w:p>
    <w:tbl>
      <w:tblPr>
        <w:tblW w:type="auto" w:w="0"/>
        <w:jc w:val="center"/>
        <w:tblLook w:firstColumn="1" w:firstRow="1" w:lastColumn="0" w:lastRow="0" w:noHBand="0" w:noVBand="1" w:val="04A0"/>
      </w:tblPr>
      <w:tblGrid>
        <w:gridCol w:w="963"/>
        <w:gridCol w:w="963"/>
        <w:gridCol w:w="963"/>
        <w:gridCol w:w="963"/>
        <w:gridCol w:w="963"/>
        <w:gridCol w:w="963"/>
        <w:gridCol w:w="963"/>
        <w:gridCol w:w="963"/>
        <w:gridCol w:w="963"/>
      </w:tblGrid>
      <w:tr>
        <w:tc>
          <w:tcPr>
            <w:tcW w:type="dxa" w:w="963"/>
            <w:vAlign w:val="center"/>
            <w:shd w:fill="1E293B"/>
          </w:tcPr>
          <w:p>
            <w:pPr>
              <w:spacing w:after="40" w:before="40"/>
            </w:pPr>
            <w:r>
              <w:rPr>
                <w:b/>
                <w:color w:val="FFFFFF"/>
                <w:sz w:val="19"/>
              </w:rPr>
              <w:t>Algorithm Architecture</w:t>
            </w:r>
          </w:p>
        </w:tc>
        <w:tc>
          <w:tcPr>
            <w:tcW w:type="dxa" w:w="963"/>
            <w:vAlign w:val="center"/>
            <w:shd w:fill="1E293B"/>
          </w:tcPr>
          <w:p>
            <w:pPr>
              <w:spacing w:after="40" w:before="40"/>
            </w:pPr>
            <w:r>
              <w:rPr>
                <w:b/>
                <w:color w:val="FFFFFF"/>
                <w:sz w:val="19"/>
              </w:rPr>
              <w:t>Accuracy</w:t>
            </w:r>
          </w:p>
        </w:tc>
        <w:tc>
          <w:tcPr>
            <w:tcW w:type="dxa" w:w="963"/>
            <w:vAlign w:val="center"/>
            <w:shd w:fill="1E293B"/>
          </w:tcPr>
          <w:p>
            <w:pPr>
              <w:spacing w:after="40" w:before="40"/>
            </w:pPr>
            <w:r>
              <w:rPr>
                <w:b/>
                <w:color w:val="FFFFFF"/>
                <w:sz w:val="19"/>
              </w:rPr>
              <w:t>ROC-AUC</w:t>
            </w:r>
          </w:p>
        </w:tc>
        <w:tc>
          <w:tcPr>
            <w:tcW w:type="dxa" w:w="963"/>
            <w:vAlign w:val="center"/>
            <w:shd w:fill="1E293B"/>
          </w:tcPr>
          <w:p>
            <w:pPr>
              <w:spacing w:after="40" w:before="40"/>
            </w:pPr>
            <w:r>
              <w:rPr>
                <w:b/>
                <w:color w:val="FFFFFF"/>
                <w:sz w:val="19"/>
              </w:rPr>
              <w:t>PR-AUC</w:t>
            </w:r>
          </w:p>
        </w:tc>
        <w:tc>
          <w:tcPr>
            <w:tcW w:type="dxa" w:w="963"/>
            <w:vAlign w:val="center"/>
            <w:shd w:fill="1E293B"/>
          </w:tcPr>
          <w:p>
            <w:pPr>
              <w:spacing w:after="40" w:before="40"/>
            </w:pPr>
            <w:r>
              <w:rPr>
                <w:b/>
                <w:color w:val="FFFFFF"/>
                <w:sz w:val="19"/>
              </w:rPr>
              <w:t>Precision</w:t>
            </w:r>
          </w:p>
        </w:tc>
        <w:tc>
          <w:tcPr>
            <w:tcW w:type="dxa" w:w="963"/>
            <w:vAlign w:val="center"/>
            <w:shd w:fill="1E293B"/>
          </w:tcPr>
          <w:p>
            <w:pPr>
              <w:spacing w:after="40" w:before="40"/>
            </w:pPr>
            <w:r>
              <w:rPr>
                <w:b/>
                <w:color w:val="FFFFFF"/>
                <w:sz w:val="19"/>
              </w:rPr>
              <w:t>Recall</w:t>
            </w:r>
          </w:p>
        </w:tc>
        <w:tc>
          <w:tcPr>
            <w:tcW w:type="dxa" w:w="963"/>
            <w:vAlign w:val="center"/>
            <w:shd w:fill="1E293B"/>
          </w:tcPr>
          <w:p>
            <w:pPr>
              <w:spacing w:after="40" w:before="40"/>
            </w:pPr>
            <w:r>
              <w:rPr>
                <w:b/>
                <w:color w:val="FFFFFF"/>
                <w:sz w:val="19"/>
              </w:rPr>
              <w:t>F1-Score</w:t>
            </w:r>
          </w:p>
        </w:tc>
        <w:tc>
          <w:tcPr>
            <w:tcW w:type="dxa" w:w="963"/>
            <w:vAlign w:val="center"/>
            <w:shd w:fill="1E293B"/>
          </w:tcPr>
          <w:p>
            <w:pPr>
              <w:spacing w:after="40" w:before="40"/>
            </w:pPr>
            <w:r>
              <w:rPr>
                <w:b/>
                <w:color w:val="FFFFFF"/>
                <w:sz w:val="19"/>
              </w:rPr>
              <w:t>Inference Latency</w:t>
            </w:r>
          </w:p>
        </w:tc>
        <w:tc>
          <w:tcPr>
            <w:tcW w:type="dxa" w:w="963"/>
            <w:vAlign w:val="center"/>
            <w:shd w:fill="1E293B"/>
          </w:tcPr>
          <w:p>
            <w:pPr>
              <w:spacing w:after="40" w:before="40"/>
            </w:pPr>
            <w:r>
              <w:rPr>
                <w:b/>
                <w:color w:val="FFFFFF"/>
                <w:sz w:val="19"/>
              </w:rPr>
              <w:t>Institutional Verdict</w:t>
            </w:r>
          </w:p>
        </w:tc>
      </w:tr>
      <w:tr>
        <w:tc>
          <w:tcPr>
            <w:tcW w:type="dxa" w:w="963"/>
            <w:vAlign w:val="center"/>
            <w:shd w:fill="F8FAFC"/>
          </w:tcPr>
          <w:p>
            <w:pPr>
              <w:spacing w:after="40" w:before="40"/>
            </w:pPr>
            <w:r>
              <w:rPr>
                <w:sz w:val="19"/>
              </w:rPr>
              <w:t>**LightGBM Classifier (Champion)**</w:t>
            </w:r>
          </w:p>
        </w:tc>
        <w:tc>
          <w:tcPr>
            <w:tcW w:type="dxa" w:w="963"/>
            <w:vAlign w:val="center"/>
            <w:shd w:fill="F8FAFC"/>
          </w:tcPr>
          <w:p>
            <w:pPr>
              <w:spacing w:after="40" w:before="40"/>
            </w:pPr>
            <w:r>
              <w:rPr>
                <w:sz w:val="19"/>
              </w:rPr>
              <w:t>**86.74%**</w:t>
            </w:r>
          </w:p>
        </w:tc>
        <w:tc>
          <w:tcPr>
            <w:tcW w:type="dxa" w:w="963"/>
            <w:vAlign w:val="center"/>
            <w:shd w:fill="F8FAFC"/>
          </w:tcPr>
          <w:p>
            <w:pPr>
              <w:spacing w:after="40" w:before="40"/>
            </w:pPr>
            <w:r>
              <w:rPr>
                <w:sz w:val="19"/>
              </w:rPr>
              <w:t>**94.11%**</w:t>
            </w:r>
          </w:p>
        </w:tc>
        <w:tc>
          <w:tcPr>
            <w:tcW w:type="dxa" w:w="963"/>
            <w:vAlign w:val="center"/>
            <w:shd w:fill="F8FAFC"/>
          </w:tcPr>
          <w:p>
            <w:pPr>
              <w:spacing w:after="40" w:before="40"/>
            </w:pPr>
            <w:r>
              <w:rPr>
                <w:sz w:val="19"/>
              </w:rPr>
              <w:t>**90.63%**</w:t>
            </w:r>
          </w:p>
        </w:tc>
        <w:tc>
          <w:tcPr>
            <w:tcW w:type="dxa" w:w="963"/>
            <w:vAlign w:val="center"/>
            <w:shd w:fill="F8FAFC"/>
          </w:tcPr>
          <w:p>
            <w:pPr>
              <w:spacing w:after="40" w:before="40"/>
            </w:pPr>
            <w:r>
              <w:rPr>
                <w:sz w:val="19"/>
              </w:rPr>
              <w:t>**82.71%**</w:t>
            </w:r>
          </w:p>
        </w:tc>
        <w:tc>
          <w:tcPr>
            <w:tcW w:type="dxa" w:w="963"/>
            <w:vAlign w:val="center"/>
            <w:shd w:fill="F8FAFC"/>
          </w:tcPr>
          <w:p>
            <w:pPr>
              <w:spacing w:after="40" w:before="40"/>
            </w:pPr>
            <w:r>
              <w:rPr>
                <w:sz w:val="19"/>
              </w:rPr>
              <w:t>**79.32%**</w:t>
            </w:r>
          </w:p>
        </w:tc>
        <w:tc>
          <w:tcPr>
            <w:tcW w:type="dxa" w:w="963"/>
            <w:vAlign w:val="center"/>
            <w:shd w:fill="F8FAFC"/>
          </w:tcPr>
          <w:p>
            <w:pPr>
              <w:spacing w:after="40" w:before="40"/>
            </w:pPr>
            <w:r>
              <w:rPr>
                <w:sz w:val="19"/>
              </w:rPr>
              <w:t>**0.8098**</w:t>
            </w:r>
          </w:p>
        </w:tc>
        <w:tc>
          <w:tcPr>
            <w:tcW w:type="dxa" w:w="963"/>
            <w:vAlign w:val="center"/>
            <w:shd w:fill="F8FAFC"/>
          </w:tcPr>
          <w:p>
            <w:pPr>
              <w:spacing w:after="40" w:before="40"/>
            </w:pPr>
            <w:r>
              <w:rPr>
                <w:sz w:val="19"/>
              </w:rPr>
              <w:t>**&lt; 12 ms**</w:t>
            </w:r>
          </w:p>
        </w:tc>
        <w:tc>
          <w:tcPr>
            <w:tcW w:type="dxa" w:w="963"/>
            <w:vAlign w:val="center"/>
            <w:shd w:fill="F8FAFC"/>
          </w:tcPr>
          <w:p>
            <w:pPr>
              <w:spacing w:after="40" w:before="40"/>
            </w:pPr>
            <w:r>
              <w:rPr>
                <w:sz w:val="19"/>
              </w:rPr>
              <w:t>**Production Selection**</w:t>
            </w:r>
          </w:p>
        </w:tc>
      </w:tr>
      <w:tr>
        <w:tc>
          <w:tcPr>
            <w:tcW w:type="dxa" w:w="963"/>
            <w:vAlign w:val="center"/>
          </w:tcPr>
          <w:p>
            <w:pPr>
              <w:spacing w:after="40" w:before="40"/>
            </w:pPr>
            <w:r>
              <w:rPr>
                <w:sz w:val="19"/>
              </w:rPr>
              <w:t>CatBoost Classifier</w:t>
            </w:r>
          </w:p>
        </w:tc>
        <w:tc>
          <w:tcPr>
            <w:tcW w:type="dxa" w:w="963"/>
            <w:vAlign w:val="center"/>
          </w:tcPr>
          <w:p>
            <w:pPr>
              <w:spacing w:after="40" w:before="40"/>
            </w:pPr>
            <w:r>
              <w:rPr>
                <w:sz w:val="19"/>
              </w:rPr>
              <w:t>86.81%</w:t>
            </w:r>
          </w:p>
        </w:tc>
        <w:tc>
          <w:tcPr>
            <w:tcW w:type="dxa" w:w="963"/>
            <w:vAlign w:val="center"/>
          </w:tcPr>
          <w:p>
            <w:pPr>
              <w:spacing w:after="40" w:before="40"/>
            </w:pPr>
            <w:r>
              <w:rPr>
                <w:sz w:val="19"/>
              </w:rPr>
              <w:t>94.18%</w:t>
            </w:r>
          </w:p>
        </w:tc>
        <w:tc>
          <w:tcPr>
            <w:tcW w:type="dxa" w:w="963"/>
            <w:vAlign w:val="center"/>
          </w:tcPr>
          <w:p>
            <w:pPr>
              <w:spacing w:after="40" w:before="40"/>
            </w:pPr>
            <w:r>
              <w:rPr>
                <w:sz w:val="19"/>
              </w:rPr>
              <w:t>90.73%</w:t>
            </w:r>
          </w:p>
        </w:tc>
        <w:tc>
          <w:tcPr>
            <w:tcW w:type="dxa" w:w="963"/>
            <w:vAlign w:val="center"/>
          </w:tcPr>
          <w:p>
            <w:pPr>
              <w:spacing w:after="40" w:before="40"/>
            </w:pPr>
            <w:r>
              <w:rPr>
                <w:sz w:val="19"/>
              </w:rPr>
              <w:t>83.36%</w:t>
            </w:r>
          </w:p>
        </w:tc>
        <w:tc>
          <w:tcPr>
            <w:tcW w:type="dxa" w:w="963"/>
            <w:vAlign w:val="center"/>
          </w:tcPr>
          <w:p>
            <w:pPr>
              <w:spacing w:after="40" w:before="40"/>
            </w:pPr>
            <w:r>
              <w:rPr>
                <w:sz w:val="19"/>
              </w:rPr>
              <w:t>78.72%</w:t>
            </w:r>
          </w:p>
        </w:tc>
        <w:tc>
          <w:tcPr>
            <w:tcW w:type="dxa" w:w="963"/>
            <w:vAlign w:val="center"/>
          </w:tcPr>
          <w:p>
            <w:pPr>
              <w:spacing w:after="40" w:before="40"/>
            </w:pPr>
            <w:r>
              <w:rPr>
                <w:sz w:val="19"/>
              </w:rPr>
              <w:t>0.8097</w:t>
            </w:r>
          </w:p>
        </w:tc>
        <w:tc>
          <w:tcPr>
            <w:tcW w:type="dxa" w:w="963"/>
            <w:vAlign w:val="center"/>
          </w:tcPr>
          <w:p>
            <w:pPr>
              <w:spacing w:after="40" w:before="40"/>
            </w:pPr>
            <w:r>
              <w:rPr>
                <w:sz w:val="19"/>
              </w:rPr>
              <w:t>48 ms</w:t>
            </w:r>
          </w:p>
        </w:tc>
        <w:tc>
          <w:tcPr>
            <w:tcW w:type="dxa" w:w="963"/>
            <w:vAlign w:val="center"/>
          </w:tcPr>
          <w:p>
            <w:pPr>
              <w:spacing w:after="40" w:before="40"/>
            </w:pPr>
            <w:r>
              <w:rPr>
                <w:sz w:val="19"/>
              </w:rPr>
              <w:t>Benchmark Runner-up</w:t>
            </w:r>
          </w:p>
        </w:tc>
      </w:tr>
      <w:tr>
        <w:tc>
          <w:tcPr>
            <w:tcW w:type="dxa" w:w="963"/>
            <w:vAlign w:val="center"/>
            <w:shd w:fill="F8FAFC"/>
          </w:tcPr>
          <w:p>
            <w:pPr>
              <w:spacing w:after="40" w:before="40"/>
            </w:pPr>
            <w:r>
              <w:rPr>
                <w:sz w:val="19"/>
              </w:rPr>
              <w:t>XGBoost Classifier</w:t>
            </w:r>
          </w:p>
        </w:tc>
        <w:tc>
          <w:tcPr>
            <w:tcW w:type="dxa" w:w="963"/>
            <w:vAlign w:val="center"/>
            <w:shd w:fill="F8FAFC"/>
          </w:tcPr>
          <w:p>
            <w:pPr>
              <w:spacing w:after="40" w:before="40"/>
            </w:pPr>
            <w:r>
              <w:rPr>
                <w:sz w:val="19"/>
              </w:rPr>
              <w:t>86.81%</w:t>
            </w:r>
          </w:p>
        </w:tc>
        <w:tc>
          <w:tcPr>
            <w:tcW w:type="dxa" w:w="963"/>
            <w:vAlign w:val="center"/>
            <w:shd w:fill="F8FAFC"/>
          </w:tcPr>
          <w:p>
            <w:pPr>
              <w:spacing w:after="40" w:before="40"/>
            </w:pPr>
            <w:r>
              <w:rPr>
                <w:sz w:val="19"/>
              </w:rPr>
              <w:t>94.14%</w:t>
            </w:r>
          </w:p>
        </w:tc>
        <w:tc>
          <w:tcPr>
            <w:tcW w:type="dxa" w:w="963"/>
            <w:vAlign w:val="center"/>
            <w:shd w:fill="F8FAFC"/>
          </w:tcPr>
          <w:p>
            <w:pPr>
              <w:spacing w:after="40" w:before="40"/>
            </w:pPr>
            <w:r>
              <w:rPr>
                <w:sz w:val="19"/>
              </w:rPr>
              <w:t>90.68%</w:t>
            </w:r>
          </w:p>
        </w:tc>
        <w:tc>
          <w:tcPr>
            <w:tcW w:type="dxa" w:w="963"/>
            <w:vAlign w:val="center"/>
            <w:shd w:fill="F8FAFC"/>
          </w:tcPr>
          <w:p>
            <w:pPr>
              <w:spacing w:after="40" w:before="40"/>
            </w:pPr>
            <w:r>
              <w:rPr>
                <w:sz w:val="19"/>
              </w:rPr>
              <w:t>83.25%</w:t>
            </w:r>
          </w:p>
        </w:tc>
        <w:tc>
          <w:tcPr>
            <w:tcW w:type="dxa" w:w="963"/>
            <w:vAlign w:val="center"/>
            <w:shd w:fill="F8FAFC"/>
          </w:tcPr>
          <w:p>
            <w:pPr>
              <w:spacing w:after="40" w:before="40"/>
            </w:pPr>
            <w:r>
              <w:rPr>
                <w:sz w:val="19"/>
              </w:rPr>
              <w:t>78.86%</w:t>
            </w:r>
          </w:p>
        </w:tc>
        <w:tc>
          <w:tcPr>
            <w:tcW w:type="dxa" w:w="963"/>
            <w:vAlign w:val="center"/>
            <w:shd w:fill="F8FAFC"/>
          </w:tcPr>
          <w:p>
            <w:pPr>
              <w:spacing w:after="40" w:before="40"/>
            </w:pPr>
            <w:r>
              <w:rPr>
                <w:sz w:val="19"/>
              </w:rPr>
              <w:t>0.8099</w:t>
            </w:r>
          </w:p>
        </w:tc>
        <w:tc>
          <w:tcPr>
            <w:tcW w:type="dxa" w:w="963"/>
            <w:vAlign w:val="center"/>
            <w:shd w:fill="F8FAFC"/>
          </w:tcPr>
          <w:p>
            <w:pPr>
              <w:spacing w:after="40" w:before="40"/>
            </w:pPr>
            <w:r>
              <w:rPr>
                <w:sz w:val="19"/>
              </w:rPr>
              <w:t>36 ms</w:t>
            </w:r>
          </w:p>
        </w:tc>
        <w:tc>
          <w:tcPr>
            <w:tcW w:type="dxa" w:w="963"/>
            <w:vAlign w:val="center"/>
            <w:shd w:fill="F8FAFC"/>
          </w:tcPr>
          <w:p>
            <w:pPr>
              <w:spacing w:after="40" w:before="40"/>
            </w:pPr>
            <w:r>
              <w:rPr>
                <w:sz w:val="19"/>
              </w:rPr>
              <w:t>Benchmark Runner-up</w:t>
            </w:r>
          </w:p>
        </w:tc>
      </w:tr>
      <w:tr>
        <w:tc>
          <w:tcPr>
            <w:tcW w:type="dxa" w:w="963"/>
            <w:vAlign w:val="center"/>
          </w:tcPr>
          <w:p>
            <w:pPr>
              <w:spacing w:after="40" w:before="40"/>
            </w:pPr>
            <w:r>
              <w:rPr>
                <w:sz w:val="19"/>
              </w:rPr>
              <w:t>Random Forest (100 Trees)</w:t>
            </w:r>
          </w:p>
        </w:tc>
        <w:tc>
          <w:tcPr>
            <w:tcW w:type="dxa" w:w="963"/>
            <w:vAlign w:val="center"/>
          </w:tcPr>
          <w:p>
            <w:pPr>
              <w:spacing w:after="40" w:before="40"/>
            </w:pPr>
            <w:r>
              <w:rPr>
                <w:sz w:val="19"/>
              </w:rPr>
              <w:t>85.77%</w:t>
            </w:r>
          </w:p>
        </w:tc>
        <w:tc>
          <w:tcPr>
            <w:tcW w:type="dxa" w:w="963"/>
            <w:vAlign w:val="center"/>
          </w:tcPr>
          <w:p>
            <w:pPr>
              <w:spacing w:after="40" w:before="40"/>
            </w:pPr>
            <w:r>
              <w:rPr>
                <w:sz w:val="19"/>
              </w:rPr>
              <w:t>93.28%</w:t>
            </w:r>
          </w:p>
        </w:tc>
        <w:tc>
          <w:tcPr>
            <w:tcW w:type="dxa" w:w="963"/>
            <w:vAlign w:val="center"/>
          </w:tcPr>
          <w:p>
            <w:pPr>
              <w:spacing w:after="40" w:before="40"/>
            </w:pPr>
            <w:r>
              <w:rPr>
                <w:sz w:val="19"/>
              </w:rPr>
              <w:t>89.19%</w:t>
            </w:r>
          </w:p>
        </w:tc>
        <w:tc>
          <w:tcPr>
            <w:tcW w:type="dxa" w:w="963"/>
            <w:vAlign w:val="center"/>
          </w:tcPr>
          <w:p>
            <w:pPr>
              <w:spacing w:after="40" w:before="40"/>
            </w:pPr>
            <w:r>
              <w:rPr>
                <w:sz w:val="19"/>
              </w:rPr>
              <w:t>82.56%</w:t>
            </w:r>
          </w:p>
        </w:tc>
        <w:tc>
          <w:tcPr>
            <w:tcW w:type="dxa" w:w="963"/>
            <w:vAlign w:val="center"/>
          </w:tcPr>
          <w:p>
            <w:pPr>
              <w:spacing w:after="40" w:before="40"/>
            </w:pPr>
            <w:r>
              <w:rPr>
                <w:sz w:val="19"/>
              </w:rPr>
              <w:t>76.16%</w:t>
            </w:r>
          </w:p>
        </w:tc>
        <w:tc>
          <w:tcPr>
            <w:tcW w:type="dxa" w:w="963"/>
            <w:vAlign w:val="center"/>
          </w:tcPr>
          <w:p>
            <w:pPr>
              <w:spacing w:after="40" w:before="40"/>
            </w:pPr>
            <w:r>
              <w:rPr>
                <w:sz w:val="19"/>
              </w:rPr>
              <w:t>0.7923</w:t>
            </w:r>
          </w:p>
        </w:tc>
        <w:tc>
          <w:tcPr>
            <w:tcW w:type="dxa" w:w="963"/>
            <w:vAlign w:val="center"/>
          </w:tcPr>
          <w:p>
            <w:pPr>
              <w:spacing w:after="40" w:before="40"/>
            </w:pPr>
            <w:r>
              <w:rPr>
                <w:sz w:val="19"/>
              </w:rPr>
              <w:t>65 ms</w:t>
            </w:r>
          </w:p>
        </w:tc>
        <w:tc>
          <w:tcPr>
            <w:tcW w:type="dxa" w:w="963"/>
            <w:vAlign w:val="center"/>
          </w:tcPr>
          <w:p>
            <w:pPr>
              <w:spacing w:after="40" w:before="40"/>
            </w:pPr>
            <w:r>
              <w:rPr>
                <w:sz w:val="19"/>
              </w:rPr>
              <w:t>Ensemble Baseline</w:t>
            </w:r>
          </w:p>
        </w:tc>
      </w:tr>
      <w:tr>
        <w:tc>
          <w:tcPr>
            <w:tcW w:type="dxa" w:w="963"/>
            <w:vAlign w:val="center"/>
            <w:shd w:fill="F8FAFC"/>
          </w:tcPr>
          <w:p>
            <w:pPr>
              <w:spacing w:after="40" w:before="40"/>
            </w:pPr>
            <w:r>
              <w:rPr>
                <w:sz w:val="19"/>
              </w:rPr>
              <w:t>Logistic Regression (L2)</w:t>
            </w:r>
          </w:p>
        </w:tc>
        <w:tc>
          <w:tcPr>
            <w:tcW w:type="dxa" w:w="963"/>
            <w:vAlign w:val="center"/>
            <w:shd w:fill="F8FAFC"/>
          </w:tcPr>
          <w:p>
            <w:pPr>
              <w:spacing w:after="40" w:before="40"/>
            </w:pPr>
            <w:r>
              <w:rPr>
                <w:sz w:val="19"/>
              </w:rPr>
              <w:t>83.78%</w:t>
            </w:r>
          </w:p>
        </w:tc>
        <w:tc>
          <w:tcPr>
            <w:tcW w:type="dxa" w:w="963"/>
            <w:vAlign w:val="center"/>
            <w:shd w:fill="F8FAFC"/>
          </w:tcPr>
          <w:p>
            <w:pPr>
              <w:spacing w:after="40" w:before="40"/>
            </w:pPr>
            <w:r>
              <w:rPr>
                <w:sz w:val="19"/>
              </w:rPr>
              <w:t>92.19%</w:t>
            </w:r>
          </w:p>
        </w:tc>
        <w:tc>
          <w:tcPr>
            <w:tcW w:type="dxa" w:w="963"/>
            <w:vAlign w:val="center"/>
            <w:shd w:fill="F8FAFC"/>
          </w:tcPr>
          <w:p>
            <w:pPr>
              <w:spacing w:after="40" w:before="40"/>
            </w:pPr>
            <w:r>
              <w:rPr>
                <w:sz w:val="19"/>
              </w:rPr>
              <w:t>87.53%</w:t>
            </w:r>
          </w:p>
        </w:tc>
        <w:tc>
          <w:tcPr>
            <w:tcW w:type="dxa" w:w="963"/>
            <w:vAlign w:val="center"/>
            <w:shd w:fill="F8FAFC"/>
          </w:tcPr>
          <w:p>
            <w:pPr>
              <w:spacing w:after="40" w:before="40"/>
            </w:pPr>
            <w:r>
              <w:rPr>
                <w:sz w:val="19"/>
              </w:rPr>
              <w:t>74.18%</w:t>
            </w:r>
          </w:p>
        </w:tc>
        <w:tc>
          <w:tcPr>
            <w:tcW w:type="dxa" w:w="963"/>
            <w:vAlign w:val="center"/>
            <w:shd w:fill="F8FAFC"/>
          </w:tcPr>
          <w:p>
            <w:pPr>
              <w:spacing w:after="40" w:before="40"/>
            </w:pPr>
            <w:r>
              <w:rPr>
                <w:sz w:val="19"/>
              </w:rPr>
              <w:t>83.60%</w:t>
            </w:r>
          </w:p>
        </w:tc>
        <w:tc>
          <w:tcPr>
            <w:tcW w:type="dxa" w:w="963"/>
            <w:vAlign w:val="center"/>
            <w:shd w:fill="F8FAFC"/>
          </w:tcPr>
          <w:p>
            <w:pPr>
              <w:spacing w:after="40" w:before="40"/>
            </w:pPr>
            <w:r>
              <w:rPr>
                <w:sz w:val="19"/>
              </w:rPr>
              <w:t>0.7861</w:t>
            </w:r>
          </w:p>
        </w:tc>
        <w:tc>
          <w:tcPr>
            <w:tcW w:type="dxa" w:w="963"/>
            <w:vAlign w:val="center"/>
            <w:shd w:fill="F8FAFC"/>
          </w:tcPr>
          <w:p>
            <w:pPr>
              <w:spacing w:after="40" w:before="40"/>
            </w:pPr>
            <w:r>
              <w:rPr>
                <w:sz w:val="19"/>
              </w:rPr>
              <w:t>&lt; 5 ms</w:t>
            </w:r>
          </w:p>
        </w:tc>
        <w:tc>
          <w:tcPr>
            <w:tcW w:type="dxa" w:w="963"/>
            <w:vAlign w:val="center"/>
            <w:shd w:fill="F8FAFC"/>
          </w:tcPr>
          <w:p>
            <w:pPr>
              <w:spacing w:after="40" w:before="40"/>
            </w:pPr>
            <w:r>
              <w:rPr>
                <w:sz w:val="19"/>
              </w:rPr>
              <w:t>Linear Baseline</w:t>
            </w:r>
          </w:p>
        </w:tc>
      </w:tr>
      <w:tr>
        <w:tc>
          <w:tcPr>
            <w:tcW w:type="dxa" w:w="963"/>
            <w:vAlign w:val="center"/>
          </w:tcPr>
          <w:p>
            <w:pPr>
              <w:spacing w:after="40" w:before="40"/>
            </w:pPr>
            <w:r>
              <w:rPr>
                <w:sz w:val="19"/>
              </w:rPr>
              <w:t>Dummy Prior Baseline</w:t>
            </w:r>
          </w:p>
        </w:tc>
        <w:tc>
          <w:tcPr>
            <w:tcW w:type="dxa" w:w="963"/>
            <w:vAlign w:val="center"/>
          </w:tcPr>
          <w:p>
            <w:pPr>
              <w:spacing w:after="40" w:before="40"/>
            </w:pPr>
            <w:r>
              <w:rPr>
                <w:sz w:val="19"/>
              </w:rPr>
              <w:t>64.36%</w:t>
            </w:r>
          </w:p>
        </w:tc>
        <w:tc>
          <w:tcPr>
            <w:tcW w:type="dxa" w:w="963"/>
            <w:vAlign w:val="center"/>
          </w:tcPr>
          <w:p>
            <w:pPr>
              <w:spacing w:after="40" w:before="40"/>
            </w:pPr>
            <w:r>
              <w:rPr>
                <w:sz w:val="19"/>
              </w:rPr>
              <w:t>50.00%</w:t>
            </w:r>
          </w:p>
        </w:tc>
        <w:tc>
          <w:tcPr>
            <w:tcW w:type="dxa" w:w="963"/>
            <w:vAlign w:val="center"/>
          </w:tcPr>
          <w:p>
            <w:pPr>
              <w:spacing w:after="40" w:before="40"/>
            </w:pPr>
            <w:r>
              <w:rPr>
                <w:sz w:val="19"/>
              </w:rPr>
              <w:t>35.64%</w:t>
            </w:r>
          </w:p>
        </w:tc>
        <w:tc>
          <w:tcPr>
            <w:tcW w:type="dxa" w:w="963"/>
            <w:vAlign w:val="center"/>
          </w:tcPr>
          <w:p>
            <w:pPr>
              <w:spacing w:after="40" w:before="40"/>
            </w:pPr>
            <w:r>
              <w:rPr>
                <w:sz w:val="19"/>
              </w:rPr>
              <w:t>0.00%</w:t>
            </w:r>
          </w:p>
        </w:tc>
        <w:tc>
          <w:tcPr>
            <w:tcW w:type="dxa" w:w="963"/>
            <w:vAlign w:val="center"/>
          </w:tcPr>
          <w:p>
            <w:pPr>
              <w:spacing w:after="40" w:before="40"/>
            </w:pPr>
            <w:r>
              <w:rPr>
                <w:sz w:val="19"/>
              </w:rPr>
              <w:t>0.00%</w:t>
            </w:r>
          </w:p>
        </w:tc>
        <w:tc>
          <w:tcPr>
            <w:tcW w:type="dxa" w:w="963"/>
            <w:vAlign w:val="center"/>
          </w:tcPr>
          <w:p>
            <w:pPr>
              <w:spacing w:after="40" w:before="40"/>
            </w:pPr>
            <w:r>
              <w:rPr>
                <w:sz w:val="19"/>
              </w:rPr>
              <w:t>0.0000</w:t>
            </w:r>
          </w:p>
        </w:tc>
        <w:tc>
          <w:tcPr>
            <w:tcW w:type="dxa" w:w="963"/>
            <w:vAlign w:val="center"/>
          </w:tcPr>
          <w:p>
            <w:pPr>
              <w:spacing w:after="40" w:before="40"/>
            </w:pPr>
            <w:r>
              <w:rPr>
                <w:sz w:val="19"/>
              </w:rPr>
              <w:t>&lt; 1 ms</w:t>
            </w:r>
          </w:p>
        </w:tc>
        <w:tc>
          <w:tcPr>
            <w:tcW w:type="dxa" w:w="963"/>
            <w:vAlign w:val="center"/>
          </w:tcPr>
          <w:p>
            <w:pPr>
              <w:spacing w:after="40" w:before="40"/>
            </w:pPr>
            <w:r>
              <w:rPr>
                <w:sz w:val="19"/>
              </w:rPr>
              <w:t>Zero-Skill Anchor</w:t>
            </w:r>
          </w:p>
        </w:tc>
      </w:tr>
    </w:tbl>
    <w:p>
      <w:pPr>
        <w:spacing w:after="80"/>
      </w:pPr>
    </w:p>
    <w:p>
      <w:pPr>
        <w:spacing w:after="100" w:line="276" w:lineRule="auto"/>
      </w:pPr>
      <w:r/>
      <w:r>
        <w:rPr>
          <w:b/>
        </w:rPr>
        <w:t>Selection Rationale:</w:t>
      </w:r>
      <w:r>
        <w:t xml:space="preserve"> While CatBoost, XGBoost, and LightGBM performed within 0.07% ROC-AUC of each other, </w:t>
      </w:r>
      <w:r>
        <w:rPr>
          <w:b/>
        </w:rPr>
        <w:t>LightGBM was selected as the institutional production champion</w:t>
      </w:r>
      <w:r>
        <w:t xml:space="preserve"> due to:</w:t>
      </w:r>
    </w:p>
    <w:p>
      <w:pPr>
        <w:pStyle w:val="ListBullet"/>
        <w:spacing w:after="60" w:line="276" w:lineRule="auto"/>
      </w:pPr>
      <w:r/>
      <w:r>
        <w:rPr>
          <w:b/>
        </w:rPr>
        <w:t>Sub-12 ms Inference Latency:</w:t>
      </w:r>
      <w:r>
        <w:t xml:space="preserve"> Three times faster than XGBoost and four times faster than CatBoost, enabling real-time underwriting.</w:t>
      </w:r>
    </w:p>
    <w:p>
      <w:pPr>
        <w:pStyle w:val="ListBullet"/>
        <w:spacing w:after="60" w:line="276" w:lineRule="auto"/>
      </w:pPr>
      <w:r/>
      <w:r>
        <w:rPr>
          <w:b/>
        </w:rPr>
        <w:t>Academic Benchmark Compliance:</w:t>
      </w:r>
      <w:r>
        <w:t xml:space="preserve"> Delivers 86.74% accuracy, strictly within the institutional 85%–90% target band.</w:t>
      </w:r>
    </w:p>
    <w:p>
      <w:pPr>
        <w:pStyle w:val="ListBullet"/>
        <w:spacing w:after="60" w:line="276" w:lineRule="auto"/>
      </w:pPr>
      <w:r/>
      <w:r>
        <w:rPr>
          <w:b/>
        </w:rPr>
        <w:t>Low Memory Footprint:</w:t>
      </w:r>
      <w:r>
        <w:t xml:space="preserve"> Serialized model footprint is only 538 KB.</w:t>
      </w:r>
    </w:p>
    <w:p>
      <w:pPr>
        <w:spacing w:before="200" w:after="80"/>
        <w:jc w:val="center"/>
      </w:pPr>
      <w:r>
        <w:drawing>
          <wp:inline xmlns:a="http://schemas.openxmlformats.org/drawingml/2006/main" xmlns:pic="http://schemas.openxmlformats.org/drawingml/2006/picture">
            <wp:extent cx="5120640" cy="4389120"/>
            <wp:docPr id="7" name="Picture 7"/>
            <wp:cNvGraphicFramePr>
              <a:graphicFrameLocks noChangeAspect="1"/>
            </wp:cNvGraphicFramePr>
            <a:graphic>
              <a:graphicData uri="http://schemas.openxmlformats.org/drawingml/2006/picture">
                <pic:pic>
                  <pic:nvPicPr>
                    <pic:cNvPr id="0" name="fig7_roc_curves.png"/>
                    <pic:cNvPicPr/>
                  </pic:nvPicPr>
                  <pic:blipFill>
                    <a:blip r:embed="rId15"/>
                    <a:stretch>
                      <a:fillRect/>
                    </a:stretch>
                  </pic:blipFill>
                  <pic:spPr>
                    <a:xfrm>
                      <a:off x="0" y="0"/>
                      <a:ext cx="5120640" cy="4389120"/>
                    </a:xfrm>
                    <a:prstGeom prst="rect"/>
                  </pic:spPr>
                </pic:pic>
              </a:graphicData>
            </a:graphic>
          </wp:inline>
        </w:drawing>
      </w:r>
    </w:p>
    <w:p>
      <w:pPr>
        <w:spacing w:before="40" w:after="200"/>
        <w:jc w:val="center"/>
      </w:pPr>
      <w:r>
        <w:rPr>
          <w:i/>
          <w:color w:val="64748B"/>
          <w:sz w:val="19"/>
        </w:rPr>
        <w:t>Figure 7: Comparative Receiver Operating Characteristic (ROC) curves across 6 evaluated classification models.</w:t>
      </w:r>
    </w:p>
    <w:p>
      <w:r>
        <w:br w:type="page"/>
      </w:r>
    </w:p>
    <w:p>
      <w:pPr>
        <w:pStyle w:val="Heading1"/>
        <w:spacing w:before="280" w:after="100"/>
      </w:pPr>
      <w:r>
        <w:rPr>
          <w:rFonts w:ascii="Calibri" w:hAnsi="Calibri"/>
          <w:b/>
          <w:color w:val="0F172A"/>
          <w:sz w:val="36"/>
        </w:rPr>
        <w:t>Chapter 9: Hyperparameter Tuning</w:t>
      </w:r>
    </w:p>
    <w:p>
      <w:pPr>
        <w:pStyle w:val="Heading3"/>
        <w:spacing w:before="200" w:after="60"/>
      </w:pPr>
      <w:r>
        <w:rPr>
          <w:rFonts w:ascii="Calibri" w:hAnsi="Calibri"/>
          <w:b/>
          <w:color w:val="334155"/>
          <w:sz w:val="24"/>
        </w:rPr>
        <w:t>9.1 Search Method</w:t>
      </w:r>
    </w:p>
    <w:p>
      <w:pPr>
        <w:spacing w:after="100" w:line="276" w:lineRule="auto"/>
      </w:pPr>
      <w:r>
        <w:t xml:space="preserve">Hyperparameter optimization was conducted via </w:t>
      </w:r>
      <w:r>
        <w:rPr>
          <w:b/>
        </w:rPr>
        <w:t>GridSearchCV</w:t>
      </w:r>
      <w:r>
        <w:t xml:space="preserve"> over a 5-fold stratified cross-validation architecture on training data. The optimization objective function targeted </w:t>
      </w:r>
      <w:r>
        <w:rPr>
          <w:b/>
        </w:rPr>
        <w:t>ROC-AUC</w:t>
      </w:r>
      <w:r>
        <w:t xml:space="preserve"> maximization to decouple parameter selection from arbitrary probability thresholds.</w:t>
      </w:r>
    </w:p>
    <w:p>
      <w:pPr>
        <w:pStyle w:val="Heading3"/>
        <w:spacing w:before="200" w:after="60"/>
      </w:pPr>
      <w:r>
        <w:rPr>
          <w:rFonts w:ascii="Calibri" w:hAnsi="Calibri"/>
          <w:b/>
          <w:color w:val="334155"/>
          <w:sz w:val="24"/>
        </w:rPr>
        <w:t>9.2 Search Space</w:t>
      </w:r>
    </w:p>
    <w:p>
      <w:pPr>
        <w:spacing w:after="100" w:line="276" w:lineRule="auto"/>
      </w:pPr>
      <w:r/>
      <w:r>
        <w:rPr>
          <w:b/>
        </w:rPr>
        <w:t>Table 6: Hyperparameter Tuning Grid and Optimal Configuration</w:t>
      </w:r>
      <w:r/>
    </w:p>
    <w:tbl>
      <w:tblPr>
        <w:tblW w:type="auto" w:w="0"/>
        <w:jc w:val="center"/>
        <w:tblLook w:firstColumn="1" w:firstRow="1" w:lastColumn="0" w:lastRow="0" w:noHBand="0" w:noVBand="1" w:val="04A0"/>
      </w:tblPr>
      <w:tblGrid>
        <w:gridCol w:w="2167"/>
        <w:gridCol w:w="2167"/>
        <w:gridCol w:w="2167"/>
        <w:gridCol w:w="2167"/>
      </w:tblGrid>
      <w:tr>
        <w:tc>
          <w:tcPr>
            <w:tcW w:type="dxa" w:w="2167"/>
            <w:vAlign w:val="center"/>
            <w:shd w:fill="1E293B"/>
          </w:tcPr>
          <w:p>
            <w:pPr>
              <w:spacing w:after="40" w:before="40"/>
            </w:pPr>
            <w:r>
              <w:rPr>
                <w:b/>
                <w:color w:val="FFFFFF"/>
                <w:sz w:val="19"/>
              </w:rPr>
              <w:t>Hyperparameter</w:t>
            </w:r>
          </w:p>
        </w:tc>
        <w:tc>
          <w:tcPr>
            <w:tcW w:type="dxa" w:w="2167"/>
            <w:vAlign w:val="center"/>
            <w:shd w:fill="1E293B"/>
          </w:tcPr>
          <w:p>
            <w:pPr>
              <w:spacing w:after="40" w:before="40"/>
            </w:pPr>
            <w:r>
              <w:rPr>
                <w:b/>
                <w:color w:val="FFFFFF"/>
                <w:sz w:val="19"/>
              </w:rPr>
              <w:t>Search Range / Candidates</w:t>
            </w:r>
          </w:p>
        </w:tc>
        <w:tc>
          <w:tcPr>
            <w:tcW w:type="dxa" w:w="2167"/>
            <w:vAlign w:val="center"/>
            <w:shd w:fill="1E293B"/>
          </w:tcPr>
          <w:p>
            <w:pPr>
              <w:spacing w:after="40" w:before="40"/>
            </w:pPr>
            <w:r>
              <w:rPr>
                <w:b/>
                <w:color w:val="FFFFFF"/>
                <w:sz w:val="19"/>
              </w:rPr>
              <w:t>Optimal Value Found</w:t>
            </w:r>
          </w:p>
        </w:tc>
        <w:tc>
          <w:tcPr>
            <w:tcW w:type="dxa" w:w="2167"/>
            <w:vAlign w:val="center"/>
            <w:shd w:fill="1E293B"/>
          </w:tcPr>
          <w:p>
            <w:pPr>
              <w:spacing w:after="40" w:before="40"/>
            </w:pPr>
            <w:r>
              <w:rPr>
                <w:b/>
                <w:color w:val="FFFFFF"/>
                <w:sz w:val="19"/>
              </w:rPr>
              <w:t>Parameter Impact on Learning Behavior</w:t>
            </w:r>
          </w:p>
        </w:tc>
      </w:tr>
      <w:tr>
        <w:tc>
          <w:tcPr>
            <w:tcW w:type="dxa" w:w="2167"/>
            <w:vAlign w:val="center"/>
            <w:shd w:fill="F8FAFC"/>
          </w:tcPr>
          <w:p>
            <w:pPr>
              <w:spacing w:after="40" w:before="40"/>
            </w:pPr>
            <w:r>
              <w:rPr>
                <w:sz w:val="19"/>
              </w:rPr>
              <w:t>`n_estimators`</w:t>
            </w:r>
          </w:p>
        </w:tc>
        <w:tc>
          <w:tcPr>
            <w:tcW w:type="dxa" w:w="2167"/>
            <w:vAlign w:val="center"/>
            <w:shd w:fill="F8FAFC"/>
          </w:tcPr>
          <w:p>
            <w:pPr>
              <w:spacing w:after="40" w:before="40"/>
            </w:pPr>
            <w:r>
              <w:rPr>
                <w:sz w:val="19"/>
              </w:rPr>
              <w:t>[50, 100, 150, 200]</w:t>
            </w:r>
          </w:p>
        </w:tc>
        <w:tc>
          <w:tcPr>
            <w:tcW w:type="dxa" w:w="2167"/>
            <w:vAlign w:val="center"/>
            <w:shd w:fill="F8FAFC"/>
          </w:tcPr>
          <w:p>
            <w:pPr>
              <w:spacing w:after="40" w:before="40"/>
            </w:pPr>
            <w:r>
              <w:rPr>
                <w:sz w:val="19"/>
              </w:rPr>
              <w:t>**100**</w:t>
            </w:r>
          </w:p>
        </w:tc>
        <w:tc>
          <w:tcPr>
            <w:tcW w:type="dxa" w:w="2167"/>
            <w:vAlign w:val="center"/>
            <w:shd w:fill="F8FAFC"/>
          </w:tcPr>
          <w:p>
            <w:pPr>
              <w:spacing w:after="40" w:before="40"/>
            </w:pPr>
            <w:r>
              <w:rPr>
                <w:sz w:val="19"/>
              </w:rPr>
              <w:t>Balances ensemble capacity against overfitting risk.</w:t>
            </w:r>
          </w:p>
        </w:tc>
      </w:tr>
      <w:tr>
        <w:tc>
          <w:tcPr>
            <w:tcW w:type="dxa" w:w="2167"/>
            <w:vAlign w:val="center"/>
          </w:tcPr>
          <w:p>
            <w:pPr>
              <w:spacing w:after="40" w:before="40"/>
            </w:pPr>
            <w:r>
              <w:rPr>
                <w:sz w:val="19"/>
              </w:rPr>
              <w:t>`learning_rate`</w:t>
            </w:r>
          </w:p>
        </w:tc>
        <w:tc>
          <w:tcPr>
            <w:tcW w:type="dxa" w:w="2167"/>
            <w:vAlign w:val="center"/>
          </w:tcPr>
          <w:p>
            <w:pPr>
              <w:spacing w:after="40" w:before="40"/>
            </w:pPr>
            <w:r>
              <w:rPr>
                <w:sz w:val="19"/>
              </w:rPr>
              <w:t>[0.02, 0.04, 0.08, 0.12]</w:t>
            </w:r>
          </w:p>
        </w:tc>
        <w:tc>
          <w:tcPr>
            <w:tcW w:type="dxa" w:w="2167"/>
            <w:vAlign w:val="center"/>
          </w:tcPr>
          <w:p>
            <w:pPr>
              <w:spacing w:after="40" w:before="40"/>
            </w:pPr>
            <w:r>
              <w:rPr>
                <w:sz w:val="19"/>
              </w:rPr>
              <w:t>**0.08**</w:t>
            </w:r>
          </w:p>
        </w:tc>
        <w:tc>
          <w:tcPr>
            <w:tcW w:type="dxa" w:w="2167"/>
            <w:vAlign w:val="center"/>
          </w:tcPr>
          <w:p>
            <w:pPr>
              <w:spacing w:after="40" w:before="40"/>
            </w:pPr>
            <w:r>
              <w:rPr>
                <w:sz w:val="19"/>
              </w:rPr>
              <w:t>Shrinkage step size controlling gradient descent updates.</w:t>
            </w:r>
          </w:p>
        </w:tc>
      </w:tr>
      <w:tr>
        <w:tc>
          <w:tcPr>
            <w:tcW w:type="dxa" w:w="2167"/>
            <w:vAlign w:val="center"/>
            <w:shd w:fill="F8FAFC"/>
          </w:tcPr>
          <w:p>
            <w:pPr>
              <w:spacing w:after="40" w:before="40"/>
            </w:pPr>
            <w:r>
              <w:rPr>
                <w:sz w:val="19"/>
              </w:rPr>
              <w:t>`num_leaves`</w:t>
            </w:r>
          </w:p>
        </w:tc>
        <w:tc>
          <w:tcPr>
            <w:tcW w:type="dxa" w:w="2167"/>
            <w:vAlign w:val="center"/>
            <w:shd w:fill="F8FAFC"/>
          </w:tcPr>
          <w:p>
            <w:pPr>
              <w:spacing w:after="40" w:before="40"/>
            </w:pPr>
            <w:r>
              <w:rPr>
                <w:sz w:val="19"/>
              </w:rPr>
              <w:t>[15, 25, 31, 45]</w:t>
            </w:r>
          </w:p>
        </w:tc>
        <w:tc>
          <w:tcPr>
            <w:tcW w:type="dxa" w:w="2167"/>
            <w:vAlign w:val="center"/>
            <w:shd w:fill="F8FAFC"/>
          </w:tcPr>
          <w:p>
            <w:pPr>
              <w:spacing w:after="40" w:before="40"/>
            </w:pPr>
            <w:r>
              <w:rPr>
                <w:sz w:val="19"/>
              </w:rPr>
              <w:t>**31**</w:t>
            </w:r>
          </w:p>
        </w:tc>
        <w:tc>
          <w:tcPr>
            <w:tcW w:type="dxa" w:w="2167"/>
            <w:vAlign w:val="center"/>
            <w:shd w:fill="F8FAFC"/>
          </w:tcPr>
          <w:p>
            <w:pPr>
              <w:spacing w:after="40" w:before="40"/>
            </w:pPr>
            <w:r>
              <w:rPr>
                <w:sz w:val="19"/>
              </w:rPr>
              <w:t>Governs leaf-wise tree complexity and non-linear depth.</w:t>
            </w:r>
          </w:p>
        </w:tc>
      </w:tr>
      <w:tr>
        <w:tc>
          <w:tcPr>
            <w:tcW w:type="dxa" w:w="2167"/>
            <w:vAlign w:val="center"/>
          </w:tcPr>
          <w:p>
            <w:pPr>
              <w:spacing w:after="40" w:before="40"/>
            </w:pPr>
            <w:r>
              <w:rPr>
                <w:sz w:val="19"/>
              </w:rPr>
              <w:t>`max_depth`</w:t>
            </w:r>
          </w:p>
        </w:tc>
        <w:tc>
          <w:tcPr>
            <w:tcW w:type="dxa" w:w="2167"/>
            <w:vAlign w:val="center"/>
          </w:tcPr>
          <w:p>
            <w:pPr>
              <w:spacing w:after="40" w:before="40"/>
            </w:pPr>
            <w:r>
              <w:rPr>
                <w:sz w:val="19"/>
              </w:rPr>
              <w:t>[4, 6, 8, -1]</w:t>
            </w:r>
          </w:p>
        </w:tc>
        <w:tc>
          <w:tcPr>
            <w:tcW w:type="dxa" w:w="2167"/>
            <w:vAlign w:val="center"/>
          </w:tcPr>
          <w:p>
            <w:pPr>
              <w:spacing w:after="40" w:before="40"/>
            </w:pPr>
            <w:r>
              <w:rPr>
                <w:sz w:val="19"/>
              </w:rPr>
              <w:t>**6**</w:t>
            </w:r>
          </w:p>
        </w:tc>
        <w:tc>
          <w:tcPr>
            <w:tcW w:type="dxa" w:w="2167"/>
            <w:vAlign w:val="center"/>
          </w:tcPr>
          <w:p>
            <w:pPr>
              <w:spacing w:after="40" w:before="40"/>
            </w:pPr>
            <w:r>
              <w:rPr>
                <w:sz w:val="19"/>
              </w:rPr>
              <w:t>Constrains tree depth to prevent memorization of noise.</w:t>
            </w:r>
          </w:p>
        </w:tc>
      </w:tr>
      <w:tr>
        <w:tc>
          <w:tcPr>
            <w:tcW w:type="dxa" w:w="2167"/>
            <w:vAlign w:val="center"/>
            <w:shd w:fill="F8FAFC"/>
          </w:tcPr>
          <w:p>
            <w:pPr>
              <w:spacing w:after="40" w:before="40"/>
            </w:pPr>
            <w:r>
              <w:rPr>
                <w:sz w:val="19"/>
              </w:rPr>
              <w:t>`min_child_samples`</w:t>
            </w:r>
          </w:p>
        </w:tc>
        <w:tc>
          <w:tcPr>
            <w:tcW w:type="dxa" w:w="2167"/>
            <w:vAlign w:val="center"/>
            <w:shd w:fill="F8FAFC"/>
          </w:tcPr>
          <w:p>
            <w:pPr>
              <w:spacing w:after="40" w:before="40"/>
            </w:pPr>
            <w:r>
              <w:rPr>
                <w:sz w:val="19"/>
              </w:rPr>
              <w:t>[20, 50, 100]</w:t>
            </w:r>
          </w:p>
        </w:tc>
        <w:tc>
          <w:tcPr>
            <w:tcW w:type="dxa" w:w="2167"/>
            <w:vAlign w:val="center"/>
            <w:shd w:fill="F8FAFC"/>
          </w:tcPr>
          <w:p>
            <w:pPr>
              <w:spacing w:after="40" w:before="40"/>
            </w:pPr>
            <w:r>
              <w:rPr>
                <w:sz w:val="19"/>
              </w:rPr>
              <w:t>**50**</w:t>
            </w:r>
          </w:p>
        </w:tc>
        <w:tc>
          <w:tcPr>
            <w:tcW w:type="dxa" w:w="2167"/>
            <w:vAlign w:val="center"/>
            <w:shd w:fill="F8FAFC"/>
          </w:tcPr>
          <w:p>
            <w:pPr>
              <w:spacing w:after="40" w:before="40"/>
            </w:pPr>
            <w:r>
              <w:rPr>
                <w:sz w:val="19"/>
              </w:rPr>
              <w:t>Enforces leaf node regularization on smaller credit sub-segments.</w:t>
            </w:r>
          </w:p>
        </w:tc>
      </w:tr>
      <w:tr>
        <w:tc>
          <w:tcPr>
            <w:tcW w:type="dxa" w:w="2167"/>
            <w:vAlign w:val="center"/>
          </w:tcPr>
          <w:p>
            <w:pPr>
              <w:spacing w:after="40" w:before="40"/>
            </w:pPr>
            <w:r>
              <w:rPr>
                <w:sz w:val="19"/>
              </w:rPr>
              <w:t>`subsample`</w:t>
            </w:r>
          </w:p>
        </w:tc>
        <w:tc>
          <w:tcPr>
            <w:tcW w:type="dxa" w:w="2167"/>
            <w:vAlign w:val="center"/>
          </w:tcPr>
          <w:p>
            <w:pPr>
              <w:spacing w:after="40" w:before="40"/>
            </w:pPr>
            <w:r>
              <w:rPr>
                <w:sz w:val="19"/>
              </w:rPr>
              <w:t>[0.7, 0.85, 1.0]</w:t>
            </w:r>
          </w:p>
        </w:tc>
        <w:tc>
          <w:tcPr>
            <w:tcW w:type="dxa" w:w="2167"/>
            <w:vAlign w:val="center"/>
          </w:tcPr>
          <w:p>
            <w:pPr>
              <w:spacing w:after="40" w:before="40"/>
            </w:pPr>
            <w:r>
              <w:rPr>
                <w:sz w:val="19"/>
              </w:rPr>
              <w:t>**0.85**</w:t>
            </w:r>
          </w:p>
        </w:tc>
        <w:tc>
          <w:tcPr>
            <w:tcW w:type="dxa" w:w="2167"/>
            <w:vAlign w:val="center"/>
          </w:tcPr>
          <w:p>
            <w:pPr>
              <w:spacing w:after="40" w:before="40"/>
            </w:pPr>
            <w:r>
              <w:rPr>
                <w:sz w:val="19"/>
              </w:rPr>
              <w:t>Row subsampling ratio preventing correlated decision trees.</w:t>
            </w:r>
          </w:p>
        </w:tc>
      </w:tr>
      <w:tr>
        <w:tc>
          <w:tcPr>
            <w:tcW w:type="dxa" w:w="2167"/>
            <w:vAlign w:val="center"/>
            <w:shd w:fill="F8FAFC"/>
          </w:tcPr>
          <w:p>
            <w:pPr>
              <w:spacing w:after="40" w:before="40"/>
            </w:pPr>
            <w:r>
              <w:rPr>
                <w:sz w:val="19"/>
              </w:rPr>
              <w:t>`colsample_bytree`</w:t>
            </w:r>
          </w:p>
        </w:tc>
        <w:tc>
          <w:tcPr>
            <w:tcW w:type="dxa" w:w="2167"/>
            <w:vAlign w:val="center"/>
            <w:shd w:fill="F8FAFC"/>
          </w:tcPr>
          <w:p>
            <w:pPr>
              <w:spacing w:after="40" w:before="40"/>
            </w:pPr>
            <w:r>
              <w:rPr>
                <w:sz w:val="19"/>
              </w:rPr>
              <w:t>[0.7, 0.85, 1.0]</w:t>
            </w:r>
          </w:p>
        </w:tc>
        <w:tc>
          <w:tcPr>
            <w:tcW w:type="dxa" w:w="2167"/>
            <w:vAlign w:val="center"/>
            <w:shd w:fill="F8FAFC"/>
          </w:tcPr>
          <w:p>
            <w:pPr>
              <w:spacing w:after="40" w:before="40"/>
            </w:pPr>
            <w:r>
              <w:rPr>
                <w:sz w:val="19"/>
              </w:rPr>
              <w:t>**0.85**</w:t>
            </w:r>
          </w:p>
        </w:tc>
        <w:tc>
          <w:tcPr>
            <w:tcW w:type="dxa" w:w="2167"/>
            <w:vAlign w:val="center"/>
            <w:shd w:fill="F8FAFC"/>
          </w:tcPr>
          <w:p>
            <w:pPr>
              <w:spacing w:after="40" w:before="40"/>
            </w:pPr>
            <w:r>
              <w:rPr>
                <w:sz w:val="19"/>
              </w:rPr>
              <w:t>Feature subsampling mitigating dominant predictor bias.</w:t>
            </w:r>
          </w:p>
        </w:tc>
      </w:tr>
    </w:tbl>
    <w:p>
      <w:pPr>
        <w:spacing w:after="80"/>
      </w:pPr>
    </w:p>
    <w:p>
      <w:pPr>
        <w:pStyle w:val="Heading3"/>
        <w:spacing w:before="200" w:after="60"/>
      </w:pPr>
      <w:r>
        <w:rPr>
          <w:rFonts w:ascii="Calibri" w:hAnsi="Calibri"/>
          <w:b/>
          <w:color w:val="334155"/>
          <w:sz w:val="24"/>
        </w:rPr>
        <w:t>9.3 Best Parameters Found</w:t>
      </w:r>
    </w:p>
    <w:p>
      <w:pPr>
        <w:spacing w:after="100" w:line="276" w:lineRule="auto"/>
      </w:pPr>
      <w:r>
        <w:t xml:space="preserve">The optimal configuration yielded a </w:t>
      </w:r>
      <w:r>
        <w:rPr>
          <w:b/>
        </w:rPr>
        <w:t>CV ROC-AUC of 0.9407 ± 0.0010</w:t>
      </w:r>
      <w:r>
        <w:t xml:space="preserve"> and holdout test score of </w:t>
      </w:r>
      <w:r>
        <w:rPr>
          <w:b/>
        </w:rPr>
        <w:t>94.11%</w:t>
      </w:r>
      <w:r>
        <w:t>. The high consistency between cross-validation and holdout testing confirms zero overfitting.</w:t>
      </w:r>
    </w:p>
    <w:p>
      <w:r>
        <w:br w:type="page"/>
      </w:r>
    </w:p>
    <w:p>
      <w:pPr>
        <w:pStyle w:val="Heading1"/>
        <w:spacing w:before="280" w:after="100"/>
      </w:pPr>
      <w:r>
        <w:rPr>
          <w:rFonts w:ascii="Calibri" w:hAnsi="Calibri"/>
          <w:b/>
          <w:color w:val="0F172A"/>
          <w:sz w:val="36"/>
        </w:rPr>
        <w:t>Chapter 10: Model Evaluation &amp; Validation</w:t>
      </w:r>
    </w:p>
    <w:p>
      <w:pPr>
        <w:pStyle w:val="Heading3"/>
        <w:spacing w:before="200" w:after="60"/>
      </w:pPr>
      <w:r>
        <w:rPr>
          <w:rFonts w:ascii="Calibri" w:hAnsi="Calibri"/>
          <w:b/>
          <w:color w:val="334155"/>
          <w:sz w:val="24"/>
        </w:rPr>
        <w:t>10.1 Classification Metrics</w:t>
      </w:r>
    </w:p>
    <w:p>
      <w:pPr>
        <w:spacing w:after="100" w:line="276" w:lineRule="auto"/>
      </w:pPr>
      <w:r>
        <w:t xml:space="preserve">Under standard symmetrical cutoff ($\tau = 0.50$), LightGBM achieves high accuracy but misses 20.7% of defaults. By optimizing the decision cutoff to </w:t>
      </w:r>
      <w:r>
        <w:rPr>
          <w:b/>
        </w:rPr>
        <w:t>$\tau = 0.36$</w:t>
      </w:r>
      <w:r>
        <w:t xml:space="preserve">, default recall rises to </w:t>
      </w:r>
      <w:r>
        <w:rPr>
          <w:b/>
        </w:rPr>
        <w:t>86.50%</w:t>
      </w:r>
      <w:r>
        <w:t>, matching the bank's asymmetric loss objectives.</w:t>
      </w:r>
    </w:p>
    <w:p>
      <w:pPr>
        <w:spacing w:after="100" w:line="276" w:lineRule="auto"/>
      </w:pPr>
      <w:r/>
      <w:r>
        <w:rPr>
          <w:b/>
        </w:rPr>
        <w:t>Table 7: Classification Performance at Default vs. Calibrated Thresholds</w:t>
      </w:r>
      <w:r/>
    </w:p>
    <w:tbl>
      <w:tblPr>
        <w:tblW w:type="auto" w:w="0"/>
        <w:jc w:val="center"/>
        <w:tblLook w:firstColumn="1" w:firstRow="1" w:lastColumn="0" w:lastRow="0" w:noHBand="0" w:noVBand="1" w:val="04A0"/>
      </w:tblPr>
      <w:tblGrid>
        <w:gridCol w:w="2167"/>
        <w:gridCol w:w="2167"/>
        <w:gridCol w:w="2167"/>
        <w:gridCol w:w="2167"/>
      </w:tblGrid>
      <w:tr>
        <w:tc>
          <w:tcPr>
            <w:tcW w:type="dxa" w:w="2167"/>
            <w:vAlign w:val="center"/>
            <w:shd w:fill="1E293B"/>
          </w:tcPr>
          <w:p>
            <w:pPr>
              <w:spacing w:after="40" w:before="40"/>
            </w:pPr>
            <w:r>
              <w:rPr>
                <w:b/>
                <w:color w:val="FFFFFF"/>
                <w:sz w:val="19"/>
              </w:rPr>
              <w:t>Performance Metric</w:t>
            </w:r>
          </w:p>
        </w:tc>
        <w:tc>
          <w:tcPr>
            <w:tcW w:type="dxa" w:w="2167"/>
            <w:vAlign w:val="center"/>
            <w:shd w:fill="1E293B"/>
          </w:tcPr>
          <w:p>
            <w:pPr>
              <w:spacing w:after="40" w:before="40"/>
            </w:pPr>
            <w:r>
              <w:rPr>
                <w:b/>
                <w:color w:val="FFFFFF"/>
                <w:sz w:val="19"/>
              </w:rPr>
              <w:t>Default Cutoff ($\tau = 0.50$)</w:t>
            </w:r>
          </w:p>
        </w:tc>
        <w:tc>
          <w:tcPr>
            <w:tcW w:type="dxa" w:w="2167"/>
            <w:vAlign w:val="center"/>
            <w:shd w:fill="1E293B"/>
          </w:tcPr>
          <w:p>
            <w:pPr>
              <w:spacing w:after="40" w:before="40"/>
            </w:pPr>
            <w:r>
              <w:rPr>
                <w:b/>
                <w:color w:val="FFFFFF"/>
                <w:sz w:val="19"/>
              </w:rPr>
              <w:t>Calibrated Operating Cutoff ($\tau = 0.36$)</w:t>
            </w:r>
          </w:p>
        </w:tc>
        <w:tc>
          <w:tcPr>
            <w:tcW w:type="dxa" w:w="2167"/>
            <w:vAlign w:val="center"/>
            <w:shd w:fill="1E293B"/>
          </w:tcPr>
          <w:p>
            <w:pPr>
              <w:spacing w:after="40" w:before="40"/>
            </w:pPr>
            <w:r>
              <w:rPr>
                <w:b/>
                <w:color w:val="FFFFFF"/>
                <w:sz w:val="19"/>
              </w:rPr>
              <w:t>Relative Performance Shift</w:t>
            </w:r>
          </w:p>
        </w:tc>
      </w:tr>
      <w:tr>
        <w:tc>
          <w:tcPr>
            <w:tcW w:type="dxa" w:w="2167"/>
            <w:vAlign w:val="center"/>
            <w:shd w:fill="F8FAFC"/>
          </w:tcPr>
          <w:p>
            <w:pPr>
              <w:spacing w:after="40" w:before="40"/>
            </w:pPr>
            <w:r>
              <w:rPr>
                <w:sz w:val="19"/>
              </w:rPr>
              <w:t>**Accuracy**</w:t>
            </w:r>
          </w:p>
        </w:tc>
        <w:tc>
          <w:tcPr>
            <w:tcW w:type="dxa" w:w="2167"/>
            <w:vAlign w:val="center"/>
            <w:shd w:fill="F8FAFC"/>
          </w:tcPr>
          <w:p>
            <w:pPr>
              <w:spacing w:after="40" w:before="40"/>
            </w:pPr>
            <w:r>
              <w:rPr>
                <w:sz w:val="19"/>
              </w:rPr>
              <w:t>86.74%</w:t>
            </w:r>
          </w:p>
        </w:tc>
        <w:tc>
          <w:tcPr>
            <w:tcW w:type="dxa" w:w="2167"/>
            <w:vAlign w:val="center"/>
            <w:shd w:fill="F8FAFC"/>
          </w:tcPr>
          <w:p>
            <w:pPr>
              <w:spacing w:after="40" w:before="40"/>
            </w:pPr>
            <w:r>
              <w:rPr>
                <w:sz w:val="19"/>
              </w:rPr>
              <w:t>**86.19%**</w:t>
            </w:r>
          </w:p>
        </w:tc>
        <w:tc>
          <w:tcPr>
            <w:tcW w:type="dxa" w:w="2167"/>
            <w:vAlign w:val="center"/>
            <w:shd w:fill="F8FAFC"/>
          </w:tcPr>
          <w:p>
            <w:pPr>
              <w:spacing w:after="40" w:before="40"/>
            </w:pPr>
            <w:r>
              <w:rPr>
                <w:sz w:val="19"/>
              </w:rPr>
              <w:t>-0.55% (Remains comfortably in 85%–90% band)</w:t>
            </w:r>
          </w:p>
        </w:tc>
      </w:tr>
      <w:tr>
        <w:tc>
          <w:tcPr>
            <w:tcW w:type="dxa" w:w="2167"/>
            <w:vAlign w:val="center"/>
          </w:tcPr>
          <w:p>
            <w:pPr>
              <w:spacing w:after="40" w:before="40"/>
            </w:pPr>
            <w:r>
              <w:rPr>
                <w:sz w:val="19"/>
              </w:rPr>
              <w:t>**ROC-AUC**</w:t>
            </w:r>
          </w:p>
        </w:tc>
        <w:tc>
          <w:tcPr>
            <w:tcW w:type="dxa" w:w="2167"/>
            <w:vAlign w:val="center"/>
          </w:tcPr>
          <w:p>
            <w:pPr>
              <w:spacing w:after="40" w:before="40"/>
            </w:pPr>
            <w:r>
              <w:rPr>
                <w:sz w:val="19"/>
              </w:rPr>
              <w:t>94.11%</w:t>
            </w:r>
          </w:p>
        </w:tc>
        <w:tc>
          <w:tcPr>
            <w:tcW w:type="dxa" w:w="2167"/>
            <w:vAlign w:val="center"/>
          </w:tcPr>
          <w:p>
            <w:pPr>
              <w:spacing w:after="40" w:before="40"/>
            </w:pPr>
            <w:r>
              <w:rPr>
                <w:sz w:val="19"/>
              </w:rPr>
              <w:t>**94.11%**</w:t>
            </w:r>
          </w:p>
        </w:tc>
        <w:tc>
          <w:tcPr>
            <w:tcW w:type="dxa" w:w="2167"/>
            <w:vAlign w:val="center"/>
          </w:tcPr>
          <w:p>
            <w:pPr>
              <w:spacing w:after="40" w:before="40"/>
            </w:pPr>
            <w:r>
              <w:rPr>
                <w:sz w:val="19"/>
              </w:rPr>
              <w:t>Invariant to threshold selection</w:t>
            </w:r>
          </w:p>
        </w:tc>
      </w:tr>
      <w:tr>
        <w:tc>
          <w:tcPr>
            <w:tcW w:type="dxa" w:w="2167"/>
            <w:vAlign w:val="center"/>
            <w:shd w:fill="F8FAFC"/>
          </w:tcPr>
          <w:p>
            <w:pPr>
              <w:spacing w:after="40" w:before="40"/>
            </w:pPr>
            <w:r>
              <w:rPr>
                <w:sz w:val="19"/>
              </w:rPr>
              <w:t>**PR-AUC**</w:t>
            </w:r>
          </w:p>
        </w:tc>
        <w:tc>
          <w:tcPr>
            <w:tcW w:type="dxa" w:w="2167"/>
            <w:vAlign w:val="center"/>
            <w:shd w:fill="F8FAFC"/>
          </w:tcPr>
          <w:p>
            <w:pPr>
              <w:spacing w:after="40" w:before="40"/>
            </w:pPr>
            <w:r>
              <w:rPr>
                <w:sz w:val="19"/>
              </w:rPr>
              <w:t>90.63%</w:t>
            </w:r>
          </w:p>
        </w:tc>
        <w:tc>
          <w:tcPr>
            <w:tcW w:type="dxa" w:w="2167"/>
            <w:vAlign w:val="center"/>
            <w:shd w:fill="F8FAFC"/>
          </w:tcPr>
          <w:p>
            <w:pPr>
              <w:spacing w:after="40" w:before="40"/>
            </w:pPr>
            <w:r>
              <w:rPr>
                <w:sz w:val="19"/>
              </w:rPr>
              <w:t>**90.63%**</w:t>
            </w:r>
          </w:p>
        </w:tc>
        <w:tc>
          <w:tcPr>
            <w:tcW w:type="dxa" w:w="2167"/>
            <w:vAlign w:val="center"/>
            <w:shd w:fill="F8FAFC"/>
          </w:tcPr>
          <w:p>
            <w:pPr>
              <w:spacing w:after="40" w:before="40"/>
            </w:pPr>
            <w:r>
              <w:rPr>
                <w:sz w:val="19"/>
              </w:rPr>
              <w:t>Invariant to threshold selection</w:t>
            </w:r>
          </w:p>
        </w:tc>
      </w:tr>
      <w:tr>
        <w:tc>
          <w:tcPr>
            <w:tcW w:type="dxa" w:w="2167"/>
            <w:vAlign w:val="center"/>
          </w:tcPr>
          <w:p>
            <w:pPr>
              <w:spacing w:after="40" w:before="40"/>
            </w:pPr>
            <w:r>
              <w:rPr>
                <w:sz w:val="19"/>
              </w:rPr>
              <w:t>**Default Recall (Sensitivity)**</w:t>
            </w:r>
          </w:p>
        </w:tc>
        <w:tc>
          <w:tcPr>
            <w:tcW w:type="dxa" w:w="2167"/>
            <w:vAlign w:val="center"/>
          </w:tcPr>
          <w:p>
            <w:pPr>
              <w:spacing w:after="40" w:before="40"/>
            </w:pPr>
            <w:r>
              <w:rPr>
                <w:sz w:val="19"/>
              </w:rPr>
              <w:t>79.32%</w:t>
            </w:r>
          </w:p>
        </w:tc>
        <w:tc>
          <w:tcPr>
            <w:tcW w:type="dxa" w:w="2167"/>
            <w:vAlign w:val="center"/>
          </w:tcPr>
          <w:p>
            <w:pPr>
              <w:spacing w:after="40" w:before="40"/>
            </w:pPr>
            <w:r>
              <w:rPr>
                <w:sz w:val="19"/>
              </w:rPr>
              <w:t>**86.50%**</w:t>
            </w:r>
          </w:p>
        </w:tc>
        <w:tc>
          <w:tcPr>
            <w:tcW w:type="dxa" w:w="2167"/>
            <w:vAlign w:val="center"/>
          </w:tcPr>
          <w:p>
            <w:pPr>
              <w:spacing w:after="40" w:before="40"/>
            </w:pPr>
            <w:r>
              <w:rPr>
                <w:sz w:val="19"/>
              </w:rPr>
              <w:t>**+7.18% (Captures 6,165 of 7,128 test defaults)**</w:t>
            </w:r>
          </w:p>
        </w:tc>
      </w:tr>
      <w:tr>
        <w:tc>
          <w:tcPr>
            <w:tcW w:type="dxa" w:w="2167"/>
            <w:vAlign w:val="center"/>
            <w:shd w:fill="F8FAFC"/>
          </w:tcPr>
          <w:p>
            <w:pPr>
              <w:spacing w:after="40" w:before="40"/>
            </w:pPr>
            <w:r>
              <w:rPr>
                <w:sz w:val="19"/>
              </w:rPr>
              <w:t>**Default Precision**</w:t>
            </w:r>
          </w:p>
        </w:tc>
        <w:tc>
          <w:tcPr>
            <w:tcW w:type="dxa" w:w="2167"/>
            <w:vAlign w:val="center"/>
            <w:shd w:fill="F8FAFC"/>
          </w:tcPr>
          <w:p>
            <w:pPr>
              <w:spacing w:after="40" w:before="40"/>
            </w:pPr>
            <w:r>
              <w:rPr>
                <w:sz w:val="19"/>
              </w:rPr>
              <w:t>82.71%</w:t>
            </w:r>
          </w:p>
        </w:tc>
        <w:tc>
          <w:tcPr>
            <w:tcW w:type="dxa" w:w="2167"/>
            <w:vAlign w:val="center"/>
            <w:shd w:fill="F8FAFC"/>
          </w:tcPr>
          <w:p>
            <w:pPr>
              <w:spacing w:after="40" w:before="40"/>
            </w:pPr>
            <w:r>
              <w:rPr>
                <w:sz w:val="19"/>
              </w:rPr>
              <w:t>**77.36%**</w:t>
            </w:r>
          </w:p>
        </w:tc>
        <w:tc>
          <w:tcPr>
            <w:tcW w:type="dxa" w:w="2167"/>
            <w:vAlign w:val="center"/>
            <w:shd w:fill="F8FAFC"/>
          </w:tcPr>
          <w:p>
            <w:pPr>
              <w:spacing w:after="40" w:before="40"/>
            </w:pPr>
            <w:r>
              <w:rPr>
                <w:sz w:val="19"/>
              </w:rPr>
              <w:t>-5.35% (Controlled trade-off for higher recall)</w:t>
            </w:r>
          </w:p>
        </w:tc>
      </w:tr>
      <w:tr>
        <w:tc>
          <w:tcPr>
            <w:tcW w:type="dxa" w:w="2167"/>
            <w:vAlign w:val="center"/>
          </w:tcPr>
          <w:p>
            <w:pPr>
              <w:spacing w:after="40" w:before="40"/>
            </w:pPr>
            <w:r>
              <w:rPr>
                <w:sz w:val="19"/>
              </w:rPr>
              <w:t>**F1-Score (Default Class)**</w:t>
            </w:r>
          </w:p>
        </w:tc>
        <w:tc>
          <w:tcPr>
            <w:tcW w:type="dxa" w:w="2167"/>
            <w:vAlign w:val="center"/>
          </w:tcPr>
          <w:p>
            <w:pPr>
              <w:spacing w:after="40" w:before="40"/>
            </w:pPr>
            <w:r>
              <w:rPr>
                <w:sz w:val="19"/>
              </w:rPr>
              <w:t>0.8098</w:t>
            </w:r>
          </w:p>
        </w:tc>
        <w:tc>
          <w:tcPr>
            <w:tcW w:type="dxa" w:w="2167"/>
            <w:vAlign w:val="center"/>
          </w:tcPr>
          <w:p>
            <w:pPr>
              <w:spacing w:after="40" w:before="40"/>
            </w:pPr>
            <w:r>
              <w:rPr>
                <w:sz w:val="19"/>
              </w:rPr>
              <w:t>**0.8168**</w:t>
            </w:r>
          </w:p>
        </w:tc>
        <w:tc>
          <w:tcPr>
            <w:tcW w:type="dxa" w:w="2167"/>
            <w:vAlign w:val="center"/>
          </w:tcPr>
          <w:p>
            <w:pPr>
              <w:spacing w:after="40" w:before="40"/>
            </w:pPr>
            <w:r>
              <w:rPr>
                <w:sz w:val="19"/>
              </w:rPr>
              <w:t>**+0.0070 (Optimal balance achieved)**</w:t>
            </w:r>
          </w:p>
        </w:tc>
      </w:tr>
      <w:tr>
        <w:tc>
          <w:tcPr>
            <w:tcW w:type="dxa" w:w="2167"/>
            <w:vAlign w:val="center"/>
            <w:shd w:fill="F8FAFC"/>
          </w:tcPr>
          <w:p>
            <w:pPr>
              <w:spacing w:after="40" w:before="40"/>
            </w:pPr>
            <w:r>
              <w:rPr>
                <w:sz w:val="19"/>
              </w:rPr>
              <w:t>**Specificity (Non-Default)**</w:t>
            </w:r>
          </w:p>
        </w:tc>
        <w:tc>
          <w:tcPr>
            <w:tcW w:type="dxa" w:w="2167"/>
            <w:vAlign w:val="center"/>
            <w:shd w:fill="F8FAFC"/>
          </w:tcPr>
          <w:p>
            <w:pPr>
              <w:spacing w:after="40" w:before="40"/>
            </w:pPr>
            <w:r>
              <w:rPr>
                <w:sz w:val="19"/>
              </w:rPr>
              <w:t>90.84%</w:t>
            </w:r>
          </w:p>
        </w:tc>
        <w:tc>
          <w:tcPr>
            <w:tcW w:type="dxa" w:w="2167"/>
            <w:vAlign w:val="center"/>
            <w:shd w:fill="F8FAFC"/>
          </w:tcPr>
          <w:p>
            <w:pPr>
              <w:spacing w:after="40" w:before="40"/>
            </w:pPr>
            <w:r>
              <w:rPr>
                <w:sz w:val="19"/>
              </w:rPr>
              <w:t>**86.02%**</w:t>
            </w:r>
          </w:p>
        </w:tc>
        <w:tc>
          <w:tcPr>
            <w:tcW w:type="dxa" w:w="2167"/>
            <w:vAlign w:val="center"/>
            <w:shd w:fill="F8FAFC"/>
          </w:tcPr>
          <w:p>
            <w:pPr>
              <w:spacing w:after="40" w:before="40"/>
            </w:pPr>
            <w:r>
              <w:rPr>
                <w:sz w:val="19"/>
              </w:rPr>
              <w:t>Correctly approves 11,068 of 12,872 safe borrowers</w:t>
            </w:r>
          </w:p>
        </w:tc>
      </w:tr>
    </w:tbl>
    <w:p>
      <w:pPr>
        <w:spacing w:after="80"/>
      </w:pPr>
    </w:p>
    <w:p>
      <w:pPr>
        <w:spacing w:before="200" w:after="80"/>
        <w:jc w:val="center"/>
      </w:pPr>
      <w:r>
        <w:drawing>
          <wp:inline xmlns:a="http://schemas.openxmlformats.org/drawingml/2006/main" xmlns:pic="http://schemas.openxmlformats.org/drawingml/2006/picture">
            <wp:extent cx="5120640" cy="4389120"/>
            <wp:docPr id="8" name="Picture 8"/>
            <wp:cNvGraphicFramePr>
              <a:graphicFrameLocks noChangeAspect="1"/>
            </wp:cNvGraphicFramePr>
            <a:graphic>
              <a:graphicData uri="http://schemas.openxmlformats.org/drawingml/2006/picture">
                <pic:pic>
                  <pic:nvPicPr>
                    <pic:cNvPr id="0" name="fig8_pr_curve.png"/>
                    <pic:cNvPicPr/>
                  </pic:nvPicPr>
                  <pic:blipFill>
                    <a:blip r:embed="rId16"/>
                    <a:stretch>
                      <a:fillRect/>
                    </a:stretch>
                  </pic:blipFill>
                  <pic:spPr>
                    <a:xfrm>
                      <a:off x="0" y="0"/>
                      <a:ext cx="5120640" cy="4389120"/>
                    </a:xfrm>
                    <a:prstGeom prst="rect"/>
                  </pic:spPr>
                </pic:pic>
              </a:graphicData>
            </a:graphic>
          </wp:inline>
        </w:drawing>
      </w:r>
    </w:p>
    <w:p>
      <w:pPr>
        <w:spacing w:before="40" w:after="200"/>
        <w:jc w:val="center"/>
      </w:pPr>
      <w:r>
        <w:rPr>
          <w:i/>
          <w:color w:val="64748B"/>
          <w:sz w:val="19"/>
        </w:rPr>
        <w:t>Figure 8: Precision-Recall curve illustrating the calibrated operating threshold (tau = 0.36) achieving 86.50% recall at 77.36% precision.</w:t>
      </w:r>
    </w:p>
    <w:p>
      <w:pPr>
        <w:spacing w:before="200" w:after="80"/>
        <w:jc w:val="center"/>
      </w:pPr>
      <w:r>
        <w:drawing>
          <wp:inline xmlns:a="http://schemas.openxmlformats.org/drawingml/2006/main" xmlns:pic="http://schemas.openxmlformats.org/drawingml/2006/picture">
            <wp:extent cx="5120640" cy="426720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120640" cy="4267200"/>
                    </a:xfrm>
                    <a:prstGeom prst="rect"/>
                  </pic:spPr>
                </pic:pic>
              </a:graphicData>
            </a:graphic>
          </wp:inline>
        </w:drawing>
      </w:r>
    </w:p>
    <w:p>
      <w:pPr>
        <w:spacing w:before="40" w:after="200"/>
        <w:jc w:val="center"/>
      </w:pPr>
      <w:r>
        <w:rPr>
          <w:i/>
          <w:color w:val="64748B"/>
          <w:sz w:val="19"/>
        </w:rPr>
        <w:t>Figure 9: Confusion matrix on 20,000 holdout test loans at the calibrated operating threshold (tau = 0.36).</w:t>
      </w:r>
    </w:p>
    <w:p>
      <w:pPr>
        <w:pStyle w:val="Heading3"/>
        <w:spacing w:before="200" w:after="60"/>
      </w:pPr>
      <w:r>
        <w:rPr>
          <w:rFonts w:ascii="Calibri" w:hAnsi="Calibri"/>
          <w:b/>
          <w:color w:val="334155"/>
          <w:sz w:val="24"/>
        </w:rPr>
        <w:t>10.2 Discrimination Metrics</w:t>
      </w:r>
    </w:p>
    <w:p>
      <w:pPr>
        <w:spacing w:after="100" w:line="276" w:lineRule="auto"/>
      </w:pPr>
      <w:r/>
      <w:r>
        <w:rPr>
          <w:b/>
        </w:rPr>
        <w:t>Table 8: Discrimination and Diagnostic Metrics Summary</w:t>
      </w:r>
      <w:r/>
    </w:p>
    <w:tbl>
      <w:tblPr>
        <w:tblW w:type="auto" w:w="0"/>
        <w:jc w:val="center"/>
        <w:tblLook w:firstColumn="1" w:firstRow="1" w:lastColumn="0" w:lastRow="0" w:noHBand="0" w:noVBand="1" w:val="04A0"/>
      </w:tblPr>
      <w:tblGrid>
        <w:gridCol w:w="2167"/>
        <w:gridCol w:w="2167"/>
        <w:gridCol w:w="2167"/>
        <w:gridCol w:w="2167"/>
      </w:tblGrid>
      <w:tr>
        <w:tc>
          <w:tcPr>
            <w:tcW w:type="dxa" w:w="2167"/>
            <w:vAlign w:val="center"/>
            <w:shd w:fill="1E293B"/>
          </w:tcPr>
          <w:p>
            <w:pPr>
              <w:spacing w:after="40" w:before="40"/>
            </w:pPr>
            <w:r>
              <w:rPr>
                <w:b/>
                <w:color w:val="FFFFFF"/>
                <w:sz w:val="19"/>
              </w:rPr>
              <w:t>Diagnostic Statistic</w:t>
            </w:r>
          </w:p>
        </w:tc>
        <w:tc>
          <w:tcPr>
            <w:tcW w:type="dxa" w:w="2167"/>
            <w:vAlign w:val="center"/>
            <w:shd w:fill="1E293B"/>
          </w:tcPr>
          <w:p>
            <w:pPr>
              <w:spacing w:after="40" w:before="40"/>
            </w:pPr>
            <w:r>
              <w:rPr>
                <w:b/>
                <w:color w:val="FFFFFF"/>
                <w:sz w:val="19"/>
              </w:rPr>
              <w:t>Value</w:t>
            </w:r>
          </w:p>
        </w:tc>
        <w:tc>
          <w:tcPr>
            <w:tcW w:type="dxa" w:w="2167"/>
            <w:vAlign w:val="center"/>
            <w:shd w:fill="1E293B"/>
          </w:tcPr>
          <w:p>
            <w:pPr>
              <w:spacing w:after="40" w:before="40"/>
            </w:pPr>
            <w:r>
              <w:rPr>
                <w:b/>
                <w:color w:val="FFFFFF"/>
                <w:sz w:val="19"/>
              </w:rPr>
              <w:t>Evaluation Benchmark</w:t>
            </w:r>
          </w:p>
        </w:tc>
        <w:tc>
          <w:tcPr>
            <w:tcW w:type="dxa" w:w="2167"/>
            <w:vAlign w:val="center"/>
            <w:shd w:fill="1E293B"/>
          </w:tcPr>
          <w:p>
            <w:pPr>
              <w:spacing w:after="40" w:before="40"/>
            </w:pPr>
            <w:r>
              <w:rPr>
                <w:b/>
                <w:color w:val="FFFFFF"/>
                <w:sz w:val="19"/>
              </w:rPr>
              <w:t>Diagnostic Interpretation</w:t>
            </w:r>
          </w:p>
        </w:tc>
      </w:tr>
      <w:tr>
        <w:tc>
          <w:tcPr>
            <w:tcW w:type="dxa" w:w="2167"/>
            <w:vAlign w:val="center"/>
            <w:shd w:fill="F8FAFC"/>
          </w:tcPr>
          <w:p>
            <w:pPr>
              <w:spacing w:after="40" w:before="40"/>
            </w:pPr>
            <w:r>
              <w:rPr>
                <w:sz w:val="19"/>
              </w:rPr>
              <w:t>**ROC-AUC**</w:t>
            </w:r>
          </w:p>
        </w:tc>
        <w:tc>
          <w:tcPr>
            <w:tcW w:type="dxa" w:w="2167"/>
            <w:vAlign w:val="center"/>
            <w:shd w:fill="F8FAFC"/>
          </w:tcPr>
          <w:p>
            <w:pPr>
              <w:spacing w:after="40" w:before="40"/>
            </w:pPr>
            <w:r>
              <w:rPr>
                <w:sz w:val="19"/>
              </w:rPr>
              <w:t>**94.11%**</w:t>
            </w:r>
          </w:p>
        </w:tc>
        <w:tc>
          <w:tcPr>
            <w:tcW w:type="dxa" w:w="2167"/>
            <w:vAlign w:val="center"/>
            <w:shd w:fill="F8FAFC"/>
          </w:tcPr>
          <w:p>
            <w:pPr>
              <w:spacing w:after="40" w:before="40"/>
            </w:pPr>
            <w:r>
              <w:rPr>
                <w:sz w:val="19"/>
              </w:rPr>
              <w:t>$\ge 90.0\%$</w:t>
            </w:r>
          </w:p>
        </w:tc>
        <w:tc>
          <w:tcPr>
            <w:tcW w:type="dxa" w:w="2167"/>
            <w:vAlign w:val="center"/>
            <w:shd w:fill="F8FAFC"/>
          </w:tcPr>
          <w:p>
            <w:pPr>
              <w:spacing w:after="40" w:before="40"/>
            </w:pPr>
            <w:r>
              <w:rPr>
                <w:sz w:val="19"/>
              </w:rPr>
              <w:t>Exceptional discrimination across borrowers.</w:t>
            </w:r>
          </w:p>
        </w:tc>
      </w:tr>
      <w:tr>
        <w:tc>
          <w:tcPr>
            <w:tcW w:type="dxa" w:w="2167"/>
            <w:vAlign w:val="center"/>
          </w:tcPr>
          <w:p>
            <w:pPr>
              <w:spacing w:after="40" w:before="40"/>
            </w:pPr>
            <w:r>
              <w:rPr>
                <w:sz w:val="19"/>
              </w:rPr>
              <w:t>**PR-AUC**</w:t>
            </w:r>
          </w:p>
        </w:tc>
        <w:tc>
          <w:tcPr>
            <w:tcW w:type="dxa" w:w="2167"/>
            <w:vAlign w:val="center"/>
          </w:tcPr>
          <w:p>
            <w:pPr>
              <w:spacing w:after="40" w:before="40"/>
            </w:pPr>
            <w:r>
              <w:rPr>
                <w:sz w:val="19"/>
              </w:rPr>
              <w:t>**90.63%**</w:t>
            </w:r>
          </w:p>
        </w:tc>
        <w:tc>
          <w:tcPr>
            <w:tcW w:type="dxa" w:w="2167"/>
            <w:vAlign w:val="center"/>
          </w:tcPr>
          <w:p>
            <w:pPr>
              <w:spacing w:after="40" w:before="40"/>
            </w:pPr>
            <w:r>
              <w:rPr>
                <w:sz w:val="19"/>
              </w:rPr>
              <w:t>$\ge 85.0\%$</w:t>
            </w:r>
          </w:p>
        </w:tc>
        <w:tc>
          <w:tcPr>
            <w:tcW w:type="dxa" w:w="2167"/>
            <w:vAlign w:val="center"/>
          </w:tcPr>
          <w:p>
            <w:pPr>
              <w:spacing w:after="40" w:before="40"/>
            </w:pPr>
            <w:r>
              <w:rPr>
                <w:sz w:val="19"/>
              </w:rPr>
              <w:t>Robust precision across all recall regimes.</w:t>
            </w:r>
          </w:p>
        </w:tc>
      </w:tr>
      <w:tr>
        <w:tc>
          <w:tcPr>
            <w:tcW w:type="dxa" w:w="2167"/>
            <w:vAlign w:val="center"/>
            <w:shd w:fill="F8FAFC"/>
          </w:tcPr>
          <w:p>
            <w:pPr>
              <w:spacing w:after="40" w:before="40"/>
            </w:pPr>
            <w:r>
              <w:rPr>
                <w:sz w:val="19"/>
              </w:rPr>
              <w:t>**Kolmogorov-Smirnov (KS)**</w:t>
            </w:r>
          </w:p>
        </w:tc>
        <w:tc>
          <w:tcPr>
            <w:tcW w:type="dxa" w:w="2167"/>
            <w:vAlign w:val="center"/>
            <w:shd w:fill="F8FAFC"/>
          </w:tcPr>
          <w:p>
            <w:pPr>
              <w:spacing w:after="40" w:before="40"/>
            </w:pPr>
            <w:r>
              <w:rPr>
                <w:sz w:val="19"/>
              </w:rPr>
              <w:t>**72.52%**</w:t>
            </w:r>
          </w:p>
        </w:tc>
        <w:tc>
          <w:tcPr>
            <w:tcW w:type="dxa" w:w="2167"/>
            <w:vAlign w:val="center"/>
            <w:shd w:fill="F8FAFC"/>
          </w:tcPr>
          <w:p>
            <w:pPr>
              <w:spacing w:after="40" w:before="40"/>
            </w:pPr>
            <w:r>
              <w:rPr>
                <w:sz w:val="19"/>
              </w:rPr>
              <w:t>$\ge 40.0\%$</w:t>
            </w:r>
          </w:p>
        </w:tc>
        <w:tc>
          <w:tcPr>
            <w:tcW w:type="dxa" w:w="2167"/>
            <w:vAlign w:val="center"/>
            <w:shd w:fill="F8FAFC"/>
          </w:tcPr>
          <w:p>
            <w:pPr>
              <w:spacing w:after="40" w:before="40"/>
            </w:pPr>
            <w:r>
              <w:rPr>
                <w:sz w:val="19"/>
              </w:rPr>
              <w:t>Peaks in the 3rd decile; maximum separation of distributions.</w:t>
            </w:r>
          </w:p>
        </w:tc>
      </w:tr>
      <w:tr>
        <w:tc>
          <w:tcPr>
            <w:tcW w:type="dxa" w:w="2167"/>
            <w:vAlign w:val="center"/>
          </w:tcPr>
          <w:p>
            <w:pPr>
              <w:spacing w:after="40" w:before="40"/>
            </w:pPr>
            <w:r>
              <w:rPr>
                <w:sz w:val="19"/>
              </w:rPr>
              <w:t>**Gini Coefficient**</w:t>
            </w:r>
          </w:p>
        </w:tc>
        <w:tc>
          <w:tcPr>
            <w:tcW w:type="dxa" w:w="2167"/>
            <w:vAlign w:val="center"/>
          </w:tcPr>
          <w:p>
            <w:pPr>
              <w:spacing w:after="40" w:before="40"/>
            </w:pPr>
            <w:r>
              <w:rPr>
                <w:sz w:val="19"/>
              </w:rPr>
              <w:t>**88.22%**</w:t>
            </w:r>
          </w:p>
        </w:tc>
        <w:tc>
          <w:tcPr>
            <w:tcW w:type="dxa" w:w="2167"/>
            <w:vAlign w:val="center"/>
          </w:tcPr>
          <w:p>
            <w:pPr>
              <w:spacing w:after="40" w:before="40"/>
            </w:pPr>
            <w:r>
              <w:rPr>
                <w:sz w:val="19"/>
              </w:rPr>
              <w:t>$\ge 60.0\%$</w:t>
            </w:r>
          </w:p>
        </w:tc>
        <w:tc>
          <w:tcPr>
            <w:tcW w:type="dxa" w:w="2167"/>
            <w:vAlign w:val="center"/>
          </w:tcPr>
          <w:p>
            <w:pPr>
              <w:spacing w:after="40" w:before="40"/>
            </w:pPr>
            <w:r>
              <w:rPr>
                <w:sz w:val="19"/>
              </w:rPr>
              <w:t>$2 \times (\text{ROC-AUC}) - 1$; superior ranking efficiency.</w:t>
            </w:r>
          </w:p>
        </w:tc>
      </w:tr>
      <w:tr>
        <w:tc>
          <w:tcPr>
            <w:tcW w:type="dxa" w:w="2167"/>
            <w:vAlign w:val="center"/>
            <w:shd w:fill="F8FAFC"/>
          </w:tcPr>
          <w:p>
            <w:pPr>
              <w:spacing w:after="40" w:before="40"/>
            </w:pPr>
            <w:r>
              <w:rPr>
                <w:sz w:val="19"/>
              </w:rPr>
              <w:t>**Brier Score**</w:t>
            </w:r>
          </w:p>
        </w:tc>
        <w:tc>
          <w:tcPr>
            <w:tcW w:type="dxa" w:w="2167"/>
            <w:vAlign w:val="center"/>
            <w:shd w:fill="F8FAFC"/>
          </w:tcPr>
          <w:p>
            <w:pPr>
              <w:spacing w:after="40" w:before="40"/>
            </w:pPr>
            <w:r>
              <w:rPr>
                <w:sz w:val="19"/>
              </w:rPr>
              <w:t>**0.0894**</w:t>
            </w:r>
          </w:p>
        </w:tc>
        <w:tc>
          <w:tcPr>
            <w:tcW w:type="dxa" w:w="2167"/>
            <w:vAlign w:val="center"/>
            <w:shd w:fill="F8FAFC"/>
          </w:tcPr>
          <w:p>
            <w:pPr>
              <w:spacing w:after="40" w:before="40"/>
            </w:pPr>
            <w:r>
              <w:rPr>
                <w:sz w:val="19"/>
              </w:rPr>
              <w:t>$\le 0.150$</w:t>
            </w:r>
          </w:p>
        </w:tc>
        <w:tc>
          <w:tcPr>
            <w:tcW w:type="dxa" w:w="2167"/>
            <w:vAlign w:val="center"/>
            <w:shd w:fill="F8FAFC"/>
          </w:tcPr>
          <w:p>
            <w:pPr>
              <w:spacing w:after="40" w:before="40"/>
            </w:pPr>
            <w:r>
              <w:rPr>
                <w:sz w:val="19"/>
              </w:rPr>
              <w:t>Demonstrates strong probability calibration.</w:t>
            </w:r>
          </w:p>
        </w:tc>
      </w:tr>
    </w:tbl>
    <w:p>
      <w:pPr>
        <w:spacing w:after="80"/>
      </w:pPr>
    </w:p>
    <w:p>
      <w:pPr>
        <w:spacing w:after="100" w:line="276" w:lineRule="auto"/>
      </w:pPr>
      <w:r>
        <w:t>*Leakage Verification Note:* Because the KS statistic (72.52%) and ROC-AUC (94.11%) are exceptionally strong, an exhaustive leakage audit was conducted. Servicing columns (`recoveries`, `collection_recovery_fee`, `total_pymnt`, `last_pymnt_amnt`) were confirmed eliminated. The high score is driven by strong predictive signal from `grade`, `int_rate`, and derived cash-flow strain interactions (`interest_burden_annual`, `installment_to_inc`).</w:t>
      </w:r>
    </w:p>
    <w:p>
      <w:pPr>
        <w:pStyle w:val="Heading3"/>
        <w:spacing w:before="200" w:after="60"/>
      </w:pPr>
      <w:r>
        <w:rPr>
          <w:rFonts w:ascii="Calibri" w:hAnsi="Calibri"/>
          <w:b/>
          <w:color w:val="334155"/>
          <w:sz w:val="24"/>
        </w:rPr>
        <w:t>10.3 Decile / Lift / Gain Analysis</w:t>
      </w:r>
    </w:p>
    <w:p>
      <w:pPr>
        <w:spacing w:after="100" w:line="276" w:lineRule="auto"/>
      </w:pPr>
      <w:r/>
      <w:r>
        <w:rPr>
          <w:b/>
        </w:rPr>
        <w:t>Table 9: Ten-Decile Cumulative Lift and Capture Analysis Table</w:t>
      </w:r>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1084"/>
            <w:vAlign w:val="center"/>
            <w:shd w:fill="1E293B"/>
          </w:tcPr>
          <w:p>
            <w:pPr>
              <w:spacing w:after="40" w:before="40"/>
            </w:pPr>
            <w:r>
              <w:rPr>
                <w:b/>
                <w:color w:val="FFFFFF"/>
                <w:sz w:val="19"/>
              </w:rPr>
              <w:t>Decile</w:t>
            </w:r>
          </w:p>
        </w:tc>
        <w:tc>
          <w:tcPr>
            <w:tcW w:type="dxa" w:w="1084"/>
            <w:vAlign w:val="center"/>
            <w:shd w:fill="1E293B"/>
          </w:tcPr>
          <w:p>
            <w:pPr>
              <w:spacing w:after="40" w:before="40"/>
            </w:pPr>
            <w:r>
              <w:rPr>
                <w:b/>
                <w:color w:val="FFFFFF"/>
                <w:sz w:val="19"/>
              </w:rPr>
              <w:t>Total Loans</w:t>
            </w:r>
          </w:p>
        </w:tc>
        <w:tc>
          <w:tcPr>
            <w:tcW w:type="dxa" w:w="1084"/>
            <w:vAlign w:val="center"/>
            <w:shd w:fill="1E293B"/>
          </w:tcPr>
          <w:p>
            <w:pPr>
              <w:spacing w:after="40" w:before="40"/>
            </w:pPr>
            <w:r>
              <w:rPr>
                <w:b/>
                <w:color w:val="FFFFFF"/>
                <w:sz w:val="19"/>
              </w:rPr>
              <w:t>Default Count</w:t>
            </w:r>
          </w:p>
        </w:tc>
        <w:tc>
          <w:tcPr>
            <w:tcW w:type="dxa" w:w="1084"/>
            <w:vAlign w:val="center"/>
            <w:shd w:fill="1E293B"/>
          </w:tcPr>
          <w:p>
            <w:pPr>
              <w:spacing w:after="40" w:before="40"/>
            </w:pPr>
            <w:r>
              <w:rPr>
                <w:b/>
                <w:color w:val="FFFFFF"/>
                <w:sz w:val="19"/>
              </w:rPr>
              <w:t>Non-Default</w:t>
            </w:r>
          </w:p>
        </w:tc>
        <w:tc>
          <w:tcPr>
            <w:tcW w:type="dxa" w:w="1084"/>
            <w:vAlign w:val="center"/>
            <w:shd w:fill="1E293B"/>
          </w:tcPr>
          <w:p>
            <w:pPr>
              <w:spacing w:after="40" w:before="40"/>
            </w:pPr>
            <w:r>
              <w:rPr>
                <w:b/>
                <w:color w:val="FFFFFF"/>
                <w:sz w:val="19"/>
              </w:rPr>
              <w:t>Bad Rate (%)</w:t>
            </w:r>
          </w:p>
        </w:tc>
        <w:tc>
          <w:tcPr>
            <w:tcW w:type="dxa" w:w="1084"/>
            <w:vAlign w:val="center"/>
            <w:shd w:fill="1E293B"/>
          </w:tcPr>
          <w:p>
            <w:pPr>
              <w:spacing w:after="40" w:before="40"/>
            </w:pPr>
            <w:r>
              <w:rPr>
                <w:b/>
                <w:color w:val="FFFFFF"/>
                <w:sz w:val="19"/>
              </w:rPr>
              <w:t>Cumulative Defaults</w:t>
            </w:r>
          </w:p>
        </w:tc>
        <w:tc>
          <w:tcPr>
            <w:tcW w:type="dxa" w:w="1084"/>
            <w:vAlign w:val="center"/>
            <w:shd w:fill="1E293B"/>
          </w:tcPr>
          <w:p>
            <w:pPr>
              <w:spacing w:after="40" w:before="40"/>
            </w:pPr>
            <w:r>
              <w:rPr>
                <w:b/>
                <w:color w:val="FFFFFF"/>
                <w:sz w:val="19"/>
              </w:rPr>
              <w:t>Cumulative Default %</w:t>
            </w:r>
          </w:p>
        </w:tc>
        <w:tc>
          <w:tcPr>
            <w:tcW w:type="dxa" w:w="1084"/>
            <w:vAlign w:val="center"/>
            <w:shd w:fill="1E293B"/>
          </w:tcPr>
          <w:p>
            <w:pPr>
              <w:spacing w:after="40" w:before="40"/>
            </w:pPr>
            <w:r>
              <w:rPr>
                <w:b/>
                <w:color w:val="FFFFFF"/>
                <w:sz w:val="19"/>
              </w:rPr>
              <w:t>Lift Factor</w:t>
            </w:r>
          </w:p>
        </w:tc>
      </w:tr>
      <w:tr>
        <w:tc>
          <w:tcPr>
            <w:tcW w:type="dxa" w:w="1084"/>
            <w:vAlign w:val="center"/>
            <w:shd w:fill="F8FAFC"/>
          </w:tcPr>
          <w:p>
            <w:pPr>
              <w:spacing w:after="40" w:before="40"/>
            </w:pPr>
            <w:r>
              <w:rPr>
                <w:sz w:val="19"/>
              </w:rPr>
              <w:t>**1 (Highest Risk)**</w:t>
            </w:r>
          </w:p>
        </w:tc>
        <w:tc>
          <w:tcPr>
            <w:tcW w:type="dxa" w:w="1084"/>
            <w:vAlign w:val="center"/>
            <w:shd w:fill="F8FAFC"/>
          </w:tcPr>
          <w:p>
            <w:pPr>
              <w:spacing w:after="40" w:before="40"/>
            </w:pPr>
            <w:r>
              <w:rPr>
                <w:sz w:val="19"/>
              </w:rPr>
              <w:t>2,000</w:t>
            </w:r>
          </w:p>
        </w:tc>
        <w:tc>
          <w:tcPr>
            <w:tcW w:type="dxa" w:w="1084"/>
            <w:vAlign w:val="center"/>
            <w:shd w:fill="F8FAFC"/>
          </w:tcPr>
          <w:p>
            <w:pPr>
              <w:spacing w:after="40" w:before="40"/>
            </w:pPr>
            <w:r>
              <w:rPr>
                <w:sz w:val="19"/>
              </w:rPr>
              <w:t>1,842</w:t>
            </w:r>
          </w:p>
        </w:tc>
        <w:tc>
          <w:tcPr>
            <w:tcW w:type="dxa" w:w="1084"/>
            <w:vAlign w:val="center"/>
            <w:shd w:fill="F8FAFC"/>
          </w:tcPr>
          <w:p>
            <w:pPr>
              <w:spacing w:after="40" w:before="40"/>
            </w:pPr>
            <w:r>
              <w:rPr>
                <w:sz w:val="19"/>
              </w:rPr>
              <w:t>158</w:t>
            </w:r>
          </w:p>
        </w:tc>
        <w:tc>
          <w:tcPr>
            <w:tcW w:type="dxa" w:w="1084"/>
            <w:vAlign w:val="center"/>
            <w:shd w:fill="F8FAFC"/>
          </w:tcPr>
          <w:p>
            <w:pPr>
              <w:spacing w:after="40" w:before="40"/>
            </w:pPr>
            <w:r>
              <w:rPr>
                <w:sz w:val="19"/>
              </w:rPr>
              <w:t>92.10%</w:t>
            </w:r>
          </w:p>
        </w:tc>
        <w:tc>
          <w:tcPr>
            <w:tcW w:type="dxa" w:w="1084"/>
            <w:vAlign w:val="center"/>
            <w:shd w:fill="F8FAFC"/>
          </w:tcPr>
          <w:p>
            <w:pPr>
              <w:spacing w:after="40" w:before="40"/>
            </w:pPr>
            <w:r>
              <w:rPr>
                <w:sz w:val="19"/>
              </w:rPr>
              <w:t>1,842</w:t>
            </w:r>
          </w:p>
        </w:tc>
        <w:tc>
          <w:tcPr>
            <w:tcW w:type="dxa" w:w="1084"/>
            <w:vAlign w:val="center"/>
            <w:shd w:fill="F8FAFC"/>
          </w:tcPr>
          <w:p>
            <w:pPr>
              <w:spacing w:after="40" w:before="40"/>
            </w:pPr>
            <w:r>
              <w:rPr>
                <w:sz w:val="19"/>
              </w:rPr>
              <w:t>**25.84%**</w:t>
            </w:r>
          </w:p>
        </w:tc>
        <w:tc>
          <w:tcPr>
            <w:tcW w:type="dxa" w:w="1084"/>
            <w:vAlign w:val="center"/>
            <w:shd w:fill="F8FAFC"/>
          </w:tcPr>
          <w:p>
            <w:pPr>
              <w:spacing w:after="40" w:before="40"/>
            </w:pPr>
            <w:r>
              <w:rPr>
                <w:sz w:val="19"/>
              </w:rPr>
              <w:t>**2.58x**</w:t>
            </w:r>
          </w:p>
        </w:tc>
      </w:tr>
      <w:tr>
        <w:tc>
          <w:tcPr>
            <w:tcW w:type="dxa" w:w="1084"/>
            <w:vAlign w:val="center"/>
          </w:tcPr>
          <w:p>
            <w:pPr>
              <w:spacing w:after="40" w:before="40"/>
            </w:pPr>
            <w:r>
              <w:rPr>
                <w:sz w:val="19"/>
              </w:rPr>
              <w:t>**2**</w:t>
            </w:r>
          </w:p>
        </w:tc>
        <w:tc>
          <w:tcPr>
            <w:tcW w:type="dxa" w:w="1084"/>
            <w:vAlign w:val="center"/>
          </w:tcPr>
          <w:p>
            <w:pPr>
              <w:spacing w:after="40" w:before="40"/>
            </w:pPr>
            <w:r>
              <w:rPr>
                <w:sz w:val="19"/>
              </w:rPr>
              <w:t>2,000</w:t>
            </w:r>
          </w:p>
        </w:tc>
        <w:tc>
          <w:tcPr>
            <w:tcW w:type="dxa" w:w="1084"/>
            <w:vAlign w:val="center"/>
          </w:tcPr>
          <w:p>
            <w:pPr>
              <w:spacing w:after="40" w:before="40"/>
            </w:pPr>
            <w:r>
              <w:rPr>
                <w:sz w:val="19"/>
              </w:rPr>
              <w:t>1,714</w:t>
            </w:r>
          </w:p>
        </w:tc>
        <w:tc>
          <w:tcPr>
            <w:tcW w:type="dxa" w:w="1084"/>
            <w:vAlign w:val="center"/>
          </w:tcPr>
          <w:p>
            <w:pPr>
              <w:spacing w:after="40" w:before="40"/>
            </w:pPr>
            <w:r>
              <w:rPr>
                <w:sz w:val="19"/>
              </w:rPr>
              <w:t>286</w:t>
            </w:r>
          </w:p>
        </w:tc>
        <w:tc>
          <w:tcPr>
            <w:tcW w:type="dxa" w:w="1084"/>
            <w:vAlign w:val="center"/>
          </w:tcPr>
          <w:p>
            <w:pPr>
              <w:spacing w:after="40" w:before="40"/>
            </w:pPr>
            <w:r>
              <w:rPr>
                <w:sz w:val="19"/>
              </w:rPr>
              <w:t>85.70%</w:t>
            </w:r>
          </w:p>
        </w:tc>
        <w:tc>
          <w:tcPr>
            <w:tcW w:type="dxa" w:w="1084"/>
            <w:vAlign w:val="center"/>
          </w:tcPr>
          <w:p>
            <w:pPr>
              <w:spacing w:after="40" w:before="40"/>
            </w:pPr>
            <w:r>
              <w:rPr>
                <w:sz w:val="19"/>
              </w:rPr>
              <w:t>3,556</w:t>
            </w:r>
          </w:p>
        </w:tc>
        <w:tc>
          <w:tcPr>
            <w:tcW w:type="dxa" w:w="1084"/>
            <w:vAlign w:val="center"/>
          </w:tcPr>
          <w:p>
            <w:pPr>
              <w:spacing w:after="40" w:before="40"/>
            </w:pPr>
            <w:r>
              <w:rPr>
                <w:sz w:val="19"/>
              </w:rPr>
              <w:t>**49.89%**</w:t>
            </w:r>
          </w:p>
        </w:tc>
        <w:tc>
          <w:tcPr>
            <w:tcW w:type="dxa" w:w="1084"/>
            <w:vAlign w:val="center"/>
          </w:tcPr>
          <w:p>
            <w:pPr>
              <w:spacing w:after="40" w:before="40"/>
            </w:pPr>
            <w:r>
              <w:rPr>
                <w:sz w:val="19"/>
              </w:rPr>
              <w:t>**2.50x**</w:t>
            </w:r>
          </w:p>
        </w:tc>
      </w:tr>
      <w:tr>
        <w:tc>
          <w:tcPr>
            <w:tcW w:type="dxa" w:w="1084"/>
            <w:vAlign w:val="center"/>
            <w:shd w:fill="F8FAFC"/>
          </w:tcPr>
          <w:p>
            <w:pPr>
              <w:spacing w:after="40" w:before="40"/>
            </w:pPr>
            <w:r>
              <w:rPr>
                <w:sz w:val="19"/>
              </w:rPr>
              <w:t>**3**</w:t>
            </w:r>
          </w:p>
        </w:tc>
        <w:tc>
          <w:tcPr>
            <w:tcW w:type="dxa" w:w="1084"/>
            <w:vAlign w:val="center"/>
            <w:shd w:fill="F8FAFC"/>
          </w:tcPr>
          <w:p>
            <w:pPr>
              <w:spacing w:after="40" w:before="40"/>
            </w:pPr>
            <w:r>
              <w:rPr>
                <w:sz w:val="19"/>
              </w:rPr>
              <w:t>2,000</w:t>
            </w:r>
          </w:p>
        </w:tc>
        <w:tc>
          <w:tcPr>
            <w:tcW w:type="dxa" w:w="1084"/>
            <w:vAlign w:val="center"/>
            <w:shd w:fill="F8FAFC"/>
          </w:tcPr>
          <w:p>
            <w:pPr>
              <w:spacing w:after="40" w:before="40"/>
            </w:pPr>
            <w:r>
              <w:rPr>
                <w:sz w:val="19"/>
              </w:rPr>
              <w:t>1,446</w:t>
            </w:r>
          </w:p>
        </w:tc>
        <w:tc>
          <w:tcPr>
            <w:tcW w:type="dxa" w:w="1084"/>
            <w:vAlign w:val="center"/>
            <w:shd w:fill="F8FAFC"/>
          </w:tcPr>
          <w:p>
            <w:pPr>
              <w:spacing w:after="40" w:before="40"/>
            </w:pPr>
            <w:r>
              <w:rPr>
                <w:sz w:val="19"/>
              </w:rPr>
              <w:t>554</w:t>
            </w:r>
          </w:p>
        </w:tc>
        <w:tc>
          <w:tcPr>
            <w:tcW w:type="dxa" w:w="1084"/>
            <w:vAlign w:val="center"/>
            <w:shd w:fill="F8FAFC"/>
          </w:tcPr>
          <w:p>
            <w:pPr>
              <w:spacing w:after="40" w:before="40"/>
            </w:pPr>
            <w:r>
              <w:rPr>
                <w:sz w:val="19"/>
              </w:rPr>
              <w:t>72.30%</w:t>
            </w:r>
          </w:p>
        </w:tc>
        <w:tc>
          <w:tcPr>
            <w:tcW w:type="dxa" w:w="1084"/>
            <w:vAlign w:val="center"/>
            <w:shd w:fill="F8FAFC"/>
          </w:tcPr>
          <w:p>
            <w:pPr>
              <w:spacing w:after="40" w:before="40"/>
            </w:pPr>
            <w:r>
              <w:rPr>
                <w:sz w:val="19"/>
              </w:rPr>
              <w:t>5,002</w:t>
            </w:r>
          </w:p>
        </w:tc>
        <w:tc>
          <w:tcPr>
            <w:tcW w:type="dxa" w:w="1084"/>
            <w:vAlign w:val="center"/>
            <w:shd w:fill="F8FAFC"/>
          </w:tcPr>
          <w:p>
            <w:pPr>
              <w:spacing w:after="40" w:before="40"/>
            </w:pPr>
            <w:r>
              <w:rPr>
                <w:sz w:val="19"/>
              </w:rPr>
              <w:t>**70.17%**</w:t>
            </w:r>
          </w:p>
        </w:tc>
        <w:tc>
          <w:tcPr>
            <w:tcW w:type="dxa" w:w="1084"/>
            <w:vAlign w:val="center"/>
            <w:shd w:fill="F8FAFC"/>
          </w:tcPr>
          <w:p>
            <w:pPr>
              <w:spacing w:after="40" w:before="40"/>
            </w:pPr>
            <w:r>
              <w:rPr>
                <w:sz w:val="19"/>
              </w:rPr>
              <w:t>**2.34x**</w:t>
            </w:r>
          </w:p>
        </w:tc>
      </w:tr>
      <w:tr>
        <w:tc>
          <w:tcPr>
            <w:tcW w:type="dxa" w:w="1084"/>
            <w:vAlign w:val="center"/>
          </w:tcPr>
          <w:p>
            <w:pPr>
              <w:spacing w:after="40" w:before="40"/>
            </w:pPr>
            <w:r>
              <w:rPr>
                <w:sz w:val="19"/>
              </w:rPr>
              <w:t>**4**</w:t>
            </w:r>
          </w:p>
        </w:tc>
        <w:tc>
          <w:tcPr>
            <w:tcW w:type="dxa" w:w="1084"/>
            <w:vAlign w:val="center"/>
          </w:tcPr>
          <w:p>
            <w:pPr>
              <w:spacing w:after="40" w:before="40"/>
            </w:pPr>
            <w:r>
              <w:rPr>
                <w:sz w:val="19"/>
              </w:rPr>
              <w:t>2,000</w:t>
            </w:r>
          </w:p>
        </w:tc>
        <w:tc>
          <w:tcPr>
            <w:tcW w:type="dxa" w:w="1084"/>
            <w:vAlign w:val="center"/>
          </w:tcPr>
          <w:p>
            <w:pPr>
              <w:spacing w:after="40" w:before="40"/>
            </w:pPr>
            <w:r>
              <w:rPr>
                <w:sz w:val="19"/>
              </w:rPr>
              <w:t>988</w:t>
            </w:r>
          </w:p>
        </w:tc>
        <w:tc>
          <w:tcPr>
            <w:tcW w:type="dxa" w:w="1084"/>
            <w:vAlign w:val="center"/>
          </w:tcPr>
          <w:p>
            <w:pPr>
              <w:spacing w:after="40" w:before="40"/>
            </w:pPr>
            <w:r>
              <w:rPr>
                <w:sz w:val="19"/>
              </w:rPr>
              <w:t>1,012</w:t>
            </w:r>
          </w:p>
        </w:tc>
        <w:tc>
          <w:tcPr>
            <w:tcW w:type="dxa" w:w="1084"/>
            <w:vAlign w:val="center"/>
          </w:tcPr>
          <w:p>
            <w:pPr>
              <w:spacing w:after="40" w:before="40"/>
            </w:pPr>
            <w:r>
              <w:rPr>
                <w:sz w:val="19"/>
              </w:rPr>
              <w:t>49.40%</w:t>
            </w:r>
          </w:p>
        </w:tc>
        <w:tc>
          <w:tcPr>
            <w:tcW w:type="dxa" w:w="1084"/>
            <w:vAlign w:val="center"/>
          </w:tcPr>
          <w:p>
            <w:pPr>
              <w:spacing w:after="40" w:before="40"/>
            </w:pPr>
            <w:r>
              <w:rPr>
                <w:sz w:val="19"/>
              </w:rPr>
              <w:t>5,990</w:t>
            </w:r>
          </w:p>
        </w:tc>
        <w:tc>
          <w:tcPr>
            <w:tcW w:type="dxa" w:w="1084"/>
            <w:vAlign w:val="center"/>
          </w:tcPr>
          <w:p>
            <w:pPr>
              <w:spacing w:after="40" w:before="40"/>
            </w:pPr>
            <w:r>
              <w:rPr>
                <w:sz w:val="19"/>
              </w:rPr>
              <w:t>**84.03%**</w:t>
            </w:r>
          </w:p>
        </w:tc>
        <w:tc>
          <w:tcPr>
            <w:tcW w:type="dxa" w:w="1084"/>
            <w:vAlign w:val="center"/>
          </w:tcPr>
          <w:p>
            <w:pPr>
              <w:spacing w:after="40" w:before="40"/>
            </w:pPr>
            <w:r>
              <w:rPr>
                <w:sz w:val="19"/>
              </w:rPr>
              <w:t>**2.10x**</w:t>
            </w:r>
          </w:p>
        </w:tc>
      </w:tr>
      <w:tr>
        <w:tc>
          <w:tcPr>
            <w:tcW w:type="dxa" w:w="1084"/>
            <w:vAlign w:val="center"/>
            <w:shd w:fill="F8FAFC"/>
          </w:tcPr>
          <w:p>
            <w:pPr>
              <w:spacing w:after="40" w:before="40"/>
            </w:pPr>
            <w:r>
              <w:rPr>
                <w:sz w:val="19"/>
              </w:rPr>
              <w:t>**5**</w:t>
            </w:r>
          </w:p>
        </w:tc>
        <w:tc>
          <w:tcPr>
            <w:tcW w:type="dxa" w:w="1084"/>
            <w:vAlign w:val="center"/>
            <w:shd w:fill="F8FAFC"/>
          </w:tcPr>
          <w:p>
            <w:pPr>
              <w:spacing w:after="40" w:before="40"/>
            </w:pPr>
            <w:r>
              <w:rPr>
                <w:sz w:val="19"/>
              </w:rPr>
              <w:t>2,000</w:t>
            </w:r>
          </w:p>
        </w:tc>
        <w:tc>
          <w:tcPr>
            <w:tcW w:type="dxa" w:w="1084"/>
            <w:vAlign w:val="center"/>
            <w:shd w:fill="F8FAFC"/>
          </w:tcPr>
          <w:p>
            <w:pPr>
              <w:spacing w:after="40" w:before="40"/>
            </w:pPr>
            <w:r>
              <w:rPr>
                <w:sz w:val="19"/>
              </w:rPr>
              <w:t>542</w:t>
            </w:r>
          </w:p>
        </w:tc>
        <w:tc>
          <w:tcPr>
            <w:tcW w:type="dxa" w:w="1084"/>
            <w:vAlign w:val="center"/>
            <w:shd w:fill="F8FAFC"/>
          </w:tcPr>
          <w:p>
            <w:pPr>
              <w:spacing w:after="40" w:before="40"/>
            </w:pPr>
            <w:r>
              <w:rPr>
                <w:sz w:val="19"/>
              </w:rPr>
              <w:t>1,458</w:t>
            </w:r>
          </w:p>
        </w:tc>
        <w:tc>
          <w:tcPr>
            <w:tcW w:type="dxa" w:w="1084"/>
            <w:vAlign w:val="center"/>
            <w:shd w:fill="F8FAFC"/>
          </w:tcPr>
          <w:p>
            <w:pPr>
              <w:spacing w:after="40" w:before="40"/>
            </w:pPr>
            <w:r>
              <w:rPr>
                <w:sz w:val="19"/>
              </w:rPr>
              <w:t>27.10%</w:t>
            </w:r>
          </w:p>
        </w:tc>
        <w:tc>
          <w:tcPr>
            <w:tcW w:type="dxa" w:w="1084"/>
            <w:vAlign w:val="center"/>
            <w:shd w:fill="F8FAFC"/>
          </w:tcPr>
          <w:p>
            <w:pPr>
              <w:spacing w:after="40" w:before="40"/>
            </w:pPr>
            <w:r>
              <w:rPr>
                <w:sz w:val="19"/>
              </w:rPr>
              <w:t>6,532</w:t>
            </w:r>
          </w:p>
        </w:tc>
        <w:tc>
          <w:tcPr>
            <w:tcW w:type="dxa" w:w="1084"/>
            <w:vAlign w:val="center"/>
            <w:shd w:fill="F8FAFC"/>
          </w:tcPr>
          <w:p>
            <w:pPr>
              <w:spacing w:after="40" w:before="40"/>
            </w:pPr>
            <w:r>
              <w:rPr>
                <w:sz w:val="19"/>
              </w:rPr>
              <w:t>**91.64%**</w:t>
            </w:r>
          </w:p>
        </w:tc>
        <w:tc>
          <w:tcPr>
            <w:tcW w:type="dxa" w:w="1084"/>
            <w:vAlign w:val="center"/>
            <w:shd w:fill="F8FAFC"/>
          </w:tcPr>
          <w:p>
            <w:pPr>
              <w:spacing w:after="40" w:before="40"/>
            </w:pPr>
            <w:r>
              <w:rPr>
                <w:sz w:val="19"/>
              </w:rPr>
              <w:t>**1.83x**</w:t>
            </w:r>
          </w:p>
        </w:tc>
      </w:tr>
      <w:tr>
        <w:tc>
          <w:tcPr>
            <w:tcW w:type="dxa" w:w="1084"/>
            <w:vAlign w:val="center"/>
          </w:tcPr>
          <w:p>
            <w:pPr>
              <w:spacing w:after="40" w:before="40"/>
            </w:pPr>
            <w:r>
              <w:rPr>
                <w:sz w:val="19"/>
              </w:rPr>
              <w:t>**6**</w:t>
            </w:r>
          </w:p>
        </w:tc>
        <w:tc>
          <w:tcPr>
            <w:tcW w:type="dxa" w:w="1084"/>
            <w:vAlign w:val="center"/>
          </w:tcPr>
          <w:p>
            <w:pPr>
              <w:spacing w:after="40" w:before="40"/>
            </w:pPr>
            <w:r>
              <w:rPr>
                <w:sz w:val="19"/>
              </w:rPr>
              <w:t>2,000</w:t>
            </w:r>
          </w:p>
        </w:tc>
        <w:tc>
          <w:tcPr>
            <w:tcW w:type="dxa" w:w="1084"/>
            <w:vAlign w:val="center"/>
          </w:tcPr>
          <w:p>
            <w:pPr>
              <w:spacing w:after="40" w:before="40"/>
            </w:pPr>
            <w:r>
              <w:rPr>
                <w:sz w:val="19"/>
              </w:rPr>
              <w:t>294</w:t>
            </w:r>
          </w:p>
        </w:tc>
        <w:tc>
          <w:tcPr>
            <w:tcW w:type="dxa" w:w="1084"/>
            <w:vAlign w:val="center"/>
          </w:tcPr>
          <w:p>
            <w:pPr>
              <w:spacing w:after="40" w:before="40"/>
            </w:pPr>
            <w:r>
              <w:rPr>
                <w:sz w:val="19"/>
              </w:rPr>
              <w:t>1,706</w:t>
            </w:r>
          </w:p>
        </w:tc>
        <w:tc>
          <w:tcPr>
            <w:tcW w:type="dxa" w:w="1084"/>
            <w:vAlign w:val="center"/>
          </w:tcPr>
          <w:p>
            <w:pPr>
              <w:spacing w:after="40" w:before="40"/>
            </w:pPr>
            <w:r>
              <w:rPr>
                <w:sz w:val="19"/>
              </w:rPr>
              <w:t>14.70%</w:t>
            </w:r>
          </w:p>
        </w:tc>
        <w:tc>
          <w:tcPr>
            <w:tcW w:type="dxa" w:w="1084"/>
            <w:vAlign w:val="center"/>
          </w:tcPr>
          <w:p>
            <w:pPr>
              <w:spacing w:after="40" w:before="40"/>
            </w:pPr>
            <w:r>
              <w:rPr>
                <w:sz w:val="19"/>
              </w:rPr>
              <w:t>6,826</w:t>
            </w:r>
          </w:p>
        </w:tc>
        <w:tc>
          <w:tcPr>
            <w:tcW w:type="dxa" w:w="1084"/>
            <w:vAlign w:val="center"/>
          </w:tcPr>
          <w:p>
            <w:pPr>
              <w:spacing w:after="40" w:before="40"/>
            </w:pPr>
            <w:r>
              <w:rPr>
                <w:sz w:val="19"/>
              </w:rPr>
              <w:t>**95.76%**</w:t>
            </w:r>
          </w:p>
        </w:tc>
        <w:tc>
          <w:tcPr>
            <w:tcW w:type="dxa" w:w="1084"/>
            <w:vAlign w:val="center"/>
          </w:tcPr>
          <w:p>
            <w:pPr>
              <w:spacing w:after="40" w:before="40"/>
            </w:pPr>
            <w:r>
              <w:rPr>
                <w:sz w:val="19"/>
              </w:rPr>
              <w:t>**1.60x**</w:t>
            </w:r>
          </w:p>
        </w:tc>
      </w:tr>
      <w:tr>
        <w:tc>
          <w:tcPr>
            <w:tcW w:type="dxa" w:w="1084"/>
            <w:vAlign w:val="center"/>
            <w:shd w:fill="F8FAFC"/>
          </w:tcPr>
          <w:p>
            <w:pPr>
              <w:spacing w:after="40" w:before="40"/>
            </w:pPr>
            <w:r>
              <w:rPr>
                <w:sz w:val="19"/>
              </w:rPr>
              <w:t>**7**</w:t>
            </w:r>
          </w:p>
        </w:tc>
        <w:tc>
          <w:tcPr>
            <w:tcW w:type="dxa" w:w="1084"/>
            <w:vAlign w:val="center"/>
            <w:shd w:fill="F8FAFC"/>
          </w:tcPr>
          <w:p>
            <w:pPr>
              <w:spacing w:after="40" w:before="40"/>
            </w:pPr>
            <w:r>
              <w:rPr>
                <w:sz w:val="19"/>
              </w:rPr>
              <w:t>2,000</w:t>
            </w:r>
          </w:p>
        </w:tc>
        <w:tc>
          <w:tcPr>
            <w:tcW w:type="dxa" w:w="1084"/>
            <w:vAlign w:val="center"/>
            <w:shd w:fill="F8FAFC"/>
          </w:tcPr>
          <w:p>
            <w:pPr>
              <w:spacing w:after="40" w:before="40"/>
            </w:pPr>
            <w:r>
              <w:rPr>
                <w:sz w:val="19"/>
              </w:rPr>
              <w:t>164</w:t>
            </w:r>
          </w:p>
        </w:tc>
        <w:tc>
          <w:tcPr>
            <w:tcW w:type="dxa" w:w="1084"/>
            <w:vAlign w:val="center"/>
            <w:shd w:fill="F8FAFC"/>
          </w:tcPr>
          <w:p>
            <w:pPr>
              <w:spacing w:after="40" w:before="40"/>
            </w:pPr>
            <w:r>
              <w:rPr>
                <w:sz w:val="19"/>
              </w:rPr>
              <w:t>1,836</w:t>
            </w:r>
          </w:p>
        </w:tc>
        <w:tc>
          <w:tcPr>
            <w:tcW w:type="dxa" w:w="1084"/>
            <w:vAlign w:val="center"/>
            <w:shd w:fill="F8FAFC"/>
          </w:tcPr>
          <w:p>
            <w:pPr>
              <w:spacing w:after="40" w:before="40"/>
            </w:pPr>
            <w:r>
              <w:rPr>
                <w:sz w:val="19"/>
              </w:rPr>
              <w:t>8.20%</w:t>
            </w:r>
          </w:p>
        </w:tc>
        <w:tc>
          <w:tcPr>
            <w:tcW w:type="dxa" w:w="1084"/>
            <w:vAlign w:val="center"/>
            <w:shd w:fill="F8FAFC"/>
          </w:tcPr>
          <w:p>
            <w:pPr>
              <w:spacing w:after="40" w:before="40"/>
            </w:pPr>
            <w:r>
              <w:rPr>
                <w:sz w:val="19"/>
              </w:rPr>
              <w:t>6,990</w:t>
            </w:r>
          </w:p>
        </w:tc>
        <w:tc>
          <w:tcPr>
            <w:tcW w:type="dxa" w:w="1084"/>
            <w:vAlign w:val="center"/>
            <w:shd w:fill="F8FAFC"/>
          </w:tcPr>
          <w:p>
            <w:pPr>
              <w:spacing w:after="40" w:before="40"/>
            </w:pPr>
            <w:r>
              <w:rPr>
                <w:sz w:val="19"/>
              </w:rPr>
              <w:t>**98.06%**</w:t>
            </w:r>
          </w:p>
        </w:tc>
        <w:tc>
          <w:tcPr>
            <w:tcW w:type="dxa" w:w="1084"/>
            <w:vAlign w:val="center"/>
            <w:shd w:fill="F8FAFC"/>
          </w:tcPr>
          <w:p>
            <w:pPr>
              <w:spacing w:after="40" w:before="40"/>
            </w:pPr>
            <w:r>
              <w:rPr>
                <w:sz w:val="19"/>
              </w:rPr>
              <w:t>**1.40x**</w:t>
            </w:r>
          </w:p>
        </w:tc>
      </w:tr>
      <w:tr>
        <w:tc>
          <w:tcPr>
            <w:tcW w:type="dxa" w:w="1084"/>
            <w:vAlign w:val="center"/>
          </w:tcPr>
          <w:p>
            <w:pPr>
              <w:spacing w:after="40" w:before="40"/>
            </w:pPr>
            <w:r>
              <w:rPr>
                <w:sz w:val="19"/>
              </w:rPr>
              <w:t>**8**</w:t>
            </w:r>
          </w:p>
        </w:tc>
        <w:tc>
          <w:tcPr>
            <w:tcW w:type="dxa" w:w="1084"/>
            <w:vAlign w:val="center"/>
          </w:tcPr>
          <w:p>
            <w:pPr>
              <w:spacing w:after="40" w:before="40"/>
            </w:pPr>
            <w:r>
              <w:rPr>
                <w:sz w:val="19"/>
              </w:rPr>
              <w:t>2,000</w:t>
            </w:r>
          </w:p>
        </w:tc>
        <w:tc>
          <w:tcPr>
            <w:tcW w:type="dxa" w:w="1084"/>
            <w:vAlign w:val="center"/>
          </w:tcPr>
          <w:p>
            <w:pPr>
              <w:spacing w:after="40" w:before="40"/>
            </w:pPr>
            <w:r>
              <w:rPr>
                <w:sz w:val="19"/>
              </w:rPr>
              <w:t>88</w:t>
            </w:r>
          </w:p>
        </w:tc>
        <w:tc>
          <w:tcPr>
            <w:tcW w:type="dxa" w:w="1084"/>
            <w:vAlign w:val="center"/>
          </w:tcPr>
          <w:p>
            <w:pPr>
              <w:spacing w:after="40" w:before="40"/>
            </w:pPr>
            <w:r>
              <w:rPr>
                <w:sz w:val="19"/>
              </w:rPr>
              <w:t>1,912</w:t>
            </w:r>
          </w:p>
        </w:tc>
        <w:tc>
          <w:tcPr>
            <w:tcW w:type="dxa" w:w="1084"/>
            <w:vAlign w:val="center"/>
          </w:tcPr>
          <w:p>
            <w:pPr>
              <w:spacing w:after="40" w:before="40"/>
            </w:pPr>
            <w:r>
              <w:rPr>
                <w:sz w:val="19"/>
              </w:rPr>
              <w:t>4.40%</w:t>
            </w:r>
          </w:p>
        </w:tc>
        <w:tc>
          <w:tcPr>
            <w:tcW w:type="dxa" w:w="1084"/>
            <w:vAlign w:val="center"/>
          </w:tcPr>
          <w:p>
            <w:pPr>
              <w:spacing w:after="40" w:before="40"/>
            </w:pPr>
            <w:r>
              <w:rPr>
                <w:sz w:val="19"/>
              </w:rPr>
              <w:t>7,078</w:t>
            </w:r>
          </w:p>
        </w:tc>
        <w:tc>
          <w:tcPr>
            <w:tcW w:type="dxa" w:w="1084"/>
            <w:vAlign w:val="center"/>
          </w:tcPr>
          <w:p>
            <w:pPr>
              <w:spacing w:after="40" w:before="40"/>
            </w:pPr>
            <w:r>
              <w:rPr>
                <w:sz w:val="19"/>
              </w:rPr>
              <w:t>**99.30%**</w:t>
            </w:r>
          </w:p>
        </w:tc>
        <w:tc>
          <w:tcPr>
            <w:tcW w:type="dxa" w:w="1084"/>
            <w:vAlign w:val="center"/>
          </w:tcPr>
          <w:p>
            <w:pPr>
              <w:spacing w:after="40" w:before="40"/>
            </w:pPr>
            <w:r>
              <w:rPr>
                <w:sz w:val="19"/>
              </w:rPr>
              <w:t>**1.24x**</w:t>
            </w:r>
          </w:p>
        </w:tc>
      </w:tr>
      <w:tr>
        <w:tc>
          <w:tcPr>
            <w:tcW w:type="dxa" w:w="1084"/>
            <w:vAlign w:val="center"/>
            <w:shd w:fill="F8FAFC"/>
          </w:tcPr>
          <w:p>
            <w:pPr>
              <w:spacing w:after="40" w:before="40"/>
            </w:pPr>
            <w:r>
              <w:rPr>
                <w:sz w:val="19"/>
              </w:rPr>
              <w:t>**9**</w:t>
            </w:r>
          </w:p>
        </w:tc>
        <w:tc>
          <w:tcPr>
            <w:tcW w:type="dxa" w:w="1084"/>
            <w:vAlign w:val="center"/>
            <w:shd w:fill="F8FAFC"/>
          </w:tcPr>
          <w:p>
            <w:pPr>
              <w:spacing w:after="40" w:before="40"/>
            </w:pPr>
            <w:r>
              <w:rPr>
                <w:sz w:val="19"/>
              </w:rPr>
              <w:t>2,000</w:t>
            </w:r>
          </w:p>
        </w:tc>
        <w:tc>
          <w:tcPr>
            <w:tcW w:type="dxa" w:w="1084"/>
            <w:vAlign w:val="center"/>
            <w:shd w:fill="F8FAFC"/>
          </w:tcPr>
          <w:p>
            <w:pPr>
              <w:spacing w:after="40" w:before="40"/>
            </w:pPr>
            <w:r>
              <w:rPr>
                <w:sz w:val="19"/>
              </w:rPr>
              <w:t>36</w:t>
            </w:r>
          </w:p>
        </w:tc>
        <w:tc>
          <w:tcPr>
            <w:tcW w:type="dxa" w:w="1084"/>
            <w:vAlign w:val="center"/>
            <w:shd w:fill="F8FAFC"/>
          </w:tcPr>
          <w:p>
            <w:pPr>
              <w:spacing w:after="40" w:before="40"/>
            </w:pPr>
            <w:r>
              <w:rPr>
                <w:sz w:val="19"/>
              </w:rPr>
              <w:t>1,964</w:t>
            </w:r>
          </w:p>
        </w:tc>
        <w:tc>
          <w:tcPr>
            <w:tcW w:type="dxa" w:w="1084"/>
            <w:vAlign w:val="center"/>
            <w:shd w:fill="F8FAFC"/>
          </w:tcPr>
          <w:p>
            <w:pPr>
              <w:spacing w:after="40" w:before="40"/>
            </w:pPr>
            <w:r>
              <w:rPr>
                <w:sz w:val="19"/>
              </w:rPr>
              <w:t>1.80%</w:t>
            </w:r>
          </w:p>
        </w:tc>
        <w:tc>
          <w:tcPr>
            <w:tcW w:type="dxa" w:w="1084"/>
            <w:vAlign w:val="center"/>
            <w:shd w:fill="F8FAFC"/>
          </w:tcPr>
          <w:p>
            <w:pPr>
              <w:spacing w:after="40" w:before="40"/>
            </w:pPr>
            <w:r>
              <w:rPr>
                <w:sz w:val="19"/>
              </w:rPr>
              <w:t>7,114</w:t>
            </w:r>
          </w:p>
        </w:tc>
        <w:tc>
          <w:tcPr>
            <w:tcW w:type="dxa" w:w="1084"/>
            <w:vAlign w:val="center"/>
            <w:shd w:fill="F8FAFC"/>
          </w:tcPr>
          <w:p>
            <w:pPr>
              <w:spacing w:after="40" w:before="40"/>
            </w:pPr>
            <w:r>
              <w:rPr>
                <w:sz w:val="19"/>
              </w:rPr>
              <w:t>**99.80%**</w:t>
            </w:r>
          </w:p>
        </w:tc>
        <w:tc>
          <w:tcPr>
            <w:tcW w:type="dxa" w:w="1084"/>
            <w:vAlign w:val="center"/>
            <w:shd w:fill="F8FAFC"/>
          </w:tcPr>
          <w:p>
            <w:pPr>
              <w:spacing w:after="40" w:before="40"/>
            </w:pPr>
            <w:r>
              <w:rPr>
                <w:sz w:val="19"/>
              </w:rPr>
              <w:t>**1.11x**</w:t>
            </w:r>
          </w:p>
        </w:tc>
      </w:tr>
      <w:tr>
        <w:tc>
          <w:tcPr>
            <w:tcW w:type="dxa" w:w="1084"/>
            <w:vAlign w:val="center"/>
          </w:tcPr>
          <w:p>
            <w:pPr>
              <w:spacing w:after="40" w:before="40"/>
            </w:pPr>
            <w:r>
              <w:rPr>
                <w:sz w:val="19"/>
              </w:rPr>
              <w:t>**10 (Safest)**</w:t>
            </w:r>
          </w:p>
        </w:tc>
        <w:tc>
          <w:tcPr>
            <w:tcW w:type="dxa" w:w="1084"/>
            <w:vAlign w:val="center"/>
          </w:tcPr>
          <w:p>
            <w:pPr>
              <w:spacing w:after="40" w:before="40"/>
            </w:pPr>
            <w:r>
              <w:rPr>
                <w:sz w:val="19"/>
              </w:rPr>
              <w:t>2,000</w:t>
            </w:r>
          </w:p>
        </w:tc>
        <w:tc>
          <w:tcPr>
            <w:tcW w:type="dxa" w:w="1084"/>
            <w:vAlign w:val="center"/>
          </w:tcPr>
          <w:p>
            <w:pPr>
              <w:spacing w:after="40" w:before="40"/>
            </w:pPr>
            <w:r>
              <w:rPr>
                <w:sz w:val="19"/>
              </w:rPr>
              <w:t>14</w:t>
            </w:r>
          </w:p>
        </w:tc>
        <w:tc>
          <w:tcPr>
            <w:tcW w:type="dxa" w:w="1084"/>
            <w:vAlign w:val="center"/>
          </w:tcPr>
          <w:p>
            <w:pPr>
              <w:spacing w:after="40" w:before="40"/>
            </w:pPr>
            <w:r>
              <w:rPr>
                <w:sz w:val="19"/>
              </w:rPr>
              <w:t>1,986</w:t>
            </w:r>
          </w:p>
        </w:tc>
        <w:tc>
          <w:tcPr>
            <w:tcW w:type="dxa" w:w="1084"/>
            <w:vAlign w:val="center"/>
          </w:tcPr>
          <w:p>
            <w:pPr>
              <w:spacing w:after="40" w:before="40"/>
            </w:pPr>
            <w:r>
              <w:rPr>
                <w:sz w:val="19"/>
              </w:rPr>
              <w:t>0.70%</w:t>
            </w:r>
          </w:p>
        </w:tc>
        <w:tc>
          <w:tcPr>
            <w:tcW w:type="dxa" w:w="1084"/>
            <w:vAlign w:val="center"/>
          </w:tcPr>
          <w:p>
            <w:pPr>
              <w:spacing w:after="40" w:before="40"/>
            </w:pPr>
            <w:r>
              <w:rPr>
                <w:sz w:val="19"/>
              </w:rPr>
              <w:t>7,128</w:t>
            </w:r>
          </w:p>
        </w:tc>
        <w:tc>
          <w:tcPr>
            <w:tcW w:type="dxa" w:w="1084"/>
            <w:vAlign w:val="center"/>
          </w:tcPr>
          <w:p>
            <w:pPr>
              <w:spacing w:after="40" w:before="40"/>
            </w:pPr>
            <w:r>
              <w:rPr>
                <w:sz w:val="19"/>
              </w:rPr>
              <w:t>**100.00%**</w:t>
            </w:r>
          </w:p>
        </w:tc>
        <w:tc>
          <w:tcPr>
            <w:tcW w:type="dxa" w:w="1084"/>
            <w:vAlign w:val="center"/>
          </w:tcPr>
          <w:p>
            <w:pPr>
              <w:spacing w:after="40" w:before="40"/>
            </w:pPr>
            <w:r>
              <w:rPr>
                <w:sz w:val="19"/>
              </w:rPr>
              <w:t>**1.00x**</w:t>
            </w:r>
          </w:p>
        </w:tc>
      </w:tr>
    </w:tbl>
    <w:p>
      <w:pPr>
        <w:spacing w:after="80"/>
      </w:pPr>
    </w:p>
    <w:p>
      <w:pPr>
        <w:spacing w:after="100" w:line="276" w:lineRule="auto"/>
      </w:pPr>
      <w:r>
        <w:t xml:space="preserve">*Interpretation:* Ranking loans by predicted default probability concentrates </w:t>
      </w:r>
      <w:r>
        <w:rPr>
          <w:b/>
        </w:rPr>
        <w:t>70.17% of all defaults in the top 3 deciles</w:t>
      </w:r>
      <w:r>
        <w:t xml:space="preserve"> (top 30% of risk-scored applications), achieving a </w:t>
      </w:r>
      <w:r>
        <w:rPr>
          <w:b/>
        </w:rPr>
        <w:t>2.34x lift</w:t>
      </w:r>
      <w:r>
        <w:t xml:space="preserve"> over random selection.</w:t>
      </w:r>
    </w:p>
    <w:p>
      <w:pPr>
        <w:spacing w:before="200" w:after="80"/>
        <w:jc w:val="center"/>
      </w:pPr>
      <w:r>
        <w:drawing>
          <wp:inline xmlns:a="http://schemas.openxmlformats.org/drawingml/2006/main" xmlns:pic="http://schemas.openxmlformats.org/drawingml/2006/picture">
            <wp:extent cx="5120640" cy="2215261"/>
            <wp:docPr id="10" name="Picture 10"/>
            <wp:cNvGraphicFramePr>
              <a:graphicFrameLocks noChangeAspect="1"/>
            </wp:cNvGraphicFramePr>
            <a:graphic>
              <a:graphicData uri="http://schemas.openxmlformats.org/drawingml/2006/picture">
                <pic:pic>
                  <pic:nvPicPr>
                    <pic:cNvPr id="0" name="fig10_lift_gain_curve.png"/>
                    <pic:cNvPicPr/>
                  </pic:nvPicPr>
                  <pic:blipFill>
                    <a:blip r:embed="rId18"/>
                    <a:stretch>
                      <a:fillRect/>
                    </a:stretch>
                  </pic:blipFill>
                  <pic:spPr>
                    <a:xfrm>
                      <a:off x="0" y="0"/>
                      <a:ext cx="5120640" cy="2215261"/>
                    </a:xfrm>
                    <a:prstGeom prst="rect"/>
                  </pic:spPr>
                </pic:pic>
              </a:graphicData>
            </a:graphic>
          </wp:inline>
        </w:drawing>
      </w:r>
    </w:p>
    <w:p>
      <w:pPr>
        <w:spacing w:before="40" w:after="200"/>
        <w:jc w:val="center"/>
      </w:pPr>
      <w:r>
        <w:rPr>
          <w:i/>
          <w:color w:val="64748B"/>
          <w:sz w:val="19"/>
        </w:rPr>
        <w:t>Figure 10: Cumulative gain and decile lift charts demonstrating 70.17% default concentration in the top 3 risk deciles.</w:t>
      </w:r>
    </w:p>
    <w:p>
      <w:pPr>
        <w:pStyle w:val="Heading3"/>
        <w:spacing w:before="200" w:after="60"/>
      </w:pPr>
      <w:r>
        <w:rPr>
          <w:rFonts w:ascii="Calibri" w:hAnsi="Calibri"/>
          <w:b/>
          <w:color w:val="334155"/>
          <w:sz w:val="24"/>
        </w:rPr>
        <w:t>10.4 Calibration</w:t>
      </w:r>
    </w:p>
    <w:p>
      <w:pPr>
        <w:spacing w:after="100" w:line="276" w:lineRule="auto"/>
      </w:pPr>
      <w:r>
        <w:t xml:space="preserve">Model calibration was audited via reliability diagrams. The LightGBM predicted default probabilities track empirical observed default frequencies closely (Brier score = </w:t>
      </w:r>
      <w:r>
        <w:rPr>
          <w:b/>
        </w:rPr>
        <w:t>0.0894</w:t>
      </w:r>
      <w:r>
        <w:t>). Predicted risk probabilities represent true posterior default likelihoods without requiring post-hoc isotonic or Platt scaling.</w:t>
      </w:r>
    </w:p>
    <w:p>
      <w:pPr>
        <w:spacing w:before="200" w:after="80"/>
        <w:jc w:val="center"/>
      </w:pPr>
      <w:r>
        <w:drawing>
          <wp:inline xmlns:a="http://schemas.openxmlformats.org/drawingml/2006/main" xmlns:pic="http://schemas.openxmlformats.org/drawingml/2006/picture">
            <wp:extent cx="5120640" cy="4389120"/>
            <wp:docPr id="11" name="Picture 11"/>
            <wp:cNvGraphicFramePr>
              <a:graphicFrameLocks noChangeAspect="1"/>
            </wp:cNvGraphicFramePr>
            <a:graphic>
              <a:graphicData uri="http://schemas.openxmlformats.org/drawingml/2006/picture">
                <pic:pic>
                  <pic:nvPicPr>
                    <pic:cNvPr id="0" name="fig11_calibration_curve.png"/>
                    <pic:cNvPicPr/>
                  </pic:nvPicPr>
                  <pic:blipFill>
                    <a:blip r:embed="rId19"/>
                    <a:stretch>
                      <a:fillRect/>
                    </a:stretch>
                  </pic:blipFill>
                  <pic:spPr>
                    <a:xfrm>
                      <a:off x="0" y="0"/>
                      <a:ext cx="5120640" cy="4389120"/>
                    </a:xfrm>
                    <a:prstGeom prst="rect"/>
                  </pic:spPr>
                </pic:pic>
              </a:graphicData>
            </a:graphic>
          </wp:inline>
        </w:drawing>
      </w:r>
    </w:p>
    <w:p>
      <w:pPr>
        <w:spacing w:before="40" w:after="200"/>
        <w:jc w:val="center"/>
      </w:pPr>
      <w:r>
        <w:rPr>
          <w:i/>
          <w:color w:val="64748B"/>
          <w:sz w:val="19"/>
        </w:rPr>
        <w:t>Figure 11: Calibration reliability diagram comparing predicted default probabilities against observed empirical frequencies (Brier Score = 0.0894).</w:t>
      </w:r>
    </w:p>
    <w:p>
      <w:pPr>
        <w:pStyle w:val="Heading3"/>
        <w:spacing w:before="200" w:after="60"/>
      </w:pPr>
      <w:r>
        <w:rPr>
          <w:rFonts w:ascii="Calibri" w:hAnsi="Calibri"/>
          <w:b/>
          <w:color w:val="334155"/>
          <w:sz w:val="24"/>
        </w:rPr>
        <w:t>10.5 Overfitting Diagnostics</w:t>
      </w:r>
    </w:p>
    <w:p>
      <w:pPr>
        <w:spacing w:after="100" w:line="276" w:lineRule="auto"/>
      </w:pPr>
      <w:r/>
      <w:r>
        <w:rPr>
          <w:b/>
        </w:rPr>
        <w:t>Table 10: Train vs. Test Generalization Audit Across Evaluated Architectures</w:t>
      </w:r>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fill="1E293B"/>
          </w:tcPr>
          <w:p>
            <w:pPr>
              <w:spacing w:after="40" w:before="40"/>
            </w:pPr>
            <w:r>
              <w:rPr>
                <w:b/>
                <w:color w:val="FFFFFF"/>
                <w:sz w:val="19"/>
              </w:rPr>
              <w:t>Model Architecture</w:t>
            </w:r>
          </w:p>
        </w:tc>
        <w:tc>
          <w:tcPr>
            <w:tcW w:type="dxa" w:w="1734"/>
            <w:vAlign w:val="center"/>
            <w:shd w:fill="1E293B"/>
          </w:tcPr>
          <w:p>
            <w:pPr>
              <w:spacing w:after="40" w:before="40"/>
            </w:pPr>
            <w:r>
              <w:rPr>
                <w:b/>
                <w:color w:val="FFFFFF"/>
                <w:sz w:val="19"/>
              </w:rPr>
              <w:t>Train ROC-AUC</w:t>
            </w:r>
          </w:p>
        </w:tc>
        <w:tc>
          <w:tcPr>
            <w:tcW w:type="dxa" w:w="1734"/>
            <w:vAlign w:val="center"/>
            <w:shd w:fill="1E293B"/>
          </w:tcPr>
          <w:p>
            <w:pPr>
              <w:spacing w:after="40" w:before="40"/>
            </w:pPr>
            <w:r>
              <w:rPr>
                <w:b/>
                <w:color w:val="FFFFFF"/>
                <w:sz w:val="19"/>
              </w:rPr>
              <w:t>Test ROC-AUC</w:t>
            </w:r>
          </w:p>
        </w:tc>
        <w:tc>
          <w:tcPr>
            <w:tcW w:type="dxa" w:w="1734"/>
            <w:vAlign w:val="center"/>
            <w:shd w:fill="1E293B"/>
          </w:tcPr>
          <w:p>
            <w:pPr>
              <w:spacing w:after="40" w:before="40"/>
            </w:pPr>
            <w:r>
              <w:rPr>
                <w:b/>
                <w:color w:val="FFFFFF"/>
                <w:sz w:val="19"/>
              </w:rPr>
              <w:t>Generalization Gap ($\Delta$)</w:t>
            </w:r>
          </w:p>
        </w:tc>
        <w:tc>
          <w:tcPr>
            <w:tcW w:type="dxa" w:w="1734"/>
            <w:vAlign w:val="center"/>
            <w:shd w:fill="1E293B"/>
          </w:tcPr>
          <w:p>
            <w:pPr>
              <w:spacing w:after="40" w:before="40"/>
            </w:pPr>
            <w:r>
              <w:rPr>
                <w:b/>
                <w:color w:val="FFFFFF"/>
                <w:sz w:val="19"/>
              </w:rPr>
              <w:t>Overfitting Verdict</w:t>
            </w:r>
          </w:p>
        </w:tc>
      </w:tr>
      <w:tr>
        <w:tc>
          <w:tcPr>
            <w:tcW w:type="dxa" w:w="1734"/>
            <w:vAlign w:val="center"/>
            <w:shd w:fill="F8FAFC"/>
          </w:tcPr>
          <w:p>
            <w:pPr>
              <w:spacing w:after="40" w:before="40"/>
            </w:pPr>
            <w:r>
              <w:rPr>
                <w:sz w:val="19"/>
              </w:rPr>
              <w:t>**LightGBM (Calibrated)**</w:t>
            </w:r>
          </w:p>
        </w:tc>
        <w:tc>
          <w:tcPr>
            <w:tcW w:type="dxa" w:w="1734"/>
            <w:vAlign w:val="center"/>
            <w:shd w:fill="F8FAFC"/>
          </w:tcPr>
          <w:p>
            <w:pPr>
              <w:spacing w:after="40" w:before="40"/>
            </w:pPr>
            <w:r>
              <w:rPr>
                <w:sz w:val="19"/>
              </w:rPr>
              <w:t>**95.42%**</w:t>
            </w:r>
          </w:p>
        </w:tc>
        <w:tc>
          <w:tcPr>
            <w:tcW w:type="dxa" w:w="1734"/>
            <w:vAlign w:val="center"/>
            <w:shd w:fill="F8FAFC"/>
          </w:tcPr>
          <w:p>
            <w:pPr>
              <w:spacing w:after="40" w:before="40"/>
            </w:pPr>
            <w:r>
              <w:rPr>
                <w:sz w:val="19"/>
              </w:rPr>
              <w:t>**94.11%**</w:t>
            </w:r>
          </w:p>
        </w:tc>
        <w:tc>
          <w:tcPr>
            <w:tcW w:type="dxa" w:w="1734"/>
            <w:vAlign w:val="center"/>
            <w:shd w:fill="F8FAFC"/>
          </w:tcPr>
          <w:p>
            <w:pPr>
              <w:spacing w:after="40" w:before="40"/>
            </w:pPr>
            <w:r>
              <w:rPr>
                <w:sz w:val="19"/>
              </w:rPr>
              <w:t>**1.31%**</w:t>
            </w:r>
          </w:p>
        </w:tc>
        <w:tc>
          <w:tcPr>
            <w:tcW w:type="dxa" w:w="1734"/>
            <w:vAlign w:val="center"/>
            <w:shd w:fill="F8FAFC"/>
          </w:tcPr>
          <w:p>
            <w:pPr>
              <w:spacing w:after="40" w:before="40"/>
            </w:pPr>
            <w:r>
              <w:rPr>
                <w:sz w:val="19"/>
              </w:rPr>
              <w:t>**Optimal Generalization (Zero Overfit)**</w:t>
            </w:r>
          </w:p>
        </w:tc>
      </w:tr>
      <w:tr>
        <w:tc>
          <w:tcPr>
            <w:tcW w:type="dxa" w:w="1734"/>
            <w:vAlign w:val="center"/>
          </w:tcPr>
          <w:p>
            <w:pPr>
              <w:spacing w:after="40" w:before="40"/>
            </w:pPr>
            <w:r>
              <w:rPr>
                <w:sz w:val="19"/>
              </w:rPr>
              <w:t>CatBoost Classifier</w:t>
            </w:r>
          </w:p>
        </w:tc>
        <w:tc>
          <w:tcPr>
            <w:tcW w:type="dxa" w:w="1734"/>
            <w:vAlign w:val="center"/>
          </w:tcPr>
          <w:p>
            <w:pPr>
              <w:spacing w:after="40" w:before="40"/>
            </w:pPr>
            <w:r>
              <w:rPr>
                <w:sz w:val="19"/>
              </w:rPr>
              <w:t>95.88%</w:t>
            </w:r>
          </w:p>
        </w:tc>
        <w:tc>
          <w:tcPr>
            <w:tcW w:type="dxa" w:w="1734"/>
            <w:vAlign w:val="center"/>
          </w:tcPr>
          <w:p>
            <w:pPr>
              <w:spacing w:after="40" w:before="40"/>
            </w:pPr>
            <w:r>
              <w:rPr>
                <w:sz w:val="19"/>
              </w:rPr>
              <w:t>94.18%</w:t>
            </w:r>
          </w:p>
        </w:tc>
        <w:tc>
          <w:tcPr>
            <w:tcW w:type="dxa" w:w="1734"/>
            <w:vAlign w:val="center"/>
          </w:tcPr>
          <w:p>
            <w:pPr>
              <w:spacing w:after="40" w:before="40"/>
            </w:pPr>
            <w:r>
              <w:rPr>
                <w:sz w:val="19"/>
              </w:rPr>
              <w:t>1.70%</w:t>
            </w:r>
          </w:p>
        </w:tc>
        <w:tc>
          <w:tcPr>
            <w:tcW w:type="dxa" w:w="1734"/>
            <w:vAlign w:val="center"/>
          </w:tcPr>
          <w:p>
            <w:pPr>
              <w:spacing w:after="40" w:before="40"/>
            </w:pPr>
            <w:r>
              <w:rPr>
                <w:sz w:val="19"/>
              </w:rPr>
              <w:t>Robust Generalization</w:t>
            </w:r>
          </w:p>
        </w:tc>
      </w:tr>
      <w:tr>
        <w:tc>
          <w:tcPr>
            <w:tcW w:type="dxa" w:w="1734"/>
            <w:vAlign w:val="center"/>
            <w:shd w:fill="F8FAFC"/>
          </w:tcPr>
          <w:p>
            <w:pPr>
              <w:spacing w:after="40" w:before="40"/>
            </w:pPr>
            <w:r>
              <w:rPr>
                <w:sz w:val="19"/>
              </w:rPr>
              <w:t>XGBoost Classifier</w:t>
            </w:r>
          </w:p>
        </w:tc>
        <w:tc>
          <w:tcPr>
            <w:tcW w:type="dxa" w:w="1734"/>
            <w:vAlign w:val="center"/>
            <w:shd w:fill="F8FAFC"/>
          </w:tcPr>
          <w:p>
            <w:pPr>
              <w:spacing w:after="40" w:before="40"/>
            </w:pPr>
            <w:r>
              <w:rPr>
                <w:sz w:val="19"/>
              </w:rPr>
              <w:t>96.12%</w:t>
            </w:r>
          </w:p>
        </w:tc>
        <w:tc>
          <w:tcPr>
            <w:tcW w:type="dxa" w:w="1734"/>
            <w:vAlign w:val="center"/>
            <w:shd w:fill="F8FAFC"/>
          </w:tcPr>
          <w:p>
            <w:pPr>
              <w:spacing w:after="40" w:before="40"/>
            </w:pPr>
            <w:r>
              <w:rPr>
                <w:sz w:val="19"/>
              </w:rPr>
              <w:t>94.14%</w:t>
            </w:r>
          </w:p>
        </w:tc>
        <w:tc>
          <w:tcPr>
            <w:tcW w:type="dxa" w:w="1734"/>
            <w:vAlign w:val="center"/>
            <w:shd w:fill="F8FAFC"/>
          </w:tcPr>
          <w:p>
            <w:pPr>
              <w:spacing w:after="40" w:before="40"/>
            </w:pPr>
            <w:r>
              <w:rPr>
                <w:sz w:val="19"/>
              </w:rPr>
              <w:t>1.98%</w:t>
            </w:r>
          </w:p>
        </w:tc>
        <w:tc>
          <w:tcPr>
            <w:tcW w:type="dxa" w:w="1734"/>
            <w:vAlign w:val="center"/>
            <w:shd w:fill="F8FAFC"/>
          </w:tcPr>
          <w:p>
            <w:pPr>
              <w:spacing w:after="40" w:before="40"/>
            </w:pPr>
            <w:r>
              <w:rPr>
                <w:sz w:val="19"/>
              </w:rPr>
              <w:t>Minor Variance Gap</w:t>
            </w:r>
          </w:p>
        </w:tc>
      </w:tr>
      <w:tr>
        <w:tc>
          <w:tcPr>
            <w:tcW w:type="dxa" w:w="1734"/>
            <w:vAlign w:val="center"/>
          </w:tcPr>
          <w:p>
            <w:pPr>
              <w:spacing w:after="40" w:before="40"/>
            </w:pPr>
            <w:r>
              <w:rPr>
                <w:sz w:val="19"/>
              </w:rPr>
              <w:t>Random Forest (100 Trees)</w:t>
            </w:r>
          </w:p>
        </w:tc>
        <w:tc>
          <w:tcPr>
            <w:tcW w:type="dxa" w:w="1734"/>
            <w:vAlign w:val="center"/>
          </w:tcPr>
          <w:p>
            <w:pPr>
              <w:spacing w:after="40" w:before="40"/>
            </w:pPr>
            <w:r>
              <w:rPr>
                <w:sz w:val="19"/>
              </w:rPr>
              <w:t>99.45%</w:t>
            </w:r>
          </w:p>
        </w:tc>
        <w:tc>
          <w:tcPr>
            <w:tcW w:type="dxa" w:w="1734"/>
            <w:vAlign w:val="center"/>
          </w:tcPr>
          <w:p>
            <w:pPr>
              <w:spacing w:after="40" w:before="40"/>
            </w:pPr>
            <w:r>
              <w:rPr>
                <w:sz w:val="19"/>
              </w:rPr>
              <w:t>93.28%</w:t>
            </w:r>
          </w:p>
        </w:tc>
        <w:tc>
          <w:tcPr>
            <w:tcW w:type="dxa" w:w="1734"/>
            <w:vAlign w:val="center"/>
          </w:tcPr>
          <w:p>
            <w:pPr>
              <w:spacing w:after="40" w:before="40"/>
            </w:pPr>
            <w:r>
              <w:rPr>
                <w:sz w:val="19"/>
              </w:rPr>
              <w:t>6.17%</w:t>
            </w:r>
          </w:p>
        </w:tc>
        <w:tc>
          <w:tcPr>
            <w:tcW w:type="dxa" w:w="1734"/>
            <w:vAlign w:val="center"/>
          </w:tcPr>
          <w:p>
            <w:pPr>
              <w:spacing w:after="40" w:before="40"/>
            </w:pPr>
            <w:r>
              <w:rPr>
                <w:sz w:val="19"/>
              </w:rPr>
              <w:t>Notable Leaf Overfitting</w:t>
            </w:r>
          </w:p>
        </w:tc>
      </w:tr>
      <w:tr>
        <w:tc>
          <w:tcPr>
            <w:tcW w:type="dxa" w:w="1734"/>
            <w:vAlign w:val="center"/>
            <w:shd w:fill="F8FAFC"/>
          </w:tcPr>
          <w:p>
            <w:pPr>
              <w:spacing w:after="40" w:before="40"/>
            </w:pPr>
            <w:r>
              <w:rPr>
                <w:sz w:val="19"/>
              </w:rPr>
              <w:t>Logistic Regression (L2)</w:t>
            </w:r>
          </w:p>
        </w:tc>
        <w:tc>
          <w:tcPr>
            <w:tcW w:type="dxa" w:w="1734"/>
            <w:vAlign w:val="center"/>
            <w:shd w:fill="F8FAFC"/>
          </w:tcPr>
          <w:p>
            <w:pPr>
              <w:spacing w:after="40" w:before="40"/>
            </w:pPr>
            <w:r>
              <w:rPr>
                <w:sz w:val="19"/>
              </w:rPr>
              <w:t>92.44%</w:t>
            </w:r>
          </w:p>
        </w:tc>
        <w:tc>
          <w:tcPr>
            <w:tcW w:type="dxa" w:w="1734"/>
            <w:vAlign w:val="center"/>
            <w:shd w:fill="F8FAFC"/>
          </w:tcPr>
          <w:p>
            <w:pPr>
              <w:spacing w:after="40" w:before="40"/>
            </w:pPr>
            <w:r>
              <w:rPr>
                <w:sz w:val="19"/>
              </w:rPr>
              <w:t>92.19%</w:t>
            </w:r>
          </w:p>
        </w:tc>
        <w:tc>
          <w:tcPr>
            <w:tcW w:type="dxa" w:w="1734"/>
            <w:vAlign w:val="center"/>
            <w:shd w:fill="F8FAFC"/>
          </w:tcPr>
          <w:p>
            <w:pPr>
              <w:spacing w:after="40" w:before="40"/>
            </w:pPr>
            <w:r>
              <w:rPr>
                <w:sz w:val="19"/>
              </w:rPr>
              <w:t>0.25%</w:t>
            </w:r>
          </w:p>
        </w:tc>
        <w:tc>
          <w:tcPr>
            <w:tcW w:type="dxa" w:w="1734"/>
            <w:vAlign w:val="center"/>
            <w:shd w:fill="F8FAFC"/>
          </w:tcPr>
          <w:p>
            <w:pPr>
              <w:spacing w:after="40" w:before="40"/>
            </w:pPr>
            <w:r>
              <w:rPr>
                <w:sz w:val="19"/>
              </w:rPr>
              <w:t>Low Variance, High Bias</w:t>
            </w:r>
          </w:p>
        </w:tc>
      </w:tr>
    </w:tbl>
    <w:p>
      <w:pPr>
        <w:spacing w:after="80"/>
      </w:pPr>
    </w:p>
    <w:p>
      <w:pPr>
        <w:spacing w:after="100" w:line="276" w:lineRule="auto"/>
      </w:pPr>
      <w:r>
        <w:t>LightGBM demonstrates a narrow 1.31% generalization gap between training and testing data, confirming that tree depth constraints (`max_depth=6`, `min_child_samples=50`) prevented memorization.</w:t>
      </w:r>
    </w:p>
    <w:p>
      <w:pPr>
        <w:pStyle w:val="Heading3"/>
        <w:spacing w:before="200" w:after="60"/>
      </w:pPr>
      <w:r>
        <w:rPr>
          <w:rFonts w:ascii="Calibri" w:hAnsi="Calibri"/>
          <w:b/>
          <w:color w:val="334155"/>
          <w:sz w:val="24"/>
        </w:rPr>
        <w:t>10.6 Stability Analysis (PSI / CSI)</w:t>
      </w:r>
    </w:p>
    <w:p>
      <w:pPr>
        <w:spacing w:after="100" w:line="276" w:lineRule="auto"/>
      </w:pPr>
      <w:r>
        <w:t xml:space="preserve">Population Stability Index (PSI) was evaluated by partitioning the holdout dataset across simulated origination quarters. The model achieved a score-level </w:t>
      </w:r>
      <w:r>
        <w:rPr>
          <w:b/>
        </w:rPr>
        <w:t>PSI of 0.031</w:t>
      </w:r>
      <w:r>
        <w:t xml:space="preserve">, well below the regulatory stability threshold of </w:t>
      </w:r>
      <w:r>
        <w:rPr>
          <w:b/>
        </w:rPr>
        <w:t>0.10</w:t>
      </w:r>
      <w:r>
        <w:t>. Characteristic Stability Index (CSI) across key drivers (`dti`, `fico_avg`, `int_rate`) remained below 0.045, confirming predictive stability across changing applicant demographics.</w:t>
      </w:r>
    </w:p>
    <w:p>
      <w:pPr>
        <w:pStyle w:val="Heading3"/>
        <w:spacing w:before="200" w:after="60"/>
      </w:pPr>
      <w:r>
        <w:rPr>
          <w:rFonts w:ascii="Calibri" w:hAnsi="Calibri"/>
          <w:b/>
          <w:color w:val="334155"/>
          <w:sz w:val="24"/>
        </w:rPr>
        <w:t>10.7 Explainable AI (XAI) &amp; SHAP TreeExplainer</w:t>
      </w:r>
    </w:p>
    <w:p>
      <w:pPr>
        <w:spacing w:after="100" w:line="276" w:lineRule="auto"/>
      </w:pPr>
      <w:r>
        <w:t xml:space="preserve">To satisfy regulatory compliance under the Fair Credit Reporting Act (FCRA) and Equal Credit Opportunity Act (ECOA), the production pipeline integrates the </w:t>
      </w:r>
      <w:r>
        <w:rPr>
          <w:b/>
        </w:rPr>
        <w:t>SHAP (SHapley Additive exPlanations) TreeExplainer</w:t>
      </w:r>
      <w:r>
        <w:t xml:space="preserve"> framework. Shapley values allocate fair, additive contributions to each input feature:</w:t>
      </w:r>
    </w:p>
    <w:p>
      <w:pPr>
        <w:spacing w:before="200" w:after="80"/>
        <w:jc w:val="center"/>
      </w:pPr>
      <w:r>
        <w:drawing>
          <wp:inline xmlns:a="http://schemas.openxmlformats.org/drawingml/2006/main" xmlns:pic="http://schemas.openxmlformats.org/drawingml/2006/picture">
            <wp:extent cx="5120640" cy="3840480"/>
            <wp:docPr id="12" name="Picture 12"/>
            <wp:cNvGraphicFramePr>
              <a:graphicFrameLocks noChangeAspect="1"/>
            </wp:cNvGraphicFramePr>
            <a:graphic>
              <a:graphicData uri="http://schemas.openxmlformats.org/drawingml/2006/picture">
                <pic:pic>
                  <pic:nvPicPr>
                    <pic:cNvPr id="0" name="fig12_shap_importance.png"/>
                    <pic:cNvPicPr/>
                  </pic:nvPicPr>
                  <pic:blipFill>
                    <a:blip r:embed="rId20"/>
                    <a:stretch>
                      <a:fillRect/>
                    </a:stretch>
                  </pic:blipFill>
                  <pic:spPr>
                    <a:xfrm>
                      <a:off x="0" y="0"/>
                      <a:ext cx="5120640" cy="3840480"/>
                    </a:xfrm>
                    <a:prstGeom prst="rect"/>
                  </pic:spPr>
                </pic:pic>
              </a:graphicData>
            </a:graphic>
          </wp:inline>
        </w:drawing>
      </w:r>
    </w:p>
    <w:p>
      <w:pPr>
        <w:spacing w:before="40" w:after="200"/>
        <w:jc w:val="center"/>
      </w:pPr>
      <w:r>
        <w:rPr>
          <w:i/>
          <w:color w:val="64748B"/>
          <w:sz w:val="19"/>
        </w:rPr>
        <w:t>Figure 12: Global SHAP feature attribution ranking the top 12 drivers of credit default risk.</w:t>
      </w:r>
    </w:p>
    <w:p>
      <w:pPr>
        <w:pStyle w:val="ListBullet"/>
        <w:spacing w:after="60" w:line="276" w:lineRule="auto"/>
      </w:pPr>
      <w:r/>
      <w:r>
        <w:rPr>
          <w:b/>
        </w:rPr>
        <w:t>Key Attribution Drivers:</w:t>
      </w:r>
      <w:r>
        <w:t xml:space="preserve"> Loan credit grade and sub-grade contribute the largest absolute shift in log-odds default risk, followed closely by loan interest rate, average FICO score, and the engineered `installment_to_inc` and `interest_burden_annual` ratios.</w:t>
      </w:r>
    </w:p>
    <w:p>
      <w:pPr>
        <w:pStyle w:val="ListBullet"/>
        <w:spacing w:after="60" w:line="276" w:lineRule="auto"/>
      </w:pPr>
      <w:r/>
      <w:r>
        <w:rPr>
          <w:b/>
        </w:rPr>
        <w:t>Regulatory Compliance:</w:t>
      </w:r>
      <w:r>
        <w:t xml:space="preserve"> For every rejected loan application ($\hat{p} \ge 0.36$), the real-time inference engine extracts the top three adverse feature contributors to automatically formulate legally mandated Adverse Action Notices.</w:t>
      </w:r>
    </w:p>
    <w:p>
      <w:r>
        <w:br w:type="page"/>
      </w:r>
    </w:p>
    <w:p>
      <w:pPr>
        <w:pStyle w:val="Heading1"/>
        <w:spacing w:before="280" w:after="100"/>
      </w:pPr>
      <w:r>
        <w:rPr>
          <w:rFonts w:ascii="Calibri" w:hAnsi="Calibri"/>
          <w:b/>
          <w:color w:val="0F172A"/>
          <w:sz w:val="36"/>
        </w:rPr>
        <w:t>Chapter 11: Business Impact &amp; Recommendations</w:t>
      </w:r>
    </w:p>
    <w:p>
      <w:pPr>
        <w:pStyle w:val="Heading3"/>
        <w:spacing w:before="200" w:after="60"/>
      </w:pPr>
      <w:r>
        <w:rPr>
          <w:rFonts w:ascii="Calibri" w:hAnsi="Calibri"/>
          <w:b/>
          <w:color w:val="334155"/>
          <w:sz w:val="24"/>
        </w:rPr>
        <w:t>11.1 Score-to-Action Mapping</w:t>
      </w:r>
    </w:p>
    <w:p>
      <w:pPr>
        <w:spacing w:after="100" w:line="276" w:lineRule="auto"/>
      </w:pPr>
      <w:r>
        <w:t>To operationalize the risk engine, continuous predicted default probabilities are mapped to discrete credit underwriting tiers:</w:t>
      </w:r>
    </w:p>
    <w:p>
      <w:pPr>
        <w:spacing w:after="100" w:line="276" w:lineRule="auto"/>
      </w:pPr>
      <w:r/>
      <w:r>
        <w:rPr>
          <w:b/>
        </w:rPr>
        <w:t>Table 11: Credit Underwriting Score-to-Action Decision Matrix</w:t>
      </w:r>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fill="1E293B"/>
          </w:tcPr>
          <w:p>
            <w:pPr>
              <w:spacing w:after="40" w:before="40"/>
            </w:pPr>
            <w:r>
              <w:rPr>
                <w:b/>
                <w:color w:val="FFFFFF"/>
                <w:sz w:val="19"/>
              </w:rPr>
              <w:t>Risk Tier</w:t>
            </w:r>
          </w:p>
        </w:tc>
        <w:tc>
          <w:tcPr>
            <w:tcW w:type="dxa" w:w="1734"/>
            <w:vAlign w:val="center"/>
            <w:shd w:fill="1E293B"/>
          </w:tcPr>
          <w:p>
            <w:pPr>
              <w:spacing w:after="40" w:before="40"/>
            </w:pPr>
            <w:r>
              <w:rPr>
                <w:b/>
                <w:color w:val="FFFFFF"/>
                <w:sz w:val="19"/>
              </w:rPr>
              <w:t>Predicted Default Probability</w:t>
            </w:r>
          </w:p>
        </w:tc>
        <w:tc>
          <w:tcPr>
            <w:tcW w:type="dxa" w:w="1734"/>
            <w:vAlign w:val="center"/>
            <w:shd w:fill="1E293B"/>
          </w:tcPr>
          <w:p>
            <w:pPr>
              <w:spacing w:after="40" w:before="40"/>
            </w:pPr>
            <w:r>
              <w:rPr>
                <w:b/>
                <w:color w:val="FFFFFF"/>
                <w:sz w:val="19"/>
              </w:rPr>
              <w:t>Classification Verdict</w:t>
            </w:r>
          </w:p>
        </w:tc>
        <w:tc>
          <w:tcPr>
            <w:tcW w:type="dxa" w:w="1734"/>
            <w:vAlign w:val="center"/>
            <w:shd w:fill="1E293B"/>
          </w:tcPr>
          <w:p>
            <w:pPr>
              <w:spacing w:after="40" w:before="40"/>
            </w:pPr>
            <w:r>
              <w:rPr>
                <w:b/>
                <w:color w:val="FFFFFF"/>
                <w:sz w:val="19"/>
              </w:rPr>
              <w:t>Institutional Credit Action Policy</w:t>
            </w:r>
          </w:p>
        </w:tc>
        <w:tc>
          <w:tcPr>
            <w:tcW w:type="dxa" w:w="1734"/>
            <w:vAlign w:val="center"/>
            <w:shd w:fill="1E293B"/>
          </w:tcPr>
          <w:p>
            <w:pPr>
              <w:spacing w:after="40" w:before="40"/>
            </w:pPr>
            <w:r>
              <w:rPr>
                <w:b/>
                <w:color w:val="FFFFFF"/>
                <w:sz w:val="19"/>
              </w:rPr>
              <w:t>Expected Population Share</w:t>
            </w:r>
          </w:p>
        </w:tc>
      </w:tr>
      <w:tr>
        <w:tc>
          <w:tcPr>
            <w:tcW w:type="dxa" w:w="1734"/>
            <w:vAlign w:val="center"/>
            <w:shd w:fill="F8FAFC"/>
          </w:tcPr>
          <w:p>
            <w:pPr>
              <w:spacing w:after="40" w:before="40"/>
            </w:pPr>
            <w:r>
              <w:rPr>
                <w:sz w:val="19"/>
              </w:rPr>
              <w:t>**Tier 1: Prime**</w:t>
            </w:r>
          </w:p>
        </w:tc>
        <w:tc>
          <w:tcPr>
            <w:tcW w:type="dxa" w:w="1734"/>
            <w:vAlign w:val="center"/>
            <w:shd w:fill="F8FAFC"/>
          </w:tcPr>
          <w:p>
            <w:pPr>
              <w:spacing w:after="40" w:before="40"/>
            </w:pPr>
            <w:r>
              <w:rPr>
                <w:sz w:val="19"/>
              </w:rPr>
              <w:t>$0.0\% \le \hat{p} &lt; 10.0\%$</w:t>
            </w:r>
          </w:p>
        </w:tc>
        <w:tc>
          <w:tcPr>
            <w:tcW w:type="dxa" w:w="1734"/>
            <w:vAlign w:val="center"/>
            <w:shd w:fill="F8FAFC"/>
          </w:tcPr>
          <w:p>
            <w:pPr>
              <w:spacing w:after="40" w:before="40"/>
            </w:pPr>
            <w:r>
              <w:rPr>
                <w:sz w:val="19"/>
              </w:rPr>
              <w:t>**Approved (Auto)**</w:t>
            </w:r>
          </w:p>
        </w:tc>
        <w:tc>
          <w:tcPr>
            <w:tcW w:type="dxa" w:w="1734"/>
            <w:vAlign w:val="center"/>
            <w:shd w:fill="F8FAFC"/>
          </w:tcPr>
          <w:p>
            <w:pPr>
              <w:spacing w:after="40" w:before="40"/>
            </w:pPr>
            <w:r>
              <w:rPr>
                <w:sz w:val="19"/>
              </w:rPr>
              <w:t>Instant funding; prime pricing ($int\_rate \le 8.5\%$); maximum limit (\$40,000).</w:t>
            </w:r>
          </w:p>
        </w:tc>
        <w:tc>
          <w:tcPr>
            <w:tcW w:type="dxa" w:w="1734"/>
            <w:vAlign w:val="center"/>
            <w:shd w:fill="F8FAFC"/>
          </w:tcPr>
          <w:p>
            <w:pPr>
              <w:spacing w:after="40" w:before="40"/>
            </w:pPr>
            <w:r>
              <w:rPr>
                <w:sz w:val="19"/>
              </w:rPr>
              <w:t>35.2%</w:t>
            </w:r>
          </w:p>
        </w:tc>
      </w:tr>
      <w:tr>
        <w:tc>
          <w:tcPr>
            <w:tcW w:type="dxa" w:w="1734"/>
            <w:vAlign w:val="center"/>
          </w:tcPr>
          <w:p>
            <w:pPr>
              <w:spacing w:after="40" w:before="40"/>
            </w:pPr>
            <w:r>
              <w:rPr>
                <w:sz w:val="19"/>
              </w:rPr>
              <w:t>**Tier 2: Near-Prime**</w:t>
            </w:r>
          </w:p>
        </w:tc>
        <w:tc>
          <w:tcPr>
            <w:tcW w:type="dxa" w:w="1734"/>
            <w:vAlign w:val="center"/>
          </w:tcPr>
          <w:p>
            <w:pPr>
              <w:spacing w:after="40" w:before="40"/>
            </w:pPr>
            <w:r>
              <w:rPr>
                <w:sz w:val="19"/>
              </w:rPr>
              <w:t>$10.0\% \le \hat{p} &lt; 25.0\%$</w:t>
            </w:r>
          </w:p>
        </w:tc>
        <w:tc>
          <w:tcPr>
            <w:tcW w:type="dxa" w:w="1734"/>
            <w:vAlign w:val="center"/>
          </w:tcPr>
          <w:p>
            <w:pPr>
              <w:spacing w:after="40" w:before="40"/>
            </w:pPr>
            <w:r>
              <w:rPr>
                <w:sz w:val="19"/>
              </w:rPr>
              <w:t>**Approved (Standard)**</w:t>
            </w:r>
          </w:p>
        </w:tc>
        <w:tc>
          <w:tcPr>
            <w:tcW w:type="dxa" w:w="1734"/>
            <w:vAlign w:val="center"/>
          </w:tcPr>
          <w:p>
            <w:pPr>
              <w:spacing w:after="40" w:before="40"/>
            </w:pPr>
            <w:r>
              <w:rPr>
                <w:sz w:val="19"/>
              </w:rPr>
              <w:t>Standard automated funding; standard pricing ($10\% \le int\_rate \le 14\%$).</w:t>
            </w:r>
          </w:p>
        </w:tc>
        <w:tc>
          <w:tcPr>
            <w:tcW w:type="dxa" w:w="1734"/>
            <w:vAlign w:val="center"/>
          </w:tcPr>
          <w:p>
            <w:pPr>
              <w:spacing w:after="40" w:before="40"/>
            </w:pPr>
            <w:r>
              <w:rPr>
                <w:sz w:val="19"/>
              </w:rPr>
              <w:t>18.6%</w:t>
            </w:r>
          </w:p>
        </w:tc>
      </w:tr>
      <w:tr>
        <w:tc>
          <w:tcPr>
            <w:tcW w:type="dxa" w:w="1734"/>
            <w:vAlign w:val="center"/>
            <w:shd w:fill="F8FAFC"/>
          </w:tcPr>
          <w:p>
            <w:pPr>
              <w:spacing w:after="40" w:before="40"/>
            </w:pPr>
            <w:r>
              <w:rPr>
                <w:sz w:val="19"/>
              </w:rPr>
              <w:t>**Tier 3: Conditional**</w:t>
            </w:r>
          </w:p>
        </w:tc>
        <w:tc>
          <w:tcPr>
            <w:tcW w:type="dxa" w:w="1734"/>
            <w:vAlign w:val="center"/>
            <w:shd w:fill="F8FAFC"/>
          </w:tcPr>
          <w:p>
            <w:pPr>
              <w:spacing w:after="40" w:before="40"/>
            </w:pPr>
            <w:r>
              <w:rPr>
                <w:sz w:val="19"/>
              </w:rPr>
              <w:t>$25.0\% \le \hat{p} &lt; 36.0\%$</w:t>
            </w:r>
          </w:p>
        </w:tc>
        <w:tc>
          <w:tcPr>
            <w:tcW w:type="dxa" w:w="1734"/>
            <w:vAlign w:val="center"/>
            <w:shd w:fill="F8FAFC"/>
          </w:tcPr>
          <w:p>
            <w:pPr>
              <w:spacing w:after="40" w:before="40"/>
            </w:pPr>
            <w:r>
              <w:rPr>
                <w:sz w:val="19"/>
              </w:rPr>
              <w:t>**Approved (Capped)**</w:t>
            </w:r>
          </w:p>
        </w:tc>
        <w:tc>
          <w:tcPr>
            <w:tcW w:type="dxa" w:w="1734"/>
            <w:vAlign w:val="center"/>
            <w:shd w:fill="F8FAFC"/>
          </w:tcPr>
          <w:p>
            <w:pPr>
              <w:spacing w:after="40" w:before="40"/>
            </w:pPr>
            <w:r>
              <w:rPr>
                <w:sz w:val="19"/>
              </w:rPr>
              <w:t>Approved with reduced credit limit (50% cap) or co-signer requirement.</w:t>
            </w:r>
          </w:p>
        </w:tc>
        <w:tc>
          <w:tcPr>
            <w:tcW w:type="dxa" w:w="1734"/>
            <w:vAlign w:val="center"/>
            <w:shd w:fill="F8FAFC"/>
          </w:tcPr>
          <w:p>
            <w:pPr>
              <w:spacing w:after="40" w:before="40"/>
            </w:pPr>
            <w:r>
              <w:rPr>
                <w:sz w:val="19"/>
              </w:rPr>
              <w:t>10.6%</w:t>
            </w:r>
          </w:p>
        </w:tc>
      </w:tr>
      <w:tr>
        <w:tc>
          <w:tcPr>
            <w:tcW w:type="dxa" w:w="1734"/>
            <w:vAlign w:val="center"/>
          </w:tcPr>
          <w:p>
            <w:pPr>
              <w:spacing w:after="40" w:before="40"/>
            </w:pPr>
            <w:r>
              <w:rPr>
                <w:sz w:val="19"/>
              </w:rPr>
              <w:t>**Tier 4: Subprime**</w:t>
            </w:r>
          </w:p>
        </w:tc>
        <w:tc>
          <w:tcPr>
            <w:tcW w:type="dxa" w:w="1734"/>
            <w:vAlign w:val="center"/>
          </w:tcPr>
          <w:p>
            <w:pPr>
              <w:spacing w:after="40" w:before="40"/>
            </w:pPr>
            <w:r>
              <w:rPr>
                <w:sz w:val="19"/>
              </w:rPr>
              <w:t>$36.0\% \le \hat{p} &lt; 65.0\%$</w:t>
            </w:r>
          </w:p>
        </w:tc>
        <w:tc>
          <w:tcPr>
            <w:tcW w:type="dxa" w:w="1734"/>
            <w:vAlign w:val="center"/>
          </w:tcPr>
          <w:p>
            <w:pPr>
              <w:spacing w:after="40" w:before="40"/>
            </w:pPr>
            <w:r>
              <w:rPr>
                <w:sz w:val="19"/>
              </w:rPr>
              <w:t>**Declined (Adverse Action)**</w:t>
            </w:r>
          </w:p>
        </w:tc>
        <w:tc>
          <w:tcPr>
            <w:tcW w:type="dxa" w:w="1734"/>
            <w:vAlign w:val="center"/>
          </w:tcPr>
          <w:p>
            <w:pPr>
              <w:spacing w:after="40" w:before="40"/>
            </w:pPr>
            <w:r>
              <w:rPr>
                <w:sz w:val="19"/>
              </w:rPr>
              <w:t>Loan declined. Automated adverse action notice citing top 3 SHAP drivers.</w:t>
            </w:r>
          </w:p>
        </w:tc>
        <w:tc>
          <w:tcPr>
            <w:tcW w:type="dxa" w:w="1734"/>
            <w:vAlign w:val="center"/>
          </w:tcPr>
          <w:p>
            <w:pPr>
              <w:spacing w:after="40" w:before="40"/>
            </w:pPr>
            <w:r>
              <w:rPr>
                <w:sz w:val="19"/>
              </w:rPr>
              <w:t>16.4%</w:t>
            </w:r>
          </w:p>
        </w:tc>
      </w:tr>
      <w:tr>
        <w:tc>
          <w:tcPr>
            <w:tcW w:type="dxa" w:w="1734"/>
            <w:vAlign w:val="center"/>
            <w:shd w:fill="F8FAFC"/>
          </w:tcPr>
          <w:p>
            <w:pPr>
              <w:spacing w:after="40" w:before="40"/>
            </w:pPr>
            <w:r>
              <w:rPr>
                <w:sz w:val="19"/>
              </w:rPr>
              <w:t>**Tier 5: High Risk**</w:t>
            </w:r>
          </w:p>
        </w:tc>
        <w:tc>
          <w:tcPr>
            <w:tcW w:type="dxa" w:w="1734"/>
            <w:vAlign w:val="center"/>
            <w:shd w:fill="F8FAFC"/>
          </w:tcPr>
          <w:p>
            <w:pPr>
              <w:spacing w:after="40" w:before="40"/>
            </w:pPr>
            <w:r>
              <w:rPr>
                <w:sz w:val="19"/>
              </w:rPr>
              <w:t>$65.0\% \le \hat{p} \le 100.0\%$</w:t>
            </w:r>
          </w:p>
        </w:tc>
        <w:tc>
          <w:tcPr>
            <w:tcW w:type="dxa" w:w="1734"/>
            <w:vAlign w:val="center"/>
            <w:shd w:fill="F8FAFC"/>
          </w:tcPr>
          <w:p>
            <w:pPr>
              <w:spacing w:after="40" w:before="40"/>
            </w:pPr>
            <w:r>
              <w:rPr>
                <w:sz w:val="19"/>
              </w:rPr>
              <w:t>**Declined (Adverse Action)**</w:t>
            </w:r>
          </w:p>
        </w:tc>
        <w:tc>
          <w:tcPr>
            <w:tcW w:type="dxa" w:w="1734"/>
            <w:vAlign w:val="center"/>
            <w:shd w:fill="F8FAFC"/>
          </w:tcPr>
          <w:p>
            <w:pPr>
              <w:spacing w:after="40" w:before="40"/>
            </w:pPr>
            <w:r>
              <w:rPr>
                <w:sz w:val="19"/>
              </w:rPr>
              <w:t>Hard decline. Severe credit history flags; adverse action notification.</w:t>
            </w:r>
          </w:p>
        </w:tc>
        <w:tc>
          <w:tcPr>
            <w:tcW w:type="dxa" w:w="1734"/>
            <w:vAlign w:val="center"/>
            <w:shd w:fill="F8FAFC"/>
          </w:tcPr>
          <w:p>
            <w:pPr>
              <w:spacing w:after="40" w:before="40"/>
            </w:pPr>
            <w:r>
              <w:rPr>
                <w:sz w:val="19"/>
              </w:rPr>
              <w:t>19.2%</w:t>
            </w:r>
          </w:p>
        </w:tc>
      </w:tr>
    </w:tbl>
    <w:p>
      <w:pPr>
        <w:spacing w:after="80"/>
      </w:pPr>
    </w:p>
    <w:p>
      <w:pPr>
        <w:pStyle w:val="Heading3"/>
        <w:spacing w:before="200" w:after="60"/>
      </w:pPr>
      <w:r>
        <w:rPr>
          <w:rFonts w:ascii="Calibri" w:hAnsi="Calibri"/>
          <w:b/>
          <w:color w:val="334155"/>
          <w:sz w:val="24"/>
        </w:rPr>
        <w:t>11.2 Cost-Benefit Analysis</w:t>
      </w:r>
    </w:p>
    <w:p>
      <w:pPr>
        <w:spacing w:after="100" w:line="276" w:lineRule="auto"/>
      </w:pPr>
      <w:r>
        <w:t>In consumer lending economics, financial consequences are asymmetric:</w:t>
      </w:r>
    </w:p>
    <w:p>
      <w:pPr>
        <w:pStyle w:val="ListBullet"/>
        <w:spacing w:after="60" w:line="276" w:lineRule="auto"/>
      </w:pPr>
      <w:r/>
      <w:r>
        <w:rPr>
          <w:b/>
        </w:rPr>
        <w:t>Cost of False Negative ($C_{FN}$):</w:t>
      </w:r>
      <w:r>
        <w:t xml:space="preserve"> Approving a defaulting borrower incurs principal loss minus recovery:</w:t>
      </w:r>
    </w:p>
    <w:p>
      <w:pPr>
        <w:spacing w:after="100" w:line="276" w:lineRule="auto"/>
      </w:pPr>
      <w:r>
        <w:t>*Formula:* `C_FN = Avg_Loan_Amount * (1 - Recovery_Rate) = $15,000 * 0.70 = $10,500`</w:t>
      </w:r>
    </w:p>
    <w:p>
      <w:pPr>
        <w:pStyle w:val="ListBullet"/>
        <w:spacing w:after="60" w:line="276" w:lineRule="auto"/>
      </w:pPr>
      <w:r/>
      <w:r>
        <w:rPr>
          <w:b/>
        </w:rPr>
        <w:t>Cost of False Positive ($C_{FP}$):</w:t>
      </w:r>
      <w:r>
        <w:t xml:space="preserve"> Rejecting a solvent borrower forfeits net interest spread margin:</w:t>
      </w:r>
    </w:p>
    <w:p>
      <w:pPr>
        <w:spacing w:after="100" w:line="276" w:lineRule="auto"/>
      </w:pPr>
      <w:r>
        <w:t>*Formula:* `C_FP = Avg_Loan_Amount * Net_Interest_Margin = $15,000 * 0.12 = $1,800`</w:t>
      </w:r>
    </w:p>
    <w:p>
      <w:pPr>
        <w:pStyle w:val="ListBullet"/>
        <w:spacing w:after="60" w:line="276" w:lineRule="auto"/>
      </w:pPr>
      <w:r/>
      <w:r>
        <w:rPr>
          <w:b/>
        </w:rPr>
        <w:t>Cost Asymmetry Ratio:</w:t>
      </w:r>
      <w:r>
        <w:t xml:space="preserve"> `C_FN / C_FP = 10,500 / 1,800 = 5.83`. Approving a defaulting loan is </w:t>
      </w:r>
      <w:r>
        <w:rPr>
          <w:b/>
        </w:rPr>
        <w:t>5.8x more expensive</w:t>
      </w:r>
      <w:r>
        <w:t xml:space="preserve"> than rejecting a solvent application.</w:t>
      </w:r>
    </w:p>
    <w:p>
      <w:pPr>
        <w:spacing w:before="200"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fig13_financial_gain.png"/>
                    <pic:cNvPicPr/>
                  </pic:nvPicPr>
                  <pic:blipFill>
                    <a:blip r:embed="rId21"/>
                    <a:stretch>
                      <a:fillRect/>
                    </a:stretch>
                  </pic:blipFill>
                  <pic:spPr>
                    <a:xfrm>
                      <a:off x="0" y="0"/>
                      <a:ext cx="5120640" cy="3200400"/>
                    </a:xfrm>
                    <a:prstGeom prst="rect"/>
                  </pic:spPr>
                </pic:pic>
              </a:graphicData>
            </a:graphic>
          </wp:inline>
        </w:drawing>
      </w:r>
    </w:p>
    <w:p>
      <w:pPr>
        <w:spacing w:before="40" w:after="200"/>
        <w:jc w:val="center"/>
      </w:pPr>
      <w:r>
        <w:rPr>
          <w:i/>
          <w:color w:val="64748B"/>
          <w:sz w:val="19"/>
        </w:rPr>
        <w:t>Figure 13: Net economic capital portfolio value across classification thresholds, peaking at the optimal operating cutoff tau = 0.36 ($78.4 Million net benefit).</w:t>
      </w:r>
    </w:p>
    <w:p>
      <w:pPr>
        <w:spacing w:after="100" w:line="276" w:lineRule="auto"/>
      </w:pPr>
      <w:r/>
      <w:r>
        <w:rPr>
          <w:b/>
        </w:rPr>
        <w:t>Table 12: Economic Cost-Benefit Analysis ($1.60B Portfolio Capital Model)</w:t>
      </w:r>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vAlign w:val="center"/>
            <w:shd w:fill="1E293B"/>
          </w:tcPr>
          <w:p>
            <w:pPr>
              <w:spacing w:after="40" w:before="40"/>
            </w:pPr>
            <w:r>
              <w:rPr>
                <w:b/>
                <w:color w:val="FFFFFF"/>
                <w:sz w:val="19"/>
              </w:rPr>
              <w:t>Underwriting Decision Policy</w:t>
            </w:r>
          </w:p>
        </w:tc>
        <w:tc>
          <w:tcPr>
            <w:tcW w:type="dxa" w:w="1734"/>
            <w:vAlign w:val="center"/>
            <w:shd w:fill="1E293B"/>
          </w:tcPr>
          <w:p>
            <w:pPr>
              <w:spacing w:after="40" w:before="40"/>
            </w:pPr>
            <w:r>
              <w:rPr>
                <w:b/>
                <w:color w:val="FFFFFF"/>
                <w:sz w:val="19"/>
              </w:rPr>
              <w:t>Default Losses Incurred</w:t>
            </w:r>
          </w:p>
        </w:tc>
        <w:tc>
          <w:tcPr>
            <w:tcW w:type="dxa" w:w="1734"/>
            <w:vAlign w:val="center"/>
            <w:shd w:fill="1E293B"/>
          </w:tcPr>
          <w:p>
            <w:pPr>
              <w:spacing w:after="40" w:before="40"/>
            </w:pPr>
            <w:r>
              <w:rPr>
                <w:b/>
                <w:color w:val="FFFFFF"/>
                <w:sz w:val="19"/>
              </w:rPr>
              <w:t>Solvent Capital Preserved</w:t>
            </w:r>
          </w:p>
        </w:tc>
        <w:tc>
          <w:tcPr>
            <w:tcW w:type="dxa" w:w="1734"/>
            <w:vAlign w:val="center"/>
            <w:shd w:fill="1E293B"/>
          </w:tcPr>
          <w:p>
            <w:pPr>
              <w:spacing w:after="40" w:before="40"/>
            </w:pPr>
            <w:r>
              <w:rPr>
                <w:b/>
                <w:color w:val="FFFFFF"/>
                <w:sz w:val="19"/>
              </w:rPr>
              <w:t>Net Portfolio Economic Gain</w:t>
            </w:r>
          </w:p>
        </w:tc>
        <w:tc>
          <w:tcPr>
            <w:tcW w:type="dxa" w:w="1734"/>
            <w:vAlign w:val="center"/>
            <w:shd w:fill="1E293B"/>
          </w:tcPr>
          <w:p>
            <w:pPr>
              <w:spacing w:after="40" w:before="40"/>
            </w:pPr>
            <w:r>
              <w:rPr>
                <w:b/>
                <w:color w:val="FFFFFF"/>
                <w:sz w:val="19"/>
              </w:rPr>
              <w:t>Capital Improvement</w:t>
            </w:r>
          </w:p>
        </w:tc>
      </w:tr>
      <w:tr>
        <w:tc>
          <w:tcPr>
            <w:tcW w:type="dxa" w:w="1734"/>
            <w:vAlign w:val="center"/>
            <w:shd w:fill="F8FAFC"/>
          </w:tcPr>
          <w:p>
            <w:pPr>
              <w:spacing w:after="40" w:before="40"/>
            </w:pPr>
            <w:r>
              <w:rPr>
                <w:sz w:val="19"/>
              </w:rPr>
              <w:t>**Naive Default Policy ($\tau = 0.50$)**</w:t>
            </w:r>
          </w:p>
        </w:tc>
        <w:tc>
          <w:tcPr>
            <w:tcW w:type="dxa" w:w="1734"/>
            <w:vAlign w:val="center"/>
            <w:shd w:fill="F8FAFC"/>
          </w:tcPr>
          <w:p>
            <w:pPr>
              <w:spacing w:after="40" w:before="40"/>
            </w:pPr>
            <w:r>
              <w:rPr>
                <w:sz w:val="19"/>
              </w:rPr>
              <w:t>\$142.5 Million</w:t>
            </w:r>
          </w:p>
        </w:tc>
        <w:tc>
          <w:tcPr>
            <w:tcW w:type="dxa" w:w="1734"/>
            <w:vAlign w:val="center"/>
            <w:shd w:fill="F8FAFC"/>
          </w:tcPr>
          <w:p>
            <w:pPr>
              <w:spacing w:after="40" w:before="40"/>
            </w:pPr>
            <w:r>
              <w:rPr>
                <w:sz w:val="19"/>
              </w:rPr>
              <w:t>\$370.2 Million</w:t>
            </w:r>
          </w:p>
        </w:tc>
        <w:tc>
          <w:tcPr>
            <w:tcW w:type="dxa" w:w="1734"/>
            <w:vAlign w:val="center"/>
            <w:shd w:fill="F8FAFC"/>
          </w:tcPr>
          <w:p>
            <w:pPr>
              <w:spacing w:after="40" w:before="40"/>
            </w:pPr>
            <w:r>
              <w:rPr>
                <w:sz w:val="19"/>
              </w:rPr>
              <w:t>\$227.7 Million</w:t>
            </w:r>
          </w:p>
        </w:tc>
        <w:tc>
          <w:tcPr>
            <w:tcW w:type="dxa" w:w="1734"/>
            <w:vAlign w:val="center"/>
            <w:shd w:fill="F8FAFC"/>
          </w:tcPr>
          <w:p>
            <w:pPr>
              <w:spacing w:after="40" w:before="40"/>
            </w:pPr>
            <w:r>
              <w:rPr>
                <w:sz w:val="19"/>
              </w:rPr>
              <w:t>Baseline</w:t>
            </w:r>
          </w:p>
        </w:tc>
      </w:tr>
      <w:tr>
        <w:tc>
          <w:tcPr>
            <w:tcW w:type="dxa" w:w="1734"/>
            <w:vAlign w:val="center"/>
          </w:tcPr>
          <w:p>
            <w:pPr>
              <w:spacing w:after="40" w:before="40"/>
            </w:pPr>
            <w:r>
              <w:rPr>
                <w:sz w:val="19"/>
              </w:rPr>
              <w:t>**Calibrated AI Policy ($\tau = 0.36$)**</w:t>
            </w:r>
          </w:p>
        </w:tc>
        <w:tc>
          <w:tcPr>
            <w:tcW w:type="dxa" w:w="1734"/>
            <w:vAlign w:val="center"/>
          </w:tcPr>
          <w:p>
            <w:pPr>
              <w:spacing w:after="40" w:before="40"/>
            </w:pPr>
            <w:r>
              <w:rPr>
                <w:sz w:val="19"/>
              </w:rPr>
              <w:t>**\$64.1 Million**</w:t>
            </w:r>
          </w:p>
        </w:tc>
        <w:tc>
          <w:tcPr>
            <w:tcW w:type="dxa" w:w="1734"/>
            <w:vAlign w:val="center"/>
          </w:tcPr>
          <w:p>
            <w:pPr>
              <w:spacing w:after="40" w:before="40"/>
            </w:pPr>
            <w:r>
              <w:rPr>
                <w:sz w:val="19"/>
              </w:rPr>
              <w:t>**\$448.6 Million**</w:t>
            </w:r>
          </w:p>
        </w:tc>
        <w:tc>
          <w:tcPr>
            <w:tcW w:type="dxa" w:w="1734"/>
            <w:vAlign w:val="center"/>
          </w:tcPr>
          <w:p>
            <w:pPr>
              <w:spacing w:after="40" w:before="40"/>
            </w:pPr>
            <w:r>
              <w:rPr>
                <w:sz w:val="19"/>
              </w:rPr>
              <w:t>**\$384.5 Million**</w:t>
            </w:r>
          </w:p>
        </w:tc>
        <w:tc>
          <w:tcPr>
            <w:tcW w:type="dxa" w:w="1734"/>
            <w:vAlign w:val="center"/>
          </w:tcPr>
          <w:p>
            <w:pPr>
              <w:spacing w:after="40" w:before="40"/>
            </w:pPr>
            <w:r>
              <w:rPr>
                <w:sz w:val="19"/>
              </w:rPr>
              <w:t>**+\$156.8 Million Net Benefit**</w:t>
            </w:r>
          </w:p>
        </w:tc>
      </w:tr>
      <w:tr>
        <w:tc>
          <w:tcPr>
            <w:tcW w:type="dxa" w:w="1734"/>
            <w:vAlign w:val="center"/>
            <w:shd w:fill="F8FAFC"/>
          </w:tcPr>
          <w:p>
            <w:pPr>
              <w:spacing w:after="40" w:before="40"/>
            </w:pPr>
            <w:r>
              <w:rPr>
                <w:sz w:val="19"/>
              </w:rPr>
              <w:t>**Gross Default Loss Reduction**</w:t>
            </w:r>
          </w:p>
        </w:tc>
        <w:tc>
          <w:tcPr>
            <w:tcW w:type="dxa" w:w="1734"/>
            <w:vAlign w:val="center"/>
            <w:shd w:fill="F8FAFC"/>
          </w:tcPr>
          <w:p>
            <w:pPr>
              <w:spacing w:after="40" w:before="40"/>
            </w:pPr>
            <w:r>
              <w:rPr>
                <w:sz w:val="19"/>
              </w:rPr>
              <w:t>**-\$78.4 Million**</w:t>
            </w:r>
          </w:p>
        </w:tc>
        <w:tc>
          <w:tcPr>
            <w:tcW w:type="dxa" w:w="1734"/>
            <w:vAlign w:val="center"/>
            <w:shd w:fill="F8FAFC"/>
          </w:tcPr>
          <w:p>
            <w:pPr>
              <w:spacing w:after="40" w:before="40"/>
            </w:pPr>
            <w:r>
              <w:rPr>
                <w:sz w:val="19"/>
              </w:rPr>
              <w:t>—</w:t>
            </w:r>
          </w:p>
        </w:tc>
        <w:tc>
          <w:tcPr>
            <w:tcW w:type="dxa" w:w="1734"/>
            <w:vAlign w:val="center"/>
            <w:shd w:fill="F8FAFC"/>
          </w:tcPr>
          <w:p>
            <w:pPr>
              <w:spacing w:after="40" w:before="40"/>
            </w:pPr>
            <w:r>
              <w:rPr>
                <w:sz w:val="19"/>
              </w:rPr>
              <w:t>—</w:t>
            </w:r>
          </w:p>
        </w:tc>
        <w:tc>
          <w:tcPr>
            <w:tcW w:type="dxa" w:w="1734"/>
            <w:vAlign w:val="center"/>
            <w:shd w:fill="F8FAFC"/>
          </w:tcPr>
          <w:p>
            <w:pPr>
              <w:spacing w:after="40" w:before="40"/>
            </w:pPr>
            <w:r>
              <w:rPr>
                <w:sz w:val="19"/>
              </w:rPr>
              <w:t>**55% Reduction in Default Losses**</w:t>
            </w:r>
          </w:p>
        </w:tc>
      </w:tr>
    </w:tbl>
    <w:p>
      <w:pPr>
        <w:spacing w:after="80"/>
      </w:pPr>
    </w:p>
    <w:p>
      <w:pPr>
        <w:pStyle w:val="Heading3"/>
        <w:spacing w:before="200" w:after="60"/>
      </w:pPr>
      <w:r>
        <w:rPr>
          <w:rFonts w:ascii="Calibri" w:hAnsi="Calibri"/>
          <w:b/>
          <w:color w:val="334155"/>
          <w:sz w:val="24"/>
        </w:rPr>
        <w:t>11.3 Deployment &amp; Monitoring Recommendations</w:t>
      </w:r>
    </w:p>
    <w:p>
      <w:pPr>
        <w:spacing w:after="100" w:line="276" w:lineRule="auto"/>
      </w:pPr>
      <w:r>
        <w:t xml:space="preserve">1. </w:t>
      </w:r>
      <w:r>
        <w:rPr>
          <w:b/>
        </w:rPr>
        <w:t>Operating Threshold Deployment:</w:t>
      </w:r>
      <w:r>
        <w:t xml:space="preserve"> Deploy the model with decision cutoff locked at </w:t>
      </w:r>
      <w:r>
        <w:rPr>
          <w:b/>
        </w:rPr>
        <w:t>$\tau = 0.36$</w:t>
      </w:r>
      <w:r>
        <w:t>.</w:t>
      </w:r>
    </w:p>
    <w:p>
      <w:pPr>
        <w:spacing w:after="100" w:line="276" w:lineRule="auto"/>
      </w:pPr>
      <w:r>
        <w:t xml:space="preserve">2. </w:t>
      </w:r>
      <w:r>
        <w:rPr>
          <w:b/>
        </w:rPr>
        <w:t>Containerized API Service:</w:t>
      </w:r>
      <w:r>
        <w:t xml:space="preserve"> Package the pipeline within a containerized microservice running FastAPI or Streamlit Cloud, achieving sub-15ms prediction latency.</w:t>
      </w:r>
    </w:p>
    <w:p>
      <w:pPr>
        <w:spacing w:after="100" w:line="276" w:lineRule="auto"/>
      </w:pPr>
      <w:r>
        <w:t xml:space="preserve">3. </w:t>
      </w:r>
      <w:r>
        <w:rPr>
          <w:b/>
        </w:rPr>
        <w:t>Automated Drift Monitoring:</w:t>
      </w:r>
      <w:r>
        <w:t xml:space="preserve"> Implement automated monitoring pipelines tracking Population Stability Index (PSI) monthly. Trigger automated retraining if $\text{PSI} \ge 0.10$ or if default capture in the top three deciles falls below 65%.</w:t>
      </w:r>
    </w:p>
    <w:p>
      <w:pPr>
        <w:spacing w:after="100" w:line="276" w:lineRule="auto"/>
      </w:pPr>
      <w:r>
        <w:t xml:space="preserve">4. </w:t>
      </w:r>
      <w:r>
        <w:rPr>
          <w:b/>
        </w:rPr>
        <w:t>FCRA Adverse Action Integration:</w:t>
      </w:r>
      <w:r>
        <w:t xml:space="preserve"> Maintain a real-time SHAP explainer endpoint to generate regulatory compliance adverse action letters citing the top negative features (e.g., high debt-to-income, excessive interest burden).</w:t>
      </w:r>
    </w:p>
    <w:p>
      <w:r>
        <w:br w:type="page"/>
      </w:r>
    </w:p>
    <w:p>
      <w:pPr>
        <w:pStyle w:val="Heading1"/>
        <w:spacing w:before="280" w:after="100"/>
      </w:pPr>
      <w:r>
        <w:rPr>
          <w:rFonts w:ascii="Calibri" w:hAnsi="Calibri"/>
          <w:b/>
          <w:color w:val="0F172A"/>
          <w:sz w:val="36"/>
        </w:rPr>
        <w:t>Chapter 12: Conclusion &amp; Future Work</w:t>
      </w:r>
    </w:p>
    <w:p>
      <w:pPr>
        <w:pStyle w:val="Heading3"/>
        <w:spacing w:before="200" w:after="60"/>
      </w:pPr>
      <w:r>
        <w:rPr>
          <w:rFonts w:ascii="Calibri" w:hAnsi="Calibri"/>
          <w:b/>
          <w:color w:val="334155"/>
          <w:sz w:val="24"/>
        </w:rPr>
        <w:t>12.1 Summary of Findings</w:t>
      </w:r>
    </w:p>
    <w:p>
      <w:pPr>
        <w:spacing w:after="100" w:line="276" w:lineRule="auto"/>
      </w:pPr>
      <w:r>
        <w:t xml:space="preserve">This research successfully developed, validated, and deployed a production-grade machine learning credit risk engine across 100,000 loan records. The champion LightGBM classifier achieved an exceptional holdout </w:t>
      </w:r>
      <w:r>
        <w:rPr>
          <w:b/>
        </w:rPr>
        <w:t>ROC-AUC of 94.11%</w:t>
      </w:r>
      <w:r>
        <w:t xml:space="preserve"> and a balanced </w:t>
      </w:r>
      <w:r>
        <w:rPr>
          <w:b/>
        </w:rPr>
        <w:t>Accuracy of 86.74%</w:t>
      </w:r>
      <w:r>
        <w:t>, validated through 5-Fold Stratified Cross-Validation (</w:t>
      </w:r>
      <w:r>
        <w:rPr>
          <w:b/>
        </w:rPr>
        <w:t>0.9407 ± 0.0010</w:t>
      </w:r>
      <w:r>
        <w:t xml:space="preserve">). By recalibrating the classification cutoff to </w:t>
      </w:r>
      <w:r>
        <w:rPr>
          <w:b/>
        </w:rPr>
        <w:t>$\tau = 0.36$</w:t>
      </w:r>
      <w:r>
        <w:t xml:space="preserve">, default recall reached </w:t>
      </w:r>
      <w:r>
        <w:rPr>
          <w:b/>
        </w:rPr>
        <w:t>86.50%</w:t>
      </w:r>
      <w:r>
        <w:t xml:space="preserve">, successfully mitigating an estimated </w:t>
      </w:r>
      <w:r>
        <w:rPr>
          <w:b/>
        </w:rPr>
        <w:t>$78.4 Million</w:t>
      </w:r>
      <w:r>
        <w:t xml:space="preserve"> in portfolio credit losses while maintaining an 86.02% acceptance rate on solvent applicants.</w:t>
      </w:r>
    </w:p>
    <w:p>
      <w:pPr>
        <w:pStyle w:val="Heading3"/>
        <w:spacing w:before="200" w:after="60"/>
      </w:pPr>
      <w:r>
        <w:rPr>
          <w:rFonts w:ascii="Calibri" w:hAnsi="Calibri"/>
          <w:b/>
          <w:color w:val="334155"/>
          <w:sz w:val="24"/>
        </w:rPr>
        <w:t>12.2 Limitations</w:t>
      </w:r>
    </w:p>
    <w:p>
      <w:pPr>
        <w:spacing w:after="100" w:line="276" w:lineRule="auto"/>
      </w:pPr>
      <w:r>
        <w:t xml:space="preserve">1. </w:t>
      </w:r>
      <w:r>
        <w:rPr>
          <w:b/>
        </w:rPr>
        <w:t>Macroeconomic Invariance:</w:t>
      </w:r>
      <w:r>
        <w:t xml:space="preserve"> The dataset represents a specific credit cycle. Extreme macroeconomic shocks (e.g., major recessionary crises) may alter baseline default rates.</w:t>
      </w:r>
    </w:p>
    <w:p>
      <w:pPr>
        <w:spacing w:after="100" w:line="276" w:lineRule="auto"/>
      </w:pPr>
      <w:r>
        <w:t xml:space="preserve">2. </w:t>
      </w:r>
      <w:r>
        <w:rPr>
          <w:b/>
        </w:rPr>
        <w:t>Static Snapshot Data:</w:t>
      </w:r>
      <w:r>
        <w:t xml:space="preserve"> The dataset utilizes static origination snapshots rather than longitudinal monthly repayment sequences.</w:t>
      </w:r>
    </w:p>
    <w:p>
      <w:pPr>
        <w:spacing w:after="100" w:line="276" w:lineRule="auto"/>
      </w:pPr>
      <w:r>
        <w:t xml:space="preserve">3. </w:t>
      </w:r>
      <w:r>
        <w:rPr>
          <w:b/>
        </w:rPr>
        <w:t>Synthetic Platform Setting:</w:t>
      </w:r>
      <w:r>
        <w:t xml:space="preserve"> Peer-to-peer origination processes exhibit slight borrower self-selection differences compared to commercial banking branches.</w:t>
      </w:r>
    </w:p>
    <w:p>
      <w:pPr>
        <w:pStyle w:val="Heading3"/>
        <w:spacing w:before="200" w:after="60"/>
      </w:pPr>
      <w:r>
        <w:rPr>
          <w:rFonts w:ascii="Calibri" w:hAnsi="Calibri"/>
          <w:b/>
          <w:color w:val="334155"/>
          <w:sz w:val="24"/>
        </w:rPr>
        <w:t>12.3 Future Improvements</w:t>
      </w:r>
    </w:p>
    <w:p>
      <w:pPr>
        <w:spacing w:after="100" w:line="276" w:lineRule="auto"/>
      </w:pPr>
      <w:r>
        <w:t xml:space="preserve">1. </w:t>
      </w:r>
      <w:r>
        <w:rPr>
          <w:b/>
        </w:rPr>
        <w:t>Alternative Data Integration:</w:t>
      </w:r>
      <w:r>
        <w:t xml:space="preserve"> Incorporate alternative data streams, including utility payment histories and cash-flow banking transaction APIs (open banking Plaid data).</w:t>
      </w:r>
    </w:p>
    <w:p>
      <w:pPr>
        <w:spacing w:after="100" w:line="276" w:lineRule="auto"/>
      </w:pPr>
      <w:r>
        <w:t xml:space="preserve">2. </w:t>
      </w:r>
      <w:r>
        <w:rPr>
          <w:b/>
        </w:rPr>
        <w:t>Sequential Deep Learning:</w:t>
      </w:r>
      <w:r>
        <w:t xml:space="preserve"> Develop recurrent neural network (LSTM/GRU) or temporal transformer architectures to model multi-year payment trajectories.</w:t>
      </w:r>
    </w:p>
    <w:p>
      <w:pPr>
        <w:spacing w:after="100" w:line="276" w:lineRule="auto"/>
      </w:pPr>
      <w:r>
        <w:t xml:space="preserve">3. </w:t>
      </w:r>
      <w:r>
        <w:rPr>
          <w:b/>
        </w:rPr>
        <w:t>Automated MLOps Pipeline:</w:t>
      </w:r>
      <w:r>
        <w:t xml:space="preserve"> Implement automated CI/CD retraining workflows using MLflow and Prometheus for continuous production drift mitigation.</w:t>
      </w:r>
    </w:p>
    <w:p>
      <w:r>
        <w:br w:type="page"/>
      </w:r>
    </w:p>
    <w:p>
      <w:pPr>
        <w:pStyle w:val="Heading1"/>
        <w:spacing w:before="280" w:after="100"/>
      </w:pPr>
      <w:r>
        <w:rPr>
          <w:rFonts w:ascii="Calibri" w:hAnsi="Calibri"/>
          <w:b/>
          <w:color w:val="0F172A"/>
          <w:sz w:val="36"/>
        </w:rPr>
        <w:t>References</w:t>
      </w:r>
    </w:p>
    <w:p>
      <w:pPr>
        <w:spacing w:after="100" w:line="276" w:lineRule="auto"/>
      </w:pPr>
      <w:r>
        <w:t>[1] Lending Club Corporation, “Lending Club Loan Data (2007–2018),” LendingClub Institutional Data Repository, Kaggle Datasets, accessed August 2026.</w:t>
      </w:r>
    </w:p>
    <w:p>
      <w:pPr>
        <w:spacing w:after="100" w:line="276" w:lineRule="auto"/>
      </w:pPr>
      <w:r>
        <w:t>[2] G. Ke, Q. Meng, T. Finley, T. Wang, W. Chen, W. Ma, Q. Ye, and T. Liu, “LightGBM: A highly efficient gradient boosting decision tree,” in *Advances in Neural Information Processing Systems (NeurIPS)*, vol. 30, pp. 3146–3154, 2017.</w:t>
      </w:r>
    </w:p>
    <w:p>
      <w:pPr>
        <w:spacing w:after="100" w:line="276" w:lineRule="auto"/>
      </w:pPr>
      <w:r>
        <w:t>[3] S. M. Lundberg and S.-I. Lee, “A unified approach to interpreting model predictions,” in *Advances in Neural Information Processing Systems (NeurIPS)*, vol. 30, pp. 4765–4774, 2017.</w:t>
      </w:r>
    </w:p>
    <w:p>
      <w:pPr>
        <w:spacing w:after="100" w:line="276" w:lineRule="auto"/>
      </w:pPr>
      <w:r>
        <w:t>[4] T. Chen and C. Guestrin, “XGBoost: A scalable tree boosting system,” in *Proc. 22nd ACM SIGKDD Int. Conf. on Knowledge Discovery and Data Mining*, pp. 785–794, 2016.</w:t>
      </w:r>
    </w:p>
    <w:p>
      <w:pPr>
        <w:spacing w:after="100" w:line="276" w:lineRule="auto"/>
      </w:pPr>
      <w:r>
        <w:t>[5] L. Prokhorenkova, G. Gusev, A. Vorobev, A. V. Dorogush, and A. Gulin, “CatBoost: unbiased boosting with categorical features,” in *Advances in Neural Information Processing Systems (NeurIPS)*, vol. 31, pp. 6638–6648, 2018.</w:t>
      </w:r>
    </w:p>
    <w:p>
      <w:pPr>
        <w:spacing w:after="100" w:line="276" w:lineRule="auto"/>
      </w:pPr>
      <w:r>
        <w:t>[6] F. Pedregosa *et al.*, “Scikit-learn: Machine learning in Python,” *Journal of Machine Learning Research*, vol. 12, pp. 2825–2830, 2011.</w:t>
      </w:r>
    </w:p>
    <w:p>
      <w:pPr>
        <w:spacing w:after="100" w:line="276" w:lineRule="auto"/>
      </w:pPr>
      <w:r>
        <w:t>[7] Board of Governors of the Federal Reserve System, “Report to the Congress on Credit Scoring and Its Effects on the Availability and Affordability of Credit,” Federal Reserve Technical Bulletin, 2017.</w:t>
      </w:r>
    </w:p>
    <w:p>
      <w:pPr>
        <w:spacing w:after="100" w:line="276" w:lineRule="auto"/>
      </w:pPr>
      <w:r>
        <w:t>[8] Consumer Financial Protection Bureau (CFPB), “Fair Credit Reporting Act (FCRA) Examination Procedures,” CFPB Supervision and Examination Manual, 2022.</w:t>
      </w:r>
    </w:p>
    <w:p>
      <w:pPr>
        <w:spacing w:after="100" w:line="276" w:lineRule="auto"/>
      </w:pPr>
      <w:r>
        <w:t>[9] D. J. Hand and R. J. Till, “A simple generalisation of the area under the ROC curve for multiple class classification problems,” *Machine Learning*, vol. 45, no. 2, pp. 171–186, 2001.</w:t>
      </w:r>
    </w:p>
    <w:p>
      <w:pPr>
        <w:spacing w:after="100" w:line="276" w:lineRule="auto"/>
      </w:pPr>
      <w:r>
        <w:t>[10] C. Elkan, “The foundations of cost-sensitive learning,” in *Proc. 17th Int. Joint Conf. on Artificial Intelligence (IJCAI)*, vol. 2, pp. 973–978, 2001.</w:t>
      </w:r>
    </w:p>
    <w:p>
      <w:r>
        <w:br w:type="page"/>
      </w:r>
    </w:p>
    <w:p>
      <w:pPr>
        <w:pStyle w:val="Heading1"/>
        <w:spacing w:before="280" w:after="100"/>
      </w:pPr>
      <w:r>
        <w:rPr>
          <w:rFonts w:ascii="Calibri" w:hAnsi="Calibri"/>
          <w:b/>
          <w:color w:val="0F172A"/>
          <w:sz w:val="36"/>
        </w:rPr>
        <w:t>Appendix</w:t>
      </w:r>
    </w:p>
    <w:p>
      <w:pPr>
        <w:pStyle w:val="Heading3"/>
        <w:spacing w:before="200" w:after="60"/>
      </w:pPr>
      <w:r>
        <w:rPr>
          <w:rFonts w:ascii="Calibri" w:hAnsi="Calibri"/>
          <w:b/>
          <w:color w:val="334155"/>
          <w:sz w:val="24"/>
        </w:rPr>
        <w:t>Appendix A: Full Data Dictionary</w:t>
      </w:r>
    </w:p>
    <w:tbl>
      <w:tblPr>
        <w:tblW w:type="auto" w:w="0"/>
        <w:jc w:val="center"/>
        <w:tblLook w:firstColumn="1" w:firstRow="1" w:lastColumn="0" w:lastRow="0" w:noHBand="0" w:noVBand="1" w:val="04A0"/>
      </w:tblPr>
      <w:tblGrid>
        <w:gridCol w:w="2167"/>
        <w:gridCol w:w="2167"/>
        <w:gridCol w:w="2167"/>
        <w:gridCol w:w="2167"/>
      </w:tblGrid>
      <w:tr>
        <w:tc>
          <w:tcPr>
            <w:tcW w:type="dxa" w:w="2167"/>
            <w:vAlign w:val="center"/>
            <w:shd w:fill="1E293B"/>
          </w:tcPr>
          <w:p>
            <w:pPr>
              <w:spacing w:after="40" w:before="40"/>
            </w:pPr>
            <w:r>
              <w:rPr>
                <w:b/>
                <w:color w:val="FFFFFF"/>
                <w:sz w:val="19"/>
              </w:rPr>
              <w:t>Variable Name</w:t>
            </w:r>
          </w:p>
        </w:tc>
        <w:tc>
          <w:tcPr>
            <w:tcW w:type="dxa" w:w="2167"/>
            <w:vAlign w:val="center"/>
            <w:shd w:fill="1E293B"/>
          </w:tcPr>
          <w:p>
            <w:pPr>
              <w:spacing w:after="40" w:before="40"/>
            </w:pPr>
            <w:r>
              <w:rPr>
                <w:b/>
                <w:color w:val="FFFFFF"/>
                <w:sz w:val="19"/>
              </w:rPr>
              <w:t>Storage Type</w:t>
            </w:r>
          </w:p>
        </w:tc>
        <w:tc>
          <w:tcPr>
            <w:tcW w:type="dxa" w:w="2167"/>
            <w:vAlign w:val="center"/>
            <w:shd w:fill="1E293B"/>
          </w:tcPr>
          <w:p>
            <w:pPr>
              <w:spacing w:after="40" w:before="40"/>
            </w:pPr>
            <w:r>
              <w:rPr>
                <w:b/>
                <w:color w:val="FFFFFF"/>
                <w:sz w:val="19"/>
              </w:rPr>
              <w:t>Domain &amp; Value Range</w:t>
            </w:r>
          </w:p>
        </w:tc>
        <w:tc>
          <w:tcPr>
            <w:tcW w:type="dxa" w:w="2167"/>
            <w:vAlign w:val="center"/>
            <w:shd w:fill="1E293B"/>
          </w:tcPr>
          <w:p>
            <w:pPr>
              <w:spacing w:after="40" w:before="40"/>
            </w:pPr>
            <w:r>
              <w:rPr>
                <w:b/>
                <w:color w:val="FFFFFF"/>
                <w:sz w:val="19"/>
              </w:rPr>
              <w:t>Feature Description</w:t>
            </w:r>
          </w:p>
        </w:tc>
      </w:tr>
      <w:tr>
        <w:tc>
          <w:tcPr>
            <w:tcW w:type="dxa" w:w="2167"/>
            <w:vAlign w:val="center"/>
            <w:shd w:fill="F8FAFC"/>
          </w:tcPr>
          <w:p>
            <w:pPr>
              <w:spacing w:after="40" w:before="40"/>
            </w:pPr>
            <w:r>
              <w:rPr>
                <w:sz w:val="19"/>
              </w:rPr>
              <w:t>`loan_amnt`</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\$1,000 – \$40,000</w:t>
            </w:r>
          </w:p>
        </w:tc>
        <w:tc>
          <w:tcPr>
            <w:tcW w:type="dxa" w:w="2167"/>
            <w:vAlign w:val="center"/>
            <w:shd w:fill="F8FAFC"/>
          </w:tcPr>
          <w:p>
            <w:pPr>
              <w:spacing w:after="40" w:before="40"/>
            </w:pPr>
            <w:r>
              <w:rPr>
                <w:sz w:val="19"/>
              </w:rPr>
              <w:t>The listed amount of the loan applied for by the borrower.</w:t>
            </w:r>
          </w:p>
        </w:tc>
      </w:tr>
      <w:tr>
        <w:tc>
          <w:tcPr>
            <w:tcW w:type="dxa" w:w="2167"/>
            <w:vAlign w:val="center"/>
          </w:tcPr>
          <w:p>
            <w:pPr>
              <w:spacing w:after="40" w:before="40"/>
            </w:pPr>
            <w:r>
              <w:rPr>
                <w:sz w:val="19"/>
              </w:rPr>
              <w:t>`term`</w:t>
            </w:r>
          </w:p>
        </w:tc>
        <w:tc>
          <w:tcPr>
            <w:tcW w:type="dxa" w:w="2167"/>
            <w:vAlign w:val="center"/>
          </w:tcPr>
          <w:p>
            <w:pPr>
              <w:spacing w:after="40" w:before="40"/>
            </w:pPr>
            <w:r>
              <w:rPr>
                <w:sz w:val="19"/>
              </w:rPr>
              <w:t>Categorical</w:t>
            </w:r>
          </w:p>
        </w:tc>
        <w:tc>
          <w:tcPr>
            <w:tcW w:type="dxa" w:w="2167"/>
            <w:vAlign w:val="center"/>
          </w:tcPr>
          <w:p>
            <w:pPr>
              <w:spacing w:after="40" w:before="40"/>
            </w:pPr>
            <w:r>
              <w:rPr>
                <w:sz w:val="19"/>
              </w:rPr>
              <w:t>`36 months`, `60 months`</w:t>
            </w:r>
          </w:p>
        </w:tc>
        <w:tc>
          <w:tcPr>
            <w:tcW w:type="dxa" w:w="2167"/>
            <w:vAlign w:val="center"/>
          </w:tcPr>
          <w:p>
            <w:pPr>
              <w:spacing w:after="40" w:before="40"/>
            </w:pPr>
            <w:r>
              <w:rPr>
                <w:sz w:val="19"/>
              </w:rPr>
              <w:t>Number of scheduled payments on the loan contract.</w:t>
            </w:r>
          </w:p>
        </w:tc>
      </w:tr>
      <w:tr>
        <w:tc>
          <w:tcPr>
            <w:tcW w:type="dxa" w:w="2167"/>
            <w:vAlign w:val="center"/>
            <w:shd w:fill="F8FAFC"/>
          </w:tcPr>
          <w:p>
            <w:pPr>
              <w:spacing w:after="40" w:before="40"/>
            </w:pPr>
            <w:r>
              <w:rPr>
                <w:sz w:val="19"/>
              </w:rPr>
              <w:t>`int_rate`</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5.32% – 30.99%</w:t>
            </w:r>
          </w:p>
        </w:tc>
        <w:tc>
          <w:tcPr>
            <w:tcW w:type="dxa" w:w="2167"/>
            <w:vAlign w:val="center"/>
            <w:shd w:fill="F8FAFC"/>
          </w:tcPr>
          <w:p>
            <w:pPr>
              <w:spacing w:after="40" w:before="40"/>
            </w:pPr>
            <w:r>
              <w:rPr>
                <w:sz w:val="19"/>
              </w:rPr>
              <w:t>Interest Rate on the loan.</w:t>
            </w:r>
          </w:p>
        </w:tc>
      </w:tr>
      <w:tr>
        <w:tc>
          <w:tcPr>
            <w:tcW w:type="dxa" w:w="2167"/>
            <w:vAlign w:val="center"/>
          </w:tcPr>
          <w:p>
            <w:pPr>
              <w:spacing w:after="40" w:before="40"/>
            </w:pPr>
            <w:r>
              <w:rPr>
                <w:sz w:val="19"/>
              </w:rPr>
              <w:t>`installment`</w:t>
            </w:r>
          </w:p>
        </w:tc>
        <w:tc>
          <w:tcPr>
            <w:tcW w:type="dxa" w:w="2167"/>
            <w:vAlign w:val="center"/>
          </w:tcPr>
          <w:p>
            <w:pPr>
              <w:spacing w:after="40" w:before="40"/>
            </w:pPr>
            <w:r>
              <w:rPr>
                <w:sz w:val="19"/>
              </w:rPr>
              <w:t>Float64</w:t>
            </w:r>
          </w:p>
        </w:tc>
        <w:tc>
          <w:tcPr>
            <w:tcW w:type="dxa" w:w="2167"/>
            <w:vAlign w:val="center"/>
          </w:tcPr>
          <w:p>
            <w:pPr>
              <w:spacing w:after="40" w:before="40"/>
            </w:pPr>
            <w:r>
              <w:rPr>
                <w:sz w:val="19"/>
              </w:rPr>
              <w:t>\$30.12 – \$1,566.59</w:t>
            </w:r>
          </w:p>
        </w:tc>
        <w:tc>
          <w:tcPr>
            <w:tcW w:type="dxa" w:w="2167"/>
            <w:vAlign w:val="center"/>
          </w:tcPr>
          <w:p>
            <w:pPr>
              <w:spacing w:after="40" w:before="40"/>
            </w:pPr>
            <w:r>
              <w:rPr>
                <w:sz w:val="19"/>
              </w:rPr>
              <w:t>Monthly payment owed by the borrower if loan funded.</w:t>
            </w:r>
          </w:p>
        </w:tc>
      </w:tr>
      <w:tr>
        <w:tc>
          <w:tcPr>
            <w:tcW w:type="dxa" w:w="2167"/>
            <w:vAlign w:val="center"/>
            <w:shd w:fill="F8FAFC"/>
          </w:tcPr>
          <w:p>
            <w:pPr>
              <w:spacing w:after="40" w:before="40"/>
            </w:pPr>
            <w:r>
              <w:rPr>
                <w:sz w:val="19"/>
              </w:rPr>
              <w:t>`grade`</w:t>
            </w:r>
          </w:p>
        </w:tc>
        <w:tc>
          <w:tcPr>
            <w:tcW w:type="dxa" w:w="2167"/>
            <w:vAlign w:val="center"/>
            <w:shd w:fill="F8FAFC"/>
          </w:tcPr>
          <w:p>
            <w:pPr>
              <w:spacing w:after="40" w:before="40"/>
            </w:pPr>
            <w:r>
              <w:rPr>
                <w:sz w:val="19"/>
              </w:rPr>
              <w:t>Categorical</w:t>
            </w:r>
          </w:p>
        </w:tc>
        <w:tc>
          <w:tcPr>
            <w:tcW w:type="dxa" w:w="2167"/>
            <w:vAlign w:val="center"/>
            <w:shd w:fill="F8FAFC"/>
          </w:tcPr>
          <w:p>
            <w:pPr>
              <w:spacing w:after="40" w:before="40"/>
            </w:pPr>
            <w:r>
              <w:rPr>
                <w:sz w:val="19"/>
              </w:rPr>
              <w:t>`B`, `C`, `D`, `E`, `F`, `G`</w:t>
            </w:r>
          </w:p>
        </w:tc>
        <w:tc>
          <w:tcPr>
            <w:tcW w:type="dxa" w:w="2167"/>
            <w:vAlign w:val="center"/>
            <w:shd w:fill="F8FAFC"/>
          </w:tcPr>
          <w:p>
            <w:pPr>
              <w:spacing w:after="40" w:before="40"/>
            </w:pPr>
            <w:r>
              <w:rPr>
                <w:sz w:val="19"/>
              </w:rPr>
              <w:t>Lending Club assigned loan credit rating grade.</w:t>
            </w:r>
          </w:p>
        </w:tc>
      </w:tr>
      <w:tr>
        <w:tc>
          <w:tcPr>
            <w:tcW w:type="dxa" w:w="2167"/>
            <w:vAlign w:val="center"/>
          </w:tcPr>
          <w:p>
            <w:pPr>
              <w:spacing w:after="40" w:before="40"/>
            </w:pPr>
            <w:r>
              <w:rPr>
                <w:sz w:val="19"/>
              </w:rPr>
              <w:t>`sub_grade`</w:t>
            </w:r>
          </w:p>
        </w:tc>
        <w:tc>
          <w:tcPr>
            <w:tcW w:type="dxa" w:w="2167"/>
            <w:vAlign w:val="center"/>
          </w:tcPr>
          <w:p>
            <w:pPr>
              <w:spacing w:after="40" w:before="40"/>
            </w:pPr>
            <w:r>
              <w:rPr>
                <w:sz w:val="19"/>
              </w:rPr>
              <w:t>Categorical</w:t>
            </w:r>
          </w:p>
        </w:tc>
        <w:tc>
          <w:tcPr>
            <w:tcW w:type="dxa" w:w="2167"/>
            <w:vAlign w:val="center"/>
          </w:tcPr>
          <w:p>
            <w:pPr>
              <w:spacing w:after="40" w:before="40"/>
            </w:pPr>
            <w:r>
              <w:rPr>
                <w:sz w:val="19"/>
              </w:rPr>
              <w:t>`B1` – `G5`</w:t>
            </w:r>
          </w:p>
        </w:tc>
        <w:tc>
          <w:tcPr>
            <w:tcW w:type="dxa" w:w="2167"/>
            <w:vAlign w:val="center"/>
          </w:tcPr>
          <w:p>
            <w:pPr>
              <w:spacing w:after="40" w:before="40"/>
            </w:pPr>
            <w:r>
              <w:rPr>
                <w:sz w:val="19"/>
              </w:rPr>
              <w:t>Lending Club assigned loan sub-grade risk rating.</w:t>
            </w:r>
          </w:p>
        </w:tc>
      </w:tr>
      <w:tr>
        <w:tc>
          <w:tcPr>
            <w:tcW w:type="dxa" w:w="2167"/>
            <w:vAlign w:val="center"/>
            <w:shd w:fill="F8FAFC"/>
          </w:tcPr>
          <w:p>
            <w:pPr>
              <w:spacing w:after="40" w:before="40"/>
            </w:pPr>
            <w:r>
              <w:rPr>
                <w:sz w:val="19"/>
              </w:rPr>
              <w:t>`emp_length`</w:t>
            </w:r>
          </w:p>
        </w:tc>
        <w:tc>
          <w:tcPr>
            <w:tcW w:type="dxa" w:w="2167"/>
            <w:vAlign w:val="center"/>
            <w:shd w:fill="F8FAFC"/>
          </w:tcPr>
          <w:p>
            <w:pPr>
              <w:spacing w:after="40" w:before="40"/>
            </w:pPr>
            <w:r>
              <w:rPr>
                <w:sz w:val="19"/>
              </w:rPr>
              <w:t>Categorical</w:t>
            </w:r>
          </w:p>
        </w:tc>
        <w:tc>
          <w:tcPr>
            <w:tcW w:type="dxa" w:w="2167"/>
            <w:vAlign w:val="center"/>
            <w:shd w:fill="F8FAFC"/>
          </w:tcPr>
          <w:p>
            <w:pPr>
              <w:spacing w:after="40" w:before="40"/>
            </w:pPr>
            <w:r>
              <w:rPr>
                <w:sz w:val="19"/>
              </w:rPr>
              <w:t>`&lt; 1 year` to `10+ years`</w:t>
            </w:r>
          </w:p>
        </w:tc>
        <w:tc>
          <w:tcPr>
            <w:tcW w:type="dxa" w:w="2167"/>
            <w:vAlign w:val="center"/>
            <w:shd w:fill="F8FAFC"/>
          </w:tcPr>
          <w:p>
            <w:pPr>
              <w:spacing w:after="40" w:before="40"/>
            </w:pPr>
            <w:r>
              <w:rPr>
                <w:sz w:val="19"/>
              </w:rPr>
              <w:t>Employment duration in years (self-reported).</w:t>
            </w:r>
          </w:p>
        </w:tc>
      </w:tr>
      <w:tr>
        <w:tc>
          <w:tcPr>
            <w:tcW w:type="dxa" w:w="2167"/>
            <w:vAlign w:val="center"/>
          </w:tcPr>
          <w:p>
            <w:pPr>
              <w:spacing w:after="40" w:before="40"/>
            </w:pPr>
            <w:r>
              <w:rPr>
                <w:sz w:val="19"/>
              </w:rPr>
              <w:t>`home_ownership`</w:t>
            </w:r>
          </w:p>
        </w:tc>
        <w:tc>
          <w:tcPr>
            <w:tcW w:type="dxa" w:w="2167"/>
            <w:vAlign w:val="center"/>
          </w:tcPr>
          <w:p>
            <w:pPr>
              <w:spacing w:after="40" w:before="40"/>
            </w:pPr>
            <w:r>
              <w:rPr>
                <w:sz w:val="19"/>
              </w:rPr>
              <w:t>Categorical</w:t>
            </w:r>
          </w:p>
        </w:tc>
        <w:tc>
          <w:tcPr>
            <w:tcW w:type="dxa" w:w="2167"/>
            <w:vAlign w:val="center"/>
          </w:tcPr>
          <w:p>
            <w:pPr>
              <w:spacing w:after="40" w:before="40"/>
            </w:pPr>
            <w:r>
              <w:rPr>
                <w:sz w:val="19"/>
              </w:rPr>
              <w:t>`MORTGAGE`, `RENT`, `OWN`, `OTHER`</w:t>
            </w:r>
          </w:p>
        </w:tc>
        <w:tc>
          <w:tcPr>
            <w:tcW w:type="dxa" w:w="2167"/>
            <w:vAlign w:val="center"/>
          </w:tcPr>
          <w:p>
            <w:pPr>
              <w:spacing w:after="40" w:before="40"/>
            </w:pPr>
            <w:r>
              <w:rPr>
                <w:sz w:val="19"/>
              </w:rPr>
              <w:t>Home ownership status provided by borrower.</w:t>
            </w:r>
          </w:p>
        </w:tc>
      </w:tr>
      <w:tr>
        <w:tc>
          <w:tcPr>
            <w:tcW w:type="dxa" w:w="2167"/>
            <w:vAlign w:val="center"/>
            <w:shd w:fill="F8FAFC"/>
          </w:tcPr>
          <w:p>
            <w:pPr>
              <w:spacing w:after="40" w:before="40"/>
            </w:pPr>
            <w:r>
              <w:rPr>
                <w:sz w:val="19"/>
              </w:rPr>
              <w:t>`annual_inc`</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\$10,000 – \$500,000</w:t>
            </w:r>
          </w:p>
        </w:tc>
        <w:tc>
          <w:tcPr>
            <w:tcW w:type="dxa" w:w="2167"/>
            <w:vAlign w:val="center"/>
            <w:shd w:fill="F8FAFC"/>
          </w:tcPr>
          <w:p>
            <w:pPr>
              <w:spacing w:after="40" w:before="40"/>
            </w:pPr>
            <w:r>
              <w:rPr>
                <w:sz w:val="19"/>
              </w:rPr>
              <w:t>Self-reported annual income verified during underwriting.</w:t>
            </w:r>
          </w:p>
        </w:tc>
      </w:tr>
      <w:tr>
        <w:tc>
          <w:tcPr>
            <w:tcW w:type="dxa" w:w="2167"/>
            <w:vAlign w:val="center"/>
          </w:tcPr>
          <w:p>
            <w:pPr>
              <w:spacing w:after="40" w:before="40"/>
            </w:pPr>
            <w:r>
              <w:rPr>
                <w:sz w:val="19"/>
              </w:rPr>
              <w:t>`verification_status`</w:t>
            </w:r>
          </w:p>
        </w:tc>
        <w:tc>
          <w:tcPr>
            <w:tcW w:type="dxa" w:w="2167"/>
            <w:vAlign w:val="center"/>
          </w:tcPr>
          <w:p>
            <w:pPr>
              <w:spacing w:after="40" w:before="40"/>
            </w:pPr>
            <w:r>
              <w:rPr>
                <w:sz w:val="19"/>
              </w:rPr>
              <w:t>Categorical</w:t>
            </w:r>
          </w:p>
        </w:tc>
        <w:tc>
          <w:tcPr>
            <w:tcW w:type="dxa" w:w="2167"/>
            <w:vAlign w:val="center"/>
          </w:tcPr>
          <w:p>
            <w:pPr>
              <w:spacing w:after="40" w:before="40"/>
            </w:pPr>
            <w:r>
              <w:rPr>
                <w:sz w:val="19"/>
              </w:rPr>
              <w:t>`Verified`, `Source Verified`, `Not`</w:t>
            </w:r>
          </w:p>
        </w:tc>
        <w:tc>
          <w:tcPr>
            <w:tcW w:type="dxa" w:w="2167"/>
            <w:vAlign w:val="center"/>
          </w:tcPr>
          <w:p>
            <w:pPr>
              <w:spacing w:after="40" w:before="40"/>
            </w:pPr>
            <w:r>
              <w:rPr>
                <w:sz w:val="19"/>
              </w:rPr>
              <w:t>Indicates if borrower income source was verified by LC.</w:t>
            </w:r>
          </w:p>
        </w:tc>
      </w:tr>
      <w:tr>
        <w:tc>
          <w:tcPr>
            <w:tcW w:type="dxa" w:w="2167"/>
            <w:vAlign w:val="center"/>
            <w:shd w:fill="F8FAFC"/>
          </w:tcPr>
          <w:p>
            <w:pPr>
              <w:spacing w:after="40" w:before="40"/>
            </w:pPr>
            <w:r>
              <w:rPr>
                <w:sz w:val="19"/>
              </w:rPr>
              <w:t>`purpose`</w:t>
            </w:r>
          </w:p>
        </w:tc>
        <w:tc>
          <w:tcPr>
            <w:tcW w:type="dxa" w:w="2167"/>
            <w:vAlign w:val="center"/>
            <w:shd w:fill="F8FAFC"/>
          </w:tcPr>
          <w:p>
            <w:pPr>
              <w:spacing w:after="40" w:before="40"/>
            </w:pPr>
            <w:r>
              <w:rPr>
                <w:sz w:val="19"/>
              </w:rPr>
              <w:t>Categorical</w:t>
            </w:r>
          </w:p>
        </w:tc>
        <w:tc>
          <w:tcPr>
            <w:tcW w:type="dxa" w:w="2167"/>
            <w:vAlign w:val="center"/>
            <w:shd w:fill="F8FAFC"/>
          </w:tcPr>
          <w:p>
            <w:pPr>
              <w:spacing w:after="40" w:before="40"/>
            </w:pPr>
            <w:r>
              <w:rPr>
                <w:sz w:val="19"/>
              </w:rPr>
              <w:t>7 commercial categories</w:t>
            </w:r>
          </w:p>
        </w:tc>
        <w:tc>
          <w:tcPr>
            <w:tcW w:type="dxa" w:w="2167"/>
            <w:vAlign w:val="center"/>
            <w:shd w:fill="F8FAFC"/>
          </w:tcPr>
          <w:p>
            <w:pPr>
              <w:spacing w:after="40" w:before="40"/>
            </w:pPr>
            <w:r>
              <w:rPr>
                <w:sz w:val="19"/>
              </w:rPr>
              <w:t>Category provided by borrower for loan request.</w:t>
            </w:r>
          </w:p>
        </w:tc>
      </w:tr>
      <w:tr>
        <w:tc>
          <w:tcPr>
            <w:tcW w:type="dxa" w:w="2167"/>
            <w:vAlign w:val="center"/>
          </w:tcPr>
          <w:p>
            <w:pPr>
              <w:spacing w:after="40" w:before="40"/>
            </w:pPr>
            <w:r>
              <w:rPr>
                <w:sz w:val="19"/>
              </w:rPr>
              <w:t>`dti`</w:t>
            </w:r>
          </w:p>
        </w:tc>
        <w:tc>
          <w:tcPr>
            <w:tcW w:type="dxa" w:w="2167"/>
            <w:vAlign w:val="center"/>
          </w:tcPr>
          <w:p>
            <w:pPr>
              <w:spacing w:after="40" w:before="40"/>
            </w:pPr>
            <w:r>
              <w:rPr>
                <w:sz w:val="19"/>
              </w:rPr>
              <w:t>Float64</w:t>
            </w:r>
          </w:p>
        </w:tc>
        <w:tc>
          <w:tcPr>
            <w:tcW w:type="dxa" w:w="2167"/>
            <w:vAlign w:val="center"/>
          </w:tcPr>
          <w:p>
            <w:pPr>
              <w:spacing w:after="40" w:before="40"/>
            </w:pPr>
            <w:r>
              <w:rPr>
                <w:sz w:val="19"/>
              </w:rPr>
              <w:t>0.00% – 45.00%</w:t>
            </w:r>
          </w:p>
        </w:tc>
        <w:tc>
          <w:tcPr>
            <w:tcW w:type="dxa" w:w="2167"/>
            <w:vAlign w:val="center"/>
          </w:tcPr>
          <w:p>
            <w:pPr>
              <w:spacing w:after="40" w:before="40"/>
            </w:pPr>
            <w:r>
              <w:rPr>
                <w:sz w:val="19"/>
              </w:rPr>
              <w:t>Debt-to-income ratio calculated using monthly debt obligations.</w:t>
            </w:r>
          </w:p>
        </w:tc>
      </w:tr>
      <w:tr>
        <w:tc>
          <w:tcPr>
            <w:tcW w:type="dxa" w:w="2167"/>
            <w:vAlign w:val="center"/>
            <w:shd w:fill="F8FAFC"/>
          </w:tcPr>
          <w:p>
            <w:pPr>
              <w:spacing w:after="40" w:before="40"/>
            </w:pPr>
            <w:r>
              <w:rPr>
                <w:sz w:val="19"/>
              </w:rPr>
              <w:t>`delinq_2yrs`</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0 – 12 incidents</w:t>
            </w:r>
          </w:p>
        </w:tc>
        <w:tc>
          <w:tcPr>
            <w:tcW w:type="dxa" w:w="2167"/>
            <w:vAlign w:val="center"/>
            <w:shd w:fill="F8FAFC"/>
          </w:tcPr>
          <w:p>
            <w:pPr>
              <w:spacing w:after="40" w:before="40"/>
            </w:pPr>
            <w:r>
              <w:rPr>
                <w:sz w:val="19"/>
              </w:rPr>
              <w:t>Past-due delinquency incidences of 30+ days in last 2 years.</w:t>
            </w:r>
          </w:p>
        </w:tc>
      </w:tr>
      <w:tr>
        <w:tc>
          <w:tcPr>
            <w:tcW w:type="dxa" w:w="2167"/>
            <w:vAlign w:val="center"/>
          </w:tcPr>
          <w:p>
            <w:pPr>
              <w:spacing w:after="40" w:before="40"/>
            </w:pPr>
            <w:r>
              <w:rPr>
                <w:sz w:val="19"/>
              </w:rPr>
              <w:t>`fico_range_low`</w:t>
            </w:r>
          </w:p>
        </w:tc>
        <w:tc>
          <w:tcPr>
            <w:tcW w:type="dxa" w:w="2167"/>
            <w:vAlign w:val="center"/>
          </w:tcPr>
          <w:p>
            <w:pPr>
              <w:spacing w:after="40" w:before="40"/>
            </w:pPr>
            <w:r>
              <w:rPr>
                <w:sz w:val="19"/>
              </w:rPr>
              <w:t>Float64</w:t>
            </w:r>
          </w:p>
        </w:tc>
        <w:tc>
          <w:tcPr>
            <w:tcW w:type="dxa" w:w="2167"/>
            <w:vAlign w:val="center"/>
          </w:tcPr>
          <w:p>
            <w:pPr>
              <w:spacing w:after="40" w:before="40"/>
            </w:pPr>
            <w:r>
              <w:rPr>
                <w:sz w:val="19"/>
              </w:rPr>
              <w:t>620 – 845</w:t>
            </w:r>
          </w:p>
        </w:tc>
        <w:tc>
          <w:tcPr>
            <w:tcW w:type="dxa" w:w="2167"/>
            <w:vAlign w:val="center"/>
          </w:tcPr>
          <w:p>
            <w:pPr>
              <w:spacing w:after="40" w:before="40"/>
            </w:pPr>
            <w:r>
              <w:rPr>
                <w:sz w:val="19"/>
              </w:rPr>
              <w:t>Lower boundary of borrower FICO score range at origination.</w:t>
            </w:r>
          </w:p>
        </w:tc>
      </w:tr>
      <w:tr>
        <w:tc>
          <w:tcPr>
            <w:tcW w:type="dxa" w:w="2167"/>
            <w:vAlign w:val="center"/>
            <w:shd w:fill="F8FAFC"/>
          </w:tcPr>
          <w:p>
            <w:pPr>
              <w:spacing w:after="40" w:before="40"/>
            </w:pPr>
            <w:r>
              <w:rPr>
                <w:sz w:val="19"/>
              </w:rPr>
              <w:t>`fico_range_high`</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624 – 850</w:t>
            </w:r>
          </w:p>
        </w:tc>
        <w:tc>
          <w:tcPr>
            <w:tcW w:type="dxa" w:w="2167"/>
            <w:vAlign w:val="center"/>
            <w:shd w:fill="F8FAFC"/>
          </w:tcPr>
          <w:p>
            <w:pPr>
              <w:spacing w:after="40" w:before="40"/>
            </w:pPr>
            <w:r>
              <w:rPr>
                <w:sz w:val="19"/>
              </w:rPr>
              <w:t>Upper boundary of borrower FICO score range at origination.</w:t>
            </w:r>
          </w:p>
        </w:tc>
      </w:tr>
      <w:tr>
        <w:tc>
          <w:tcPr>
            <w:tcW w:type="dxa" w:w="2167"/>
            <w:vAlign w:val="center"/>
          </w:tcPr>
          <w:p>
            <w:pPr>
              <w:spacing w:after="40" w:before="40"/>
            </w:pPr>
            <w:r>
              <w:rPr>
                <w:sz w:val="19"/>
              </w:rPr>
              <w:t>`inq_last_6mths`</w:t>
            </w:r>
          </w:p>
        </w:tc>
        <w:tc>
          <w:tcPr>
            <w:tcW w:type="dxa" w:w="2167"/>
            <w:vAlign w:val="center"/>
          </w:tcPr>
          <w:p>
            <w:pPr>
              <w:spacing w:after="40" w:before="40"/>
            </w:pPr>
            <w:r>
              <w:rPr>
                <w:sz w:val="19"/>
              </w:rPr>
              <w:t>Float64</w:t>
            </w:r>
          </w:p>
        </w:tc>
        <w:tc>
          <w:tcPr>
            <w:tcW w:type="dxa" w:w="2167"/>
            <w:vAlign w:val="center"/>
          </w:tcPr>
          <w:p>
            <w:pPr>
              <w:spacing w:after="40" w:before="40"/>
            </w:pPr>
            <w:r>
              <w:rPr>
                <w:sz w:val="19"/>
              </w:rPr>
              <w:t>0 – 6 credit inquiries</w:t>
            </w:r>
          </w:p>
        </w:tc>
        <w:tc>
          <w:tcPr>
            <w:tcW w:type="dxa" w:w="2167"/>
            <w:vAlign w:val="center"/>
          </w:tcPr>
          <w:p>
            <w:pPr>
              <w:spacing w:after="40" w:before="40"/>
            </w:pPr>
            <w:r>
              <w:rPr>
                <w:sz w:val="19"/>
              </w:rPr>
              <w:t>Hard inquiries in past 6 months (excluding auto/mortgage).</w:t>
            </w:r>
          </w:p>
        </w:tc>
      </w:tr>
      <w:tr>
        <w:tc>
          <w:tcPr>
            <w:tcW w:type="dxa" w:w="2167"/>
            <w:vAlign w:val="center"/>
            <w:shd w:fill="F8FAFC"/>
          </w:tcPr>
          <w:p>
            <w:pPr>
              <w:spacing w:after="40" w:before="40"/>
            </w:pPr>
            <w:r>
              <w:rPr>
                <w:sz w:val="19"/>
              </w:rPr>
              <w:t>`open_acc`</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2 – 45 credit lines</w:t>
            </w:r>
          </w:p>
        </w:tc>
        <w:tc>
          <w:tcPr>
            <w:tcW w:type="dxa" w:w="2167"/>
            <w:vAlign w:val="center"/>
            <w:shd w:fill="F8FAFC"/>
          </w:tcPr>
          <w:p>
            <w:pPr>
              <w:spacing w:after="40" w:before="40"/>
            </w:pPr>
            <w:r>
              <w:rPr>
                <w:sz w:val="19"/>
              </w:rPr>
              <w:t>Number of open credit lines in borrower credit file.</w:t>
            </w:r>
          </w:p>
        </w:tc>
      </w:tr>
      <w:tr>
        <w:tc>
          <w:tcPr>
            <w:tcW w:type="dxa" w:w="2167"/>
            <w:vAlign w:val="center"/>
          </w:tcPr>
          <w:p>
            <w:pPr>
              <w:spacing w:after="40" w:before="40"/>
            </w:pPr>
            <w:r>
              <w:rPr>
                <w:sz w:val="19"/>
              </w:rPr>
              <w:t>`pub_rec`</w:t>
            </w:r>
          </w:p>
        </w:tc>
        <w:tc>
          <w:tcPr>
            <w:tcW w:type="dxa" w:w="2167"/>
            <w:vAlign w:val="center"/>
          </w:tcPr>
          <w:p>
            <w:pPr>
              <w:spacing w:after="40" w:before="40"/>
            </w:pPr>
            <w:r>
              <w:rPr>
                <w:sz w:val="19"/>
              </w:rPr>
              <w:t>Float64</w:t>
            </w:r>
          </w:p>
        </w:tc>
        <w:tc>
          <w:tcPr>
            <w:tcW w:type="dxa" w:w="2167"/>
            <w:vAlign w:val="center"/>
          </w:tcPr>
          <w:p>
            <w:pPr>
              <w:spacing w:after="40" w:before="40"/>
            </w:pPr>
            <w:r>
              <w:rPr>
                <w:sz w:val="19"/>
              </w:rPr>
              <w:t>0 – 8 legal records</w:t>
            </w:r>
          </w:p>
        </w:tc>
        <w:tc>
          <w:tcPr>
            <w:tcW w:type="dxa" w:w="2167"/>
            <w:vAlign w:val="center"/>
          </w:tcPr>
          <w:p>
            <w:pPr>
              <w:spacing w:after="40" w:before="40"/>
            </w:pPr>
            <w:r>
              <w:rPr>
                <w:sz w:val="19"/>
              </w:rPr>
              <w:t>Number of derogatory public records on file.</w:t>
            </w:r>
          </w:p>
        </w:tc>
      </w:tr>
      <w:tr>
        <w:tc>
          <w:tcPr>
            <w:tcW w:type="dxa" w:w="2167"/>
            <w:vAlign w:val="center"/>
            <w:shd w:fill="F8FAFC"/>
          </w:tcPr>
          <w:p>
            <w:pPr>
              <w:spacing w:after="40" w:before="40"/>
            </w:pPr>
            <w:r>
              <w:rPr>
                <w:sz w:val="19"/>
              </w:rPr>
              <w:t>`revol_bal`</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\$0 – \$180,000</w:t>
            </w:r>
          </w:p>
        </w:tc>
        <w:tc>
          <w:tcPr>
            <w:tcW w:type="dxa" w:w="2167"/>
            <w:vAlign w:val="center"/>
            <w:shd w:fill="F8FAFC"/>
          </w:tcPr>
          <w:p>
            <w:pPr>
              <w:spacing w:after="40" w:before="40"/>
            </w:pPr>
            <w:r>
              <w:rPr>
                <w:sz w:val="19"/>
              </w:rPr>
              <w:t>Total credit revolving balance across open accounts.</w:t>
            </w:r>
          </w:p>
        </w:tc>
      </w:tr>
      <w:tr>
        <w:tc>
          <w:tcPr>
            <w:tcW w:type="dxa" w:w="2167"/>
            <w:vAlign w:val="center"/>
          </w:tcPr>
          <w:p>
            <w:pPr>
              <w:spacing w:after="40" w:before="40"/>
            </w:pPr>
            <w:r>
              <w:rPr>
                <w:sz w:val="19"/>
              </w:rPr>
              <w:t>`revol_util`</w:t>
            </w:r>
          </w:p>
        </w:tc>
        <w:tc>
          <w:tcPr>
            <w:tcW w:type="dxa" w:w="2167"/>
            <w:vAlign w:val="center"/>
          </w:tcPr>
          <w:p>
            <w:pPr>
              <w:spacing w:after="40" w:before="40"/>
            </w:pPr>
            <w:r>
              <w:rPr>
                <w:sz w:val="19"/>
              </w:rPr>
              <w:t>Float64</w:t>
            </w:r>
          </w:p>
        </w:tc>
        <w:tc>
          <w:tcPr>
            <w:tcW w:type="dxa" w:w="2167"/>
            <w:vAlign w:val="center"/>
          </w:tcPr>
          <w:p>
            <w:pPr>
              <w:spacing w:after="40" w:before="40"/>
            </w:pPr>
            <w:r>
              <w:rPr>
                <w:sz w:val="19"/>
              </w:rPr>
              <w:t>0.0% – 110.0%</w:t>
            </w:r>
          </w:p>
        </w:tc>
        <w:tc>
          <w:tcPr>
            <w:tcW w:type="dxa" w:w="2167"/>
            <w:vAlign w:val="center"/>
          </w:tcPr>
          <w:p>
            <w:pPr>
              <w:spacing w:after="40" w:before="40"/>
            </w:pPr>
            <w:r>
              <w:rPr>
                <w:sz w:val="19"/>
              </w:rPr>
              <w:t>Revolving line utilization rate (credit used vs limit).</w:t>
            </w:r>
          </w:p>
        </w:tc>
      </w:tr>
      <w:tr>
        <w:tc>
          <w:tcPr>
            <w:tcW w:type="dxa" w:w="2167"/>
            <w:vAlign w:val="center"/>
            <w:shd w:fill="F8FAFC"/>
          </w:tcPr>
          <w:p>
            <w:pPr>
              <w:spacing w:after="40" w:before="40"/>
            </w:pPr>
            <w:r>
              <w:rPr>
                <w:sz w:val="19"/>
              </w:rPr>
              <w:t>`total_acc`</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4 – 85 credit lines</w:t>
            </w:r>
          </w:p>
        </w:tc>
        <w:tc>
          <w:tcPr>
            <w:tcW w:type="dxa" w:w="2167"/>
            <w:vAlign w:val="center"/>
            <w:shd w:fill="F8FAFC"/>
          </w:tcPr>
          <w:p>
            <w:pPr>
              <w:spacing w:after="40" w:before="40"/>
            </w:pPr>
            <w:r>
              <w:rPr>
                <w:sz w:val="19"/>
              </w:rPr>
              <w:t>Total number of credit lines currently in borrower file.</w:t>
            </w:r>
          </w:p>
        </w:tc>
      </w:tr>
      <w:tr>
        <w:tc>
          <w:tcPr>
            <w:tcW w:type="dxa" w:w="2167"/>
            <w:vAlign w:val="center"/>
          </w:tcPr>
          <w:p>
            <w:pPr>
              <w:spacing w:after="40" w:before="40"/>
            </w:pPr>
            <w:r>
              <w:rPr>
                <w:sz w:val="19"/>
              </w:rPr>
              <w:t>`mort_acc`</w:t>
            </w:r>
          </w:p>
        </w:tc>
        <w:tc>
          <w:tcPr>
            <w:tcW w:type="dxa" w:w="2167"/>
            <w:vAlign w:val="center"/>
          </w:tcPr>
          <w:p>
            <w:pPr>
              <w:spacing w:after="40" w:before="40"/>
            </w:pPr>
            <w:r>
              <w:rPr>
                <w:sz w:val="19"/>
              </w:rPr>
              <w:t>Float64</w:t>
            </w:r>
          </w:p>
        </w:tc>
        <w:tc>
          <w:tcPr>
            <w:tcW w:type="dxa" w:w="2167"/>
            <w:vAlign w:val="center"/>
          </w:tcPr>
          <w:p>
            <w:pPr>
              <w:spacing w:after="40" w:before="40"/>
            </w:pPr>
            <w:r>
              <w:rPr>
                <w:sz w:val="19"/>
              </w:rPr>
              <w:t>0 – 14 mortgages</w:t>
            </w:r>
          </w:p>
        </w:tc>
        <w:tc>
          <w:tcPr>
            <w:tcW w:type="dxa" w:w="2167"/>
            <w:vAlign w:val="center"/>
          </w:tcPr>
          <w:p>
            <w:pPr>
              <w:spacing w:after="40" w:before="40"/>
            </w:pPr>
            <w:r>
              <w:rPr>
                <w:sz w:val="19"/>
              </w:rPr>
              <w:t>Number of mortgage accounts recorded on bureau file.</w:t>
            </w:r>
          </w:p>
        </w:tc>
      </w:tr>
      <w:tr>
        <w:tc>
          <w:tcPr>
            <w:tcW w:type="dxa" w:w="2167"/>
            <w:vAlign w:val="center"/>
            <w:shd w:fill="F8FAFC"/>
          </w:tcPr>
          <w:p>
            <w:pPr>
              <w:spacing w:after="40" w:before="40"/>
            </w:pPr>
            <w:r>
              <w:rPr>
                <w:sz w:val="19"/>
              </w:rPr>
              <w:t>`pub_rec_bankruptcies`</w:t>
            </w:r>
          </w:p>
        </w:tc>
        <w:tc>
          <w:tcPr>
            <w:tcW w:type="dxa" w:w="2167"/>
            <w:vAlign w:val="center"/>
            <w:shd w:fill="F8FAFC"/>
          </w:tcPr>
          <w:p>
            <w:pPr>
              <w:spacing w:after="40" w:before="40"/>
            </w:pPr>
            <w:r>
              <w:rPr>
                <w:sz w:val="19"/>
              </w:rPr>
              <w:t>Float64</w:t>
            </w:r>
          </w:p>
        </w:tc>
        <w:tc>
          <w:tcPr>
            <w:tcW w:type="dxa" w:w="2167"/>
            <w:vAlign w:val="center"/>
            <w:shd w:fill="F8FAFC"/>
          </w:tcPr>
          <w:p>
            <w:pPr>
              <w:spacing w:after="40" w:before="40"/>
            </w:pPr>
            <w:r>
              <w:rPr>
                <w:sz w:val="19"/>
              </w:rPr>
              <w:t>0 – 4 bankruptcies</w:t>
            </w:r>
          </w:p>
        </w:tc>
        <w:tc>
          <w:tcPr>
            <w:tcW w:type="dxa" w:w="2167"/>
            <w:vAlign w:val="center"/>
            <w:shd w:fill="F8FAFC"/>
          </w:tcPr>
          <w:p>
            <w:pPr>
              <w:spacing w:after="40" w:before="40"/>
            </w:pPr>
            <w:r>
              <w:rPr>
                <w:sz w:val="19"/>
              </w:rPr>
              <w:t>Number of personal bankruptcies recorded on public records.</w:t>
            </w:r>
          </w:p>
        </w:tc>
      </w:tr>
      <w:tr>
        <w:tc>
          <w:tcPr>
            <w:tcW w:type="dxa" w:w="2167"/>
            <w:vAlign w:val="center"/>
          </w:tcPr>
          <w:p>
            <w:pPr>
              <w:spacing w:after="40" w:before="40"/>
            </w:pPr>
            <w:r>
              <w:rPr>
                <w:sz w:val="19"/>
              </w:rPr>
              <w:t>`cred_hist_years`</w:t>
            </w:r>
          </w:p>
        </w:tc>
        <w:tc>
          <w:tcPr>
            <w:tcW w:type="dxa" w:w="2167"/>
            <w:vAlign w:val="center"/>
          </w:tcPr>
          <w:p>
            <w:pPr>
              <w:spacing w:after="40" w:before="40"/>
            </w:pPr>
            <w:r>
              <w:rPr>
                <w:sz w:val="19"/>
              </w:rPr>
              <w:t>Float64</w:t>
            </w:r>
          </w:p>
        </w:tc>
        <w:tc>
          <w:tcPr>
            <w:tcW w:type="dxa" w:w="2167"/>
            <w:vAlign w:val="center"/>
          </w:tcPr>
          <w:p>
            <w:pPr>
              <w:spacing w:after="40" w:before="40"/>
            </w:pPr>
            <w:r>
              <w:rPr>
                <w:sz w:val="19"/>
              </w:rPr>
              <w:t>3.0 – 45.0 years</w:t>
            </w:r>
          </w:p>
        </w:tc>
        <w:tc>
          <w:tcPr>
            <w:tcW w:type="dxa" w:w="2167"/>
            <w:vAlign w:val="center"/>
          </w:tcPr>
          <w:p>
            <w:pPr>
              <w:spacing w:after="40" w:before="40"/>
            </w:pPr>
            <w:r>
              <w:rPr>
                <w:sz w:val="19"/>
              </w:rPr>
              <w:t>Difference between earliest credit line and origination year.</w:t>
            </w:r>
          </w:p>
        </w:tc>
      </w:tr>
      <w:tr>
        <w:tc>
          <w:tcPr>
            <w:tcW w:type="dxa" w:w="2167"/>
            <w:vAlign w:val="center"/>
            <w:shd w:fill="F8FAFC"/>
          </w:tcPr>
          <w:p>
            <w:pPr>
              <w:spacing w:after="40" w:before="40"/>
            </w:pPr>
            <w:r>
              <w:rPr>
                <w:sz w:val="19"/>
              </w:rPr>
              <w:t>`application_type`</w:t>
            </w:r>
          </w:p>
        </w:tc>
        <w:tc>
          <w:tcPr>
            <w:tcW w:type="dxa" w:w="2167"/>
            <w:vAlign w:val="center"/>
            <w:shd w:fill="F8FAFC"/>
          </w:tcPr>
          <w:p>
            <w:pPr>
              <w:spacing w:after="40" w:before="40"/>
            </w:pPr>
            <w:r>
              <w:rPr>
                <w:sz w:val="19"/>
              </w:rPr>
              <w:t>Categorical</w:t>
            </w:r>
          </w:p>
        </w:tc>
        <w:tc>
          <w:tcPr>
            <w:tcW w:type="dxa" w:w="2167"/>
            <w:vAlign w:val="center"/>
            <w:shd w:fill="F8FAFC"/>
          </w:tcPr>
          <w:p>
            <w:pPr>
              <w:spacing w:after="40" w:before="40"/>
            </w:pPr>
            <w:r>
              <w:rPr>
                <w:sz w:val="19"/>
              </w:rPr>
              <w:t>`Individual`</w:t>
            </w:r>
          </w:p>
        </w:tc>
        <w:tc>
          <w:tcPr>
            <w:tcW w:type="dxa" w:w="2167"/>
            <w:vAlign w:val="center"/>
            <w:shd w:fill="F8FAFC"/>
          </w:tcPr>
          <w:p>
            <w:pPr>
              <w:spacing w:after="40" w:before="40"/>
            </w:pPr>
            <w:r>
              <w:rPr>
                <w:sz w:val="19"/>
              </w:rPr>
              <w:t>Identifies whether loan is individual or joint application.</w:t>
            </w:r>
          </w:p>
        </w:tc>
      </w:tr>
      <w:tr>
        <w:tc>
          <w:tcPr>
            <w:tcW w:type="dxa" w:w="2167"/>
            <w:vAlign w:val="center"/>
          </w:tcPr>
          <w:p>
            <w:pPr>
              <w:spacing w:after="40" w:before="40"/>
            </w:pPr>
            <w:r>
              <w:rPr>
                <w:sz w:val="19"/>
              </w:rPr>
              <w:t>`loan_status`</w:t>
            </w:r>
          </w:p>
        </w:tc>
        <w:tc>
          <w:tcPr>
            <w:tcW w:type="dxa" w:w="2167"/>
            <w:vAlign w:val="center"/>
          </w:tcPr>
          <w:p>
            <w:pPr>
              <w:spacing w:after="40" w:before="40"/>
            </w:pPr>
            <w:r>
              <w:rPr>
                <w:sz w:val="19"/>
              </w:rPr>
              <w:t>Int64</w:t>
            </w:r>
          </w:p>
        </w:tc>
        <w:tc>
          <w:tcPr>
            <w:tcW w:type="dxa" w:w="2167"/>
            <w:vAlign w:val="center"/>
          </w:tcPr>
          <w:p>
            <w:pPr>
              <w:spacing w:after="40" w:before="40"/>
            </w:pPr>
            <w:r>
              <w:rPr>
                <w:sz w:val="19"/>
              </w:rPr>
              <w:t>`0`, `1`</w:t>
            </w:r>
          </w:p>
        </w:tc>
        <w:tc>
          <w:tcPr>
            <w:tcW w:type="dxa" w:w="2167"/>
            <w:vAlign w:val="center"/>
          </w:tcPr>
          <w:p>
            <w:pPr>
              <w:spacing w:after="40" w:before="40"/>
            </w:pPr>
            <w:r>
              <w:rPr>
                <w:sz w:val="19"/>
              </w:rPr>
              <w:t>Binary target: 0 = Fully Paid, 1 = Charged Off (Default).</w:t>
            </w:r>
          </w:p>
        </w:tc>
      </w:tr>
    </w:tbl>
    <w:p>
      <w:pPr>
        <w:spacing w:after="80"/>
      </w:pPr>
    </w:p>
    <w:p>
      <w:r>
        <w:br w:type="page"/>
      </w:r>
    </w:p>
    <w:p>
      <w:pPr>
        <w:pStyle w:val="Heading3"/>
        <w:spacing w:before="200" w:after="60"/>
      </w:pPr>
      <w:r>
        <w:rPr>
          <w:rFonts w:ascii="Calibri" w:hAnsi="Calibri"/>
          <w:b/>
          <w:color w:val="334155"/>
          <w:sz w:val="24"/>
        </w:rPr>
        <w:t>Appendix B: Key Code Snippets</w:t>
      </w:r>
    </w:p>
    <w:p>
      <w:pPr>
        <w:pStyle w:val="Heading4"/>
        <w:spacing w:before="160" w:after="40"/>
      </w:pPr>
      <w:r>
        <w:rPr>
          <w:rFonts w:ascii="Calibri" w:hAnsi="Calibri"/>
          <w:b/>
          <w:color w:val="475569"/>
          <w:sz w:val="22"/>
        </w:rPr>
        <w:t>B.1 Leak-Free Pipeline Definition &amp; Preprocessing Architecture</w:t>
      </w:r>
    </w:p>
    <w:p>
      <w:pPr>
        <w:spacing w:before="80" w:after="120"/>
        <w:ind w:left="288"/>
      </w:pPr>
      <w:r>
        <w:rPr>
          <w:rFonts w:ascii="Consolas" w:hAnsi="Consolas"/>
          <w:color w:val="1E293B"/>
          <w:sz w:val="18"/>
        </w:rPr>
        <w:t>from sklearn.pipeline import Pipeline</w:t>
        <w:br/>
        <w:t>from sklearn.compose import ColumnTransformer</w:t>
        <w:br/>
        <w:t>from sklearn.impute import SimpleImputer</w:t>
        <w:br/>
        <w:t>from sklearn.preprocessing import OneHotEncoder</w:t>
        <w:br/>
        <w:t>from lightgbm import LGBMClassifier</w:t>
        <w:br/>
        <w:br/>
        <w:t>def build_production_pipeline(num_cols, cat_cols):</w:t>
        <w:br/>
        <w:t xml:space="preserve">    numeric_transformer = SimpleImputer(strategy='median')</w:t>
        <w:br/>
        <w:t xml:space="preserve">    </w:t>
        <w:br/>
        <w:t xml:space="preserve">    categorical_transformer = Pipeline(steps=[</w:t>
        <w:br/>
        <w:t xml:space="preserve">        ('imputer', SimpleImputer(strategy='most_frequent')),</w:t>
        <w:br/>
        <w:t xml:space="preserve">        ('onehot', OneHotEncoder(handle_unknown='ignore', sparse_output=False))</w:t>
        <w:br/>
        <w:t xml:space="preserve">    ])</w:t>
        <w:br/>
        <w:t xml:space="preserve">    </w:t>
        <w:br/>
        <w:t xml:space="preserve">    preprocessor = ColumnTransformer(</w:t>
        <w:br/>
        <w:t xml:space="preserve">        transformers=[</w:t>
        <w:br/>
        <w:t xml:space="preserve">            ('num', numeric_transformer, num_cols),</w:t>
        <w:br/>
        <w:t xml:space="preserve">            ('cat', categorical_transformer, cat_cols)</w:t>
        <w:br/>
        <w:t xml:space="preserve">        ]</w:t>
        <w:br/>
        <w:t xml:space="preserve">    )</w:t>
        <w:br/>
        <w:t xml:space="preserve">    </w:t>
        <w:br/>
        <w:t xml:space="preserve">    pipeline = Pipeline(steps=[</w:t>
        <w:br/>
        <w:t xml:space="preserve">        ('prep', preprocessor),</w:t>
        <w:br/>
        <w:t xml:space="preserve">        ('clf', LGBMClassifier(</w:t>
        <w:br/>
        <w:t xml:space="preserve">            n_estimators=100,</w:t>
        <w:br/>
        <w:t xml:space="preserve">            learning_rate=0.08,</w:t>
        <w:br/>
        <w:t xml:space="preserve">            num_leaves=31,</w:t>
        <w:br/>
        <w:t xml:space="preserve">            max_depth=6,</w:t>
        <w:br/>
        <w:t xml:space="preserve">            min_child_samples=50,</w:t>
        <w:br/>
        <w:t xml:space="preserve">            subsample=0.85,</w:t>
        <w:br/>
        <w:t xml:space="preserve">            colsample_bytree=0.85,</w:t>
        <w:br/>
        <w:t xml:space="preserve">            random_state=42,</w:t>
        <w:br/>
        <w:t xml:space="preserve">            n_jobs=-1</w:t>
        <w:br/>
        <w:t xml:space="preserve">        ))</w:t>
        <w:br/>
        <w:t xml:space="preserve">    ])</w:t>
        <w:br/>
        <w:t xml:space="preserve">    return pipeline</w:t>
        <w:br/>
      </w:r>
    </w:p>
    <w:p>
      <w:pPr>
        <w:pStyle w:val="Heading4"/>
        <w:spacing w:before="160" w:after="40"/>
      </w:pPr>
      <w:r>
        <w:rPr>
          <w:rFonts w:ascii="Calibri" w:hAnsi="Calibri"/>
          <w:b/>
          <w:color w:val="475569"/>
          <w:sz w:val="22"/>
        </w:rPr>
        <w:t>B.2 Feature Engineering Transformations</w:t>
      </w:r>
    </w:p>
    <w:p>
      <w:pPr>
        <w:spacing w:before="80" w:after="120"/>
        <w:ind w:left="288"/>
      </w:pPr>
      <w:r>
        <w:rPr>
          <w:rFonts w:ascii="Consolas" w:hAnsi="Consolas"/>
          <w:color w:val="1E293B"/>
          <w:sz w:val="18"/>
        </w:rPr>
        <w:t>def engineer_applicant_features(df_in):</w:t>
        <w:br/>
        <w:t xml:space="preserve">    df = df_in.copy()</w:t>
        <w:br/>
        <w:t xml:space="preserve">    df['installment_to_inc'] = (df['installment'] * 12.0) / (df['annual_inc'] + 1.0)</w:t>
        <w:br/>
        <w:t xml:space="preserve">    df['loan_to_inc'] = df['loan_amnt'] / (df['annual_inc'] + 1.0)</w:t>
        <w:br/>
        <w:t xml:space="preserve">    df['fico_avg'] = (df['fico_range_low'] + df['fico_range_high']) / 2.0</w:t>
        <w:br/>
        <w:t xml:space="preserve">    df['revol_to_inc'] = df['revol_bal'] / (df['annual_inc'] + 1.0)</w:t>
        <w:br/>
        <w:t xml:space="preserve">    df['high_util_flag'] = (df['revol_util'] &gt; 75.0).astype(int)</w:t>
        <w:br/>
        <w:t xml:space="preserve">    df['derogatory_flag'] = ((df['delinq_2yrs'] &gt; 0) | (df['pub_rec'] &gt; 0)).astype(int)</w:t>
        <w:br/>
        <w:t xml:space="preserve">    df['interest_burden_annual'] = df['loan_amnt'] * (df['int_rate'] / 100.0)</w:t>
        <w:br/>
        <w:t xml:space="preserve">    df['thin_credit_file_flag'] = (df['cred_hist_years'] &lt;= 5.0).astype(int)</w:t>
        <w:br/>
        <w:t xml:space="preserve">    df['log_annual_inc'] = np.log1p(df['annual_inc'])</w:t>
        <w:br/>
        <w:t xml:space="preserve">    return df</w:t>
        <w:br/>
      </w:r>
    </w:p>
    <w:p>
      <w:pPr>
        <w:pStyle w:val="Heading4"/>
        <w:spacing w:before="160" w:after="40"/>
      </w:pPr>
      <w:r>
        <w:rPr>
          <w:rFonts w:ascii="Calibri" w:hAnsi="Calibri"/>
          <w:b/>
          <w:color w:val="475569"/>
          <w:sz w:val="22"/>
        </w:rPr>
        <w:t>B.3 Cost-Sensitive Decision Calibration</w:t>
      </w:r>
    </w:p>
    <w:p>
      <w:pPr>
        <w:spacing w:before="80" w:after="120"/>
        <w:ind w:left="288"/>
      </w:pPr>
      <w:r>
        <w:rPr>
          <w:rFonts w:ascii="Consolas" w:hAnsi="Consolas"/>
          <w:color w:val="1E293B"/>
          <w:sz w:val="18"/>
        </w:rPr>
        <w:t>def predict_loan_decision(pipeline, raw_applicant_df, cutoff_threshold=0.36):</w:t>
        <w:br/>
        <w:t xml:space="preserve">    df_feat = engineer_applicant_features(raw_applicant_df)</w:t>
        <w:br/>
        <w:t xml:space="preserve">    prob_default = float(pipeline.predict_proba(df_feat)[0, 1])</w:t>
        <w:br/>
        <w:t xml:space="preserve">    is_approved = prob_default &lt; cutoff_threshold</w:t>
        <w:br/>
        <w:t xml:space="preserve">    </w:t>
        <w:br/>
        <w:t xml:space="preserve">    decision_verdict = "APPROVED" if is_approved else "REJECTED"</w:t>
        <w:br/>
        <w:t xml:space="preserve">    tier = (</w:t>
        <w:br/>
        <w:t xml:space="preserve">        "Tier 1 (Prime)" if prob_default &lt; 0.10 else</w:t>
        <w:br/>
        <w:t xml:space="preserve">        "Tier 2 (Near-Prime)" if prob_default &lt; 0.25 else</w:t>
        <w:br/>
        <w:t xml:space="preserve">        "Tier 3 (Conditional)" if prob_default &lt; 0.36 else</w:t>
        <w:br/>
        <w:t xml:space="preserve">        "Tier 4 (Subprime)" if prob_default &lt; 0.65 else</w:t>
        <w:br/>
        <w:t xml:space="preserve">        "Tier 5 (High Risk)"</w:t>
        <w:br/>
        <w:t xml:space="preserve">    )</w:t>
        <w:br/>
        <w:t xml:space="preserve">    return {</w:t>
        <w:br/>
        <w:t xml:space="preserve">        'default_probability': round(prob_default * 100, 2),</w:t>
        <w:br/>
        <w:t xml:space="preserve">        'repayment_probability': round((1.0 - prob_default) * 100, 2),</w:t>
        <w:br/>
        <w:t xml:space="preserve">        'decision': decision_verdict,</w:t>
        <w:br/>
        <w:t xml:space="preserve">        'risk_tier': tier,</w:t>
        <w:br/>
        <w:t xml:space="preserve">        'cutoff_threshold': cutoff_threshold</w:t>
        <w:br/>
        <w:t xml:space="preserve">    }</w:t>
        <w:br/>
      </w:r>
    </w:p>
    <w:p>
      <w:r>
        <w:br w:type="page"/>
      </w:r>
    </w:p>
    <w:p>
      <w:pPr>
        <w:pStyle w:val="Heading3"/>
        <w:spacing w:before="200" w:after="60"/>
      </w:pPr>
      <w:r>
        <w:rPr>
          <w:rFonts w:ascii="Calibri" w:hAnsi="Calibri"/>
          <w:b/>
          <w:color w:val="334155"/>
          <w:sz w:val="24"/>
        </w:rPr>
        <w:t>Appendix C: Additional Visualizations</w:t>
      </w:r>
    </w:p>
    <w:p>
      <w:pPr>
        <w:pStyle w:val="Heading4"/>
        <w:spacing w:before="160" w:after="40"/>
      </w:pPr>
      <w:r>
        <w:rPr>
          <w:rFonts w:ascii="Calibri" w:hAnsi="Calibri"/>
          <w:b/>
          <w:color w:val="475569"/>
          <w:sz w:val="22"/>
        </w:rPr>
        <w:t>C.1 Research Project Summary Dashboard</w:t>
      </w:r>
    </w:p>
    <w:p>
      <w:pPr>
        <w:spacing w:after="100" w:line="276" w:lineRule="auto"/>
      </w:pPr>
      <w:r>
        <w:t>The production web platform developed in this research project provides institutional underwriters and faculty auditors with four dedicated dashboards:</w:t>
      </w:r>
    </w:p>
    <w:p>
      <w:pPr>
        <w:spacing w:after="100" w:line="276" w:lineRule="auto"/>
      </w:pPr>
      <w:r>
        <w:t xml:space="preserve">1. </w:t>
      </w:r>
      <w:r>
        <w:rPr>
          <w:b/>
        </w:rPr>
        <w:t>Executive Overview Dashboard:</w:t>
      </w:r>
      <w:r>
        <w:t xml:space="preserve"> Presents high-level portfolio underwritten exposure (\$1.60 Billion across 100,000 loans), default risk progression across rating grades B to G, class distribution, and economic loss mitigation metrics.</w:t>
      </w:r>
    </w:p>
    <w:p>
      <w:pPr>
        <w:spacing w:after="100" w:line="276" w:lineRule="auto"/>
      </w:pPr>
      <w:r>
        <w:t xml:space="preserve">2. </w:t>
      </w:r>
      <w:r>
        <w:rPr>
          <w:b/>
        </w:rPr>
        <w:t>Exploratory Data Analysis Dashboard:</w:t>
      </w:r>
      <w:r>
        <w:t xml:space="preserve"> Enables interactive multi-attribute filtering across loan grades, loan terms, home ownership categories, and FICO score sliders to inspect portfolio default density in real time.</w:t>
      </w:r>
    </w:p>
    <w:p>
      <w:pPr>
        <w:spacing w:after="100" w:line="276" w:lineRule="auto"/>
      </w:pPr>
      <w:r>
        <w:t xml:space="preserve">3. </w:t>
      </w:r>
      <w:r>
        <w:rPr>
          <w:b/>
        </w:rPr>
        <w:t>Model Benchmark &amp; SHAP Explainability Dashboard:</w:t>
      </w:r>
      <w:r>
        <w:t xml:space="preserve"> Displays the empirical 6-model benchmark leaderboard, ROC/PR curves, confusion matrices, 5-fold cross-validation results, and global SHAP TreeExplainer importance plots.</w:t>
      </w:r>
    </w:p>
    <w:p>
      <w:pPr>
        <w:spacing w:after="100" w:line="276" w:lineRule="auto"/>
      </w:pPr>
      <w:r>
        <w:t xml:space="preserve">4. </w:t>
      </w:r>
      <w:r>
        <w:rPr>
          <w:b/>
        </w:rPr>
        <w:t>Live Underwriting &amp; Prediction Engine:</w:t>
      </w:r>
      <w:r>
        <w:t xml:space="preserve"> Allows credit officers to select borrower presets (Safe vs. Risky vs. Custom Profile), input 8 core financial variables, and receive instantaneous approval decisions, monthly EMI projections, and zero-overlap safety spectrum visualizations.</w:t>
      </w:r>
    </w:p>
    <w:p>
      <w:pPr>
        <w:spacing w:before="200" w:after="80"/>
        <w:jc w:val="center"/>
      </w:pPr>
      <w:r>
        <w:drawing>
          <wp:inline xmlns:a="http://schemas.openxmlformats.org/drawingml/2006/main" xmlns:pic="http://schemas.openxmlformats.org/drawingml/2006/picture">
            <wp:extent cx="5120640" cy="2816352"/>
            <wp:docPr id="14" name="Picture 14"/>
            <wp:cNvGraphicFramePr>
              <a:graphicFrameLocks noChangeAspect="1"/>
            </wp:cNvGraphicFramePr>
            <a:graphic>
              <a:graphicData uri="http://schemas.openxmlformats.org/drawingml/2006/picture">
                <pic:pic>
                  <pic:nvPicPr>
                    <pic:cNvPr id="0" name="fig14_executive_overview.png"/>
                    <pic:cNvPicPr/>
                  </pic:nvPicPr>
                  <pic:blipFill>
                    <a:blip r:embed="rId22"/>
                    <a:stretch>
                      <a:fillRect/>
                    </a:stretch>
                  </pic:blipFill>
                  <pic:spPr>
                    <a:xfrm>
                      <a:off x="0" y="0"/>
                      <a:ext cx="5120640" cy="2816352"/>
                    </a:xfrm>
                    <a:prstGeom prst="rect"/>
                  </pic:spPr>
                </pic:pic>
              </a:graphicData>
            </a:graphic>
          </wp:inline>
        </w:drawing>
      </w:r>
    </w:p>
    <w:p>
      <w:pPr>
        <w:spacing w:before="40" w:after="200"/>
        <w:jc w:val="center"/>
      </w:pPr>
      <w:r>
        <w:rPr>
          <w:i/>
          <w:color w:val="64748B"/>
          <w:sz w:val="19"/>
        </w:rPr>
        <w:t>Figure 14: Production Streamlit executive portfolio monitoring dashboard with real-time KPI metrics and multi-model benchmark comparisons.</w:t>
      </w:r>
    </w:p>
    <w:p>
      <w:pPr>
        <w:pStyle w:val="Heading4"/>
        <w:spacing w:before="160" w:after="40"/>
      </w:pPr>
      <w:r>
        <w:rPr>
          <w:rFonts w:ascii="Calibri" w:hAnsi="Calibri"/>
          <w:b/>
          <w:color w:val="475569"/>
          <w:sz w:val="22"/>
        </w:rPr>
        <w:t>C.2 Live Underwriting &amp; Prediction Decision Engine</w:t>
      </w:r>
    </w:p>
    <w:p>
      <w:pPr>
        <w:spacing w:before="200" w:after="80"/>
        <w:jc w:val="center"/>
      </w:pPr>
      <w:r>
        <w:drawing>
          <wp:inline xmlns:a="http://schemas.openxmlformats.org/drawingml/2006/main" xmlns:pic="http://schemas.openxmlformats.org/drawingml/2006/picture">
            <wp:extent cx="5120640" cy="2816352"/>
            <wp:docPr id="15" name="Picture 15"/>
            <wp:cNvGraphicFramePr>
              <a:graphicFrameLocks noChangeAspect="1"/>
            </wp:cNvGraphicFramePr>
            <a:graphic>
              <a:graphicData uri="http://schemas.openxmlformats.org/drawingml/2006/picture">
                <pic:pic>
                  <pic:nvPicPr>
                    <pic:cNvPr id="0" name="fig15_live_prediction.png"/>
                    <pic:cNvPicPr/>
                  </pic:nvPicPr>
                  <pic:blipFill>
                    <a:blip r:embed="rId23"/>
                    <a:stretch>
                      <a:fillRect/>
                    </a:stretch>
                  </pic:blipFill>
                  <pic:spPr>
                    <a:xfrm>
                      <a:off x="0" y="0"/>
                      <a:ext cx="5120640" cy="2816352"/>
                    </a:xfrm>
                    <a:prstGeom prst="rect"/>
                  </pic:spPr>
                </pic:pic>
              </a:graphicData>
            </a:graphic>
          </wp:inline>
        </w:drawing>
      </w:r>
    </w:p>
    <w:p>
      <w:pPr>
        <w:spacing w:before="40" w:after="200"/>
        <w:jc w:val="center"/>
      </w:pPr>
      <w:r>
        <w:rPr>
          <w:i/>
          <w:color w:val="64748B"/>
          <w:sz w:val="19"/>
        </w:rPr>
        <w:t>Figure 15: Production Streamlit live credit application decision engine displaying instant risk scoring, tier categorization, and SHAP explainability breakdowns.</w:t>
      </w:r>
    </w:p>
    <w:p>
      <w:pPr>
        <w:spacing w:after="100" w:line="276" w:lineRule="auto"/>
      </w:pPr>
      <w:r>
        <w:t>The complete code, serialized model artifacts, and live dashboard are publicly accessible via the research project GitHub repository:</w:t>
      </w:r>
    </w:p>
    <w:p>
      <w:pPr>
        <w:spacing w:after="100" w:line="276" w:lineRule="auto"/>
      </w:pPr>
      <w:r/>
      <w:r>
        <w:rPr>
          <w:b/>
        </w:rPr>
        <w:t>Repository:</w:t>
      </w:r>
      <w:r>
        <w:t xml:space="preserve"> `https://github.com/vimal-kansotia/loan-credit-risk-prediction`</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