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200"/>
        <w:jc w:val="center"/>
      </w:pPr>
      <w:r>
        <w:rPr>
          <w:rFonts w:ascii="Arial" w:cs="Arial" w:eastAsia="Arial" w:hAnsi="Arial"/>
          <w:b/>
          <w:bCs/>
          <w:color w:val="1a5f2a"/>
          <w:sz w:val="48"/>
          <w:szCs w:val="48"/>
        </w:rPr>
        <w:t xml:space="preserve">GREEN TRACK AI LTD</w:t>
      </w:r>
    </w:p>
    <w:p>
      <w:pPr>
        <w:spacing w:after="400"/>
        <w:jc w:val="center"/>
      </w:pPr>
      <w:r>
        <w:rPr>
          <w:rFonts w:ascii="Arial" w:cs="Arial" w:eastAsia="Arial" w:hAnsi="Arial"/>
          <w:color w:val="333333"/>
          <w:sz w:val="36"/>
          <w:szCs w:val="36"/>
        </w:rPr>
        <w:t xml:space="preserve">Master Legal Documents</w:t>
      </w:r>
    </w:p>
    <w:p>
      <w:pPr>
        <w:spacing w:after="200"/>
        <w:jc w:val="center"/>
      </w:pPr>
      <w:r>
        <w:rPr>
          <w:rFonts w:ascii="Arial" w:cs="Arial" w:eastAsia="Arial" w:hAnsi="Arial"/>
          <w:sz w:val="28"/>
          <w:szCs w:val="28"/>
        </w:rPr>
        <w:t xml:space="preserve">Terms of Service</w:t>
      </w:r>
    </w:p>
    <w:p>
      <w:pPr>
        <w:spacing w:after="200"/>
        <w:jc w:val="center"/>
      </w:pPr>
      <w:r>
        <w:rPr>
          <w:rFonts w:ascii="Arial" w:cs="Arial" w:eastAsia="Arial" w:hAnsi="Arial"/>
          <w:sz w:val="28"/>
          <w:szCs w:val="28"/>
        </w:rPr>
        <w:t xml:space="preserve">Privacy Policy</w:t>
      </w:r>
    </w:p>
    <w:p>
      <w:pPr>
        <w:spacing w:after="600"/>
        <w:jc w:val="center"/>
      </w:pPr>
      <w:r>
        <w:rPr>
          <w:rFonts w:ascii="Arial" w:cs="Arial" w:eastAsia="Arial" w:hAnsi="Arial"/>
          <w:sz w:val="28"/>
          <w:szCs w:val="28"/>
        </w:rPr>
        <w:t xml:space="preserve">Cookie Policy</w:t>
      </w:r>
    </w:p>
    <w:p>
      <w:pPr>
        <w:spacing w:after="200"/>
        <w:jc w:val="center"/>
      </w:pPr>
      <w:r>
        <w:rPr>
          <w:rFonts w:ascii="Arial" w:cs="Arial" w:eastAsia="Arial" w:hAnsi="Arial"/>
          <w:sz w:val="22"/>
          <w:szCs w:val="22"/>
        </w:rPr>
        <w:t xml:space="preserve">Effective Date: 1 June 2026</w:t>
      </w:r>
    </w:p>
    <w:p>
      <w:pPr>
        <w:spacing w:after="200"/>
        <w:jc w:val="center"/>
      </w:pPr>
      <w:r>
        <w:rPr>
          <w:rFonts w:ascii="Arial" w:cs="Arial" w:eastAsia="Arial" w:hAnsi="Arial"/>
          <w:sz w:val="22"/>
          <w:szCs w:val="22"/>
        </w:rPr>
        <w:t xml:space="preserve">Last Updated: 3 June 2026</w:t>
      </w:r>
    </w:p>
    <w:p>
      <w:pPr>
        <w:spacing w:after="400"/>
        <w:jc w:val="center"/>
      </w:pPr>
      <w:r>
        <w:rPr>
          <w:rFonts w:ascii="Arial" w:cs="Arial" w:eastAsia="Arial" w:hAnsi="Arial"/>
          <w:color w:val="666666"/>
          <w:sz w:val="20"/>
          <w:szCs w:val="20"/>
        </w:rPr>
        <w:t xml:space="preserve">Scotland, United Kingdom</w:t>
      </w:r>
    </w:p>
    <w:p>
      <w:pPr>
        <w:jc w:val="center"/>
      </w:pPr>
      <w:r>
        <w:rPr>
          <w:rFonts w:ascii="Arial" w:cs="Arial" w:eastAsia="Arial" w:hAnsi="Arial"/>
          <w:b/>
          <w:bCs/>
          <w:color w:val="c41e3a"/>
          <w:sz w:val="20"/>
          <w:szCs w:val="20"/>
        </w:rPr>
        <w:t xml:space="preserve">CONFIDENTIAL – FOR REVIEW BY LEGAL COUNSEL</w:t>
      </w:r>
    </w:p>
    <w:p>
      <w:r>
        <w:br w:type="page"/>
      </w:r>
    </w:p>
    <w:p>
      <w:pPr>
        <w:pStyle w:val="Heading1"/>
      </w:pPr>
      <w:r>
        <w:t xml:space="preserve">Table of Contents</w:t>
      </w:r>
    </w:p>
    <w:p>
      <w:pPr>
        <w:spacing w:after="120"/>
      </w:pPr>
      <w:r>
        <w:rPr>
          <w:rFonts w:ascii="Arial" w:cs="Arial" w:eastAsia="Arial" w:hAnsi="Arial"/>
          <w:sz w:val="22"/>
          <w:szCs w:val="22"/>
        </w:rPr>
        <w:t xml:space="preserve">1. Terms of Service ..................................................................... 3</w:t>
      </w:r>
    </w:p>
    <w:p>
      <w:pPr>
        <w:spacing w:after="120"/>
      </w:pPr>
      <w:r>
        <w:rPr>
          <w:rFonts w:ascii="Arial" w:cs="Arial" w:eastAsia="Arial" w:hAnsi="Arial"/>
          <w:sz w:val="22"/>
          <w:szCs w:val="22"/>
        </w:rPr>
        <w:t xml:space="preserve">2. Privacy Policy ........................................................................ 8</w:t>
      </w:r>
    </w:p>
    <w:p>
      <w:pPr>
        <w:spacing w:after="120"/>
      </w:pPr>
      <w:r>
        <w:rPr>
          <w:rFonts w:ascii="Arial" w:cs="Arial" w:eastAsia="Arial" w:hAnsi="Arial"/>
          <w:sz w:val="22"/>
          <w:szCs w:val="22"/>
        </w:rPr>
        <w:t xml:space="preserve">3. Cookie Policy ....................................................................... 15</w:t>
      </w:r>
    </w:p>
    <w:p>
      <w:r>
        <w:br w:type="page"/>
      </w:r>
    </w:p>
    <w:p>
      <w:pPr>
        <w:pStyle w:val="Heading1"/>
      </w:pPr>
      <w:r>
        <w:t xml:space="preserve">1. Terms of Service</w:t>
      </w:r>
    </w:p>
    <w:p>
      <w:pPr>
        <w:spacing w:after="200"/>
      </w:pPr>
      <w:r>
        <w:rPr>
          <w:rFonts w:ascii="Arial" w:cs="Arial" w:eastAsia="Arial" w:hAnsi="Arial"/>
          <w:b/>
          <w:bCs/>
          <w:sz w:val="22"/>
          <w:szCs w:val="22"/>
        </w:rPr>
        <w:t xml:space="preserve">GreenTrack AI Ltd</w:t>
      </w:r>
      <w:r>
        <w:rPr>
          <w:rFonts w:ascii="Arial" w:cs="Arial" w:eastAsia="Arial" w:hAnsi="Arial"/>
          <w:sz w:val="22"/>
          <w:szCs w:val="22"/>
        </w:rPr>
        <w:t xml:space="preserve"> (“GreenTrack AI”, “we”, “us”, or “our”) provides a web-based SaaS platform that helps UK small and medium-sized businesses automatically calculate, track, and report their carbon emissions from utility bills using AI-powered OCR and official UK government conversion factors.</w:t>
      </w:r>
    </w:p>
    <w:p>
      <w:pPr>
        <w:spacing w:after="200"/>
      </w:pPr>
      <w:r>
        <w:rPr>
          <w:rFonts w:ascii="Arial" w:cs="Arial" w:eastAsia="Arial" w:hAnsi="Arial"/>
          <w:sz w:val="22"/>
          <w:szCs w:val="22"/>
        </w:rPr>
        <w:t xml:space="preserve">By creating an account, uploading bills, subscribing, or otherwise using the Service, you agree to these Terms of Service (“Terms”). If you do not agree, do not use the Service.</w:t>
      </w:r>
    </w:p>
    <w:p>
      <w:pPr>
        <w:pStyle w:val="Heading2"/>
      </w:pPr>
      <w:r>
        <w:t xml:space="preserve">1.1 Definitions</w:t>
      </w:r>
    </w:p>
    <w:p>
      <w:pPr>
        <w:pStyle w:val="ListParagraph"/>
        <w:numPr>
          <w:ilvl w:val="0"/>
          <w:numId w:val="2"/>
        </w:numPr>
      </w:pPr>
      <w:r>
        <w:rPr>
          <w:rFonts w:ascii="Arial" w:cs="Arial" w:eastAsia="Arial" w:hAnsi="Arial"/>
          <w:sz w:val="22"/>
          <w:szCs w:val="22"/>
        </w:rPr>
        <w:t xml:space="preserve">“Service” means the GreenTrack AI web platform, including bill upload, AI-powered OCR processing via Mindee, carbon calculations using official DESNZ/DEFRA factors, dashboards, PDF reports, and related features.</w:t>
      </w:r>
    </w:p>
    <w:p>
      <w:pPr>
        <w:pStyle w:val="ListParagraph"/>
        <w:numPr>
          <w:ilvl w:val="0"/>
          <w:numId w:val="2"/>
        </w:numPr>
      </w:pPr>
      <w:r>
        <w:rPr>
          <w:rFonts w:ascii="Arial" w:cs="Arial" w:eastAsia="Arial" w:hAnsi="Arial"/>
          <w:sz w:val="22"/>
          <w:szCs w:val="22"/>
        </w:rPr>
        <w:t xml:space="preserve">“User Content” means any utility bills (PDFs or images), data, or information you upload or provide.</w:t>
      </w:r>
    </w:p>
    <w:p>
      <w:pPr>
        <w:pStyle w:val="ListParagraph"/>
        <w:numPr>
          <w:ilvl w:val="0"/>
          <w:numId w:val="2"/>
        </w:numPr>
      </w:pPr>
      <w:r>
        <w:rPr>
          <w:rFonts w:ascii="Arial" w:cs="Arial" w:eastAsia="Arial" w:hAnsi="Arial"/>
          <w:sz w:val="22"/>
          <w:szCs w:val="22"/>
        </w:rPr>
        <w:t xml:space="preserve">“Organisation” means the company or entity you represent when using the Service.</w:t>
      </w:r>
    </w:p>
    <w:p>
      <w:pPr>
        <w:pStyle w:val="ListParagraph"/>
        <w:numPr>
          <w:ilvl w:val="0"/>
          <w:numId w:val="2"/>
        </w:numPr>
      </w:pPr>
      <w:r>
        <w:rPr>
          <w:rFonts w:ascii="Arial" w:cs="Arial" w:eastAsia="Arial" w:hAnsi="Arial"/>
          <w:sz w:val="22"/>
          <w:szCs w:val="22"/>
        </w:rPr>
        <w:t xml:space="preserve">“Subscription” means a paid plan (Starter or Business) billed via Stripe.</w:t>
      </w:r>
    </w:p>
    <w:p>
      <w:pPr>
        <w:pStyle w:val="Heading2"/>
      </w:pPr>
      <w:r>
        <w:t xml:space="preserve">1.2 Eligibility</w:t>
      </w:r>
    </w:p>
    <w:p>
      <w:pPr>
        <w:spacing w:after="200"/>
      </w:pPr>
      <w:r>
        <w:rPr>
          <w:rFonts w:ascii="Arial" w:cs="Arial" w:eastAsia="Arial" w:hAnsi="Arial"/>
          <w:sz w:val="22"/>
          <w:szCs w:val="22"/>
        </w:rPr>
        <w:t xml:space="preserve">You must be at least 18 years old and authorised to act on behalf of the Organisation you represent. The Service is intended for UK-based businesses.</w:t>
      </w:r>
    </w:p>
    <w:p>
      <w:pPr>
        <w:pStyle w:val="Heading2"/>
      </w:pPr>
      <w:r>
        <w:t xml:space="preserve">1.3 Description of the Service</w:t>
      </w:r>
    </w:p>
    <w:p>
      <w:pPr>
        <w:spacing w:after="120"/>
      </w:pPr>
      <w:r>
        <w:rPr>
          <w:rFonts w:ascii="Arial" w:cs="Arial" w:eastAsia="Arial" w:hAnsi="Arial"/>
          <w:sz w:val="22"/>
          <w:szCs w:val="22"/>
        </w:rPr>
        <w:t xml:space="preserve">GreenTrack AI allows you to:</w:t>
      </w:r>
    </w:p>
    <w:p>
      <w:pPr>
        <w:pStyle w:val="ListParagraph"/>
        <w:numPr>
          <w:ilvl w:val="0"/>
          <w:numId w:val="2"/>
        </w:numPr>
      </w:pPr>
      <w:r>
        <w:rPr>
          <w:rFonts w:ascii="Arial" w:cs="Arial" w:eastAsia="Arial" w:hAnsi="Arial"/>
          <w:sz w:val="22"/>
          <w:szCs w:val="22"/>
        </w:rPr>
        <w:t xml:space="preserve">Upload utility bills (electricity, gas, water, fuel)</w:t>
      </w:r>
    </w:p>
    <w:p>
      <w:pPr>
        <w:pStyle w:val="ListParagraph"/>
        <w:numPr>
          <w:ilvl w:val="0"/>
          <w:numId w:val="2"/>
        </w:numPr>
      </w:pPr>
      <w:r>
        <w:rPr>
          <w:rFonts w:ascii="Arial" w:cs="Arial" w:eastAsia="Arial" w:hAnsi="Arial"/>
          <w:sz w:val="22"/>
          <w:szCs w:val="22"/>
        </w:rPr>
        <w:t xml:space="preserve">Use AI-powered OCR (via Mindee) to extract usage data, costs, and dates</w:t>
      </w:r>
    </w:p>
    <w:p>
      <w:pPr>
        <w:pStyle w:val="ListParagraph"/>
        <w:numPr>
          <w:ilvl w:val="0"/>
          <w:numId w:val="2"/>
        </w:numPr>
      </w:pPr>
      <w:r>
        <w:rPr>
          <w:rFonts w:ascii="Arial" w:cs="Arial" w:eastAsia="Arial" w:hAnsi="Arial"/>
          <w:sz w:val="22"/>
          <w:szCs w:val="22"/>
        </w:rPr>
        <w:t xml:space="preserve">Calculate carbon emissions using the latest official UK government (DESNZ/DEFRA) conversion factors</w:t>
      </w:r>
    </w:p>
    <w:p>
      <w:pPr>
        <w:pStyle w:val="ListParagraph"/>
        <w:numPr>
          <w:ilvl w:val="0"/>
          <w:numId w:val="2"/>
        </w:numPr>
      </w:pPr>
      <w:r>
        <w:rPr>
          <w:rFonts w:ascii="Arial" w:cs="Arial" w:eastAsia="Arial" w:hAnsi="Arial"/>
          <w:sz w:val="22"/>
          <w:szCs w:val="22"/>
        </w:rPr>
        <w:t xml:space="preserve">View dashboards, trends, compliance scores, and reduction pathways</w:t>
      </w:r>
    </w:p>
    <w:p>
      <w:pPr>
        <w:pStyle w:val="ListParagraph"/>
        <w:numPr>
          <w:ilvl w:val="0"/>
          <w:numId w:val="2"/>
        </w:numPr>
      </w:pPr>
      <w:r>
        <w:rPr>
          <w:rFonts w:ascii="Arial" w:cs="Arial" w:eastAsia="Arial" w:hAnsi="Arial"/>
          <w:sz w:val="22"/>
          <w:szCs w:val="22"/>
        </w:rPr>
        <w:t xml:space="preserve">Generate branded PDF reports (including SECR-style reports on higher tiers)</w:t>
      </w:r>
    </w:p>
    <w:p>
      <w:pPr>
        <w:shd w:fill="FFF3CD" w:val="clear"/>
        <w:spacing w:after="200" w:before="200"/>
      </w:pPr>
      <w:r>
        <w:rPr>
          <w:rFonts w:ascii="Arial" w:cs="Arial" w:eastAsia="Arial" w:hAnsi="Arial"/>
          <w:b/>
          <w:bCs/>
          <w:sz w:val="22"/>
          <w:szCs w:val="22"/>
        </w:rPr>
        <w:t xml:space="preserve">Important Disclaimer: </w:t>
      </w:r>
      <w:r>
        <w:rPr>
          <w:rFonts w:ascii="Arial" w:cs="Arial" w:eastAsia="Arial" w:hAnsi="Arial"/>
          <w:sz w:val="22"/>
          <w:szCs w:val="22"/>
        </w:rPr>
        <w:t xml:space="preserve">Carbon calculations are estimates based on the latest official DEFRA factors at the time of processing and the quality of uploaded bills. They are not a substitute for a full professional carbon audit, third-party verification, or legal advice. You remain solely responsible for the accuracy of data you upload and for your own regulatory compliance (including SECR, net-zero targets, and supply-chain reporting).</w:t>
      </w:r>
    </w:p>
    <w:p>
      <w:pPr>
        <w:pStyle w:val="Heading2"/>
      </w:pPr>
      <w:r>
        <w:t xml:space="preserve">1.4 User Accounts &amp; Security</w:t>
      </w:r>
    </w:p>
    <w:p>
      <w:pPr>
        <w:pStyle w:val="ListParagraph"/>
        <w:numPr>
          <w:ilvl w:val="0"/>
          <w:numId w:val="2"/>
        </w:numPr>
      </w:pPr>
      <w:r>
        <w:rPr>
          <w:rFonts w:ascii="Arial" w:cs="Arial" w:eastAsia="Arial" w:hAnsi="Arial"/>
          <w:sz w:val="22"/>
          <w:szCs w:val="22"/>
        </w:rPr>
        <w:t xml:space="preserve">You must provide accurate information when creating an account.</w:t>
      </w:r>
    </w:p>
    <w:p>
      <w:pPr>
        <w:pStyle w:val="ListParagraph"/>
        <w:numPr>
          <w:ilvl w:val="0"/>
          <w:numId w:val="2"/>
        </w:numPr>
      </w:pPr>
      <w:r>
        <w:rPr>
          <w:rFonts w:ascii="Arial" w:cs="Arial" w:eastAsia="Arial" w:hAnsi="Arial"/>
          <w:sz w:val="22"/>
          <w:szCs w:val="22"/>
        </w:rPr>
        <w:t xml:space="preserve">You are responsible for maintaining the confidentiality of your login credentials.</w:t>
      </w:r>
    </w:p>
    <w:p>
      <w:pPr>
        <w:pStyle w:val="ListParagraph"/>
        <w:numPr>
          <w:ilvl w:val="0"/>
          <w:numId w:val="2"/>
        </w:numPr>
      </w:pPr>
      <w:r>
        <w:rPr>
          <w:rFonts w:ascii="Arial" w:cs="Arial" w:eastAsia="Arial" w:hAnsi="Arial"/>
          <w:sz w:val="22"/>
          <w:szCs w:val="22"/>
        </w:rPr>
        <w:t xml:space="preserve">We use Supabase with Row Level Security (RLS) so that users can only access data belonging to their own Organisation.</w:t>
      </w:r>
    </w:p>
    <w:p>
      <w:pPr>
        <w:pStyle w:val="Heading2"/>
      </w:pPr>
      <w:r>
        <w:t xml:space="preserve">1.5 User Content &amp; Uploaded Bills</w:t>
      </w:r>
    </w:p>
    <w:p>
      <w:pPr>
        <w:spacing w:after="120"/>
      </w:pPr>
      <w:r>
        <w:rPr>
          <w:rFonts w:ascii="Arial" w:cs="Arial" w:eastAsia="Arial" w:hAnsi="Arial"/>
          <w:sz w:val="22"/>
          <w:szCs w:val="22"/>
        </w:rPr>
        <w:t xml:space="preserve">By uploading bills you confirm that you have the right to share the documents and authorise us (and our processor Mindee) to process the files for OCR extraction. Utility bills may contain personal data (e.g. names, addresses). We store uploaded files in Supabase Storage (London, UK/EU region).</w:t>
      </w:r>
    </w:p>
    <w:p>
      <w:pPr>
        <w:pStyle w:val="Heading2"/>
      </w:pPr>
      <w:r>
        <w:t xml:space="preserve">1.6 Subscriptions, Payments &amp; Billing</w:t>
      </w:r>
    </w:p>
    <w:p>
      <w:pPr>
        <w:pStyle w:val="ListParagraph"/>
        <w:numPr>
          <w:ilvl w:val="0"/>
          <w:numId w:val="2"/>
        </w:numPr>
      </w:pPr>
      <w:r>
        <w:rPr>
          <w:rFonts w:ascii="Arial" w:cs="Arial" w:eastAsia="Arial" w:hAnsi="Arial"/>
          <w:sz w:val="22"/>
          <w:szCs w:val="22"/>
        </w:rPr>
        <w:t xml:space="preserve">Free plan: Limited to 3 electricity bills per month.</w:t>
      </w:r>
    </w:p>
    <w:p>
      <w:pPr>
        <w:pStyle w:val="ListParagraph"/>
        <w:numPr>
          <w:ilvl w:val="0"/>
          <w:numId w:val="2"/>
        </w:numPr>
      </w:pPr>
      <w:r>
        <w:rPr>
          <w:rFonts w:ascii="Arial" w:cs="Arial" w:eastAsia="Arial" w:hAnsi="Arial"/>
          <w:sz w:val="22"/>
          <w:szCs w:val="22"/>
        </w:rPr>
        <w:t xml:space="preserve">Starter: £24/month (ex. VAT) – Unlimited bills, full dashboard, PDF reports, 5 seats.</w:t>
      </w:r>
    </w:p>
    <w:p>
      <w:pPr>
        <w:pStyle w:val="ListParagraph"/>
        <w:numPr>
          <w:ilvl w:val="0"/>
          <w:numId w:val="2"/>
        </w:numPr>
      </w:pPr>
      <w:r>
        <w:rPr>
          <w:rFonts w:ascii="Arial" w:cs="Arial" w:eastAsia="Arial" w:hAnsi="Arial"/>
          <w:sz w:val="22"/>
          <w:szCs w:val="22"/>
        </w:rPr>
        <w:t xml:space="preserve">Business: £99/month (ex. VAT) – Everything in Starter + branded reports, up to 20 seats, API access, priority support.</w:t>
      </w:r>
    </w:p>
    <w:p>
      <w:pPr>
        <w:pStyle w:val="ListParagraph"/>
        <w:numPr>
          <w:ilvl w:val="0"/>
          <w:numId w:val="2"/>
        </w:numPr>
      </w:pPr>
      <w:r>
        <w:rPr>
          <w:rFonts w:ascii="Arial" w:cs="Arial" w:eastAsia="Arial" w:hAnsi="Arial"/>
          <w:sz w:val="22"/>
          <w:szCs w:val="22"/>
        </w:rPr>
        <w:t xml:space="preserve">Billed monthly in advance via Stripe. You can upgrade, downgrade, or cancel at any time through the Stripe Customer Portal. No refunds for partial months.</w:t>
      </w:r>
    </w:p>
    <w:p>
      <w:pPr>
        <w:pStyle w:val="Heading2"/>
      </w:pPr>
      <w:r>
        <w:t xml:space="preserve">1.7 Acceptable Use</w:t>
      </w:r>
    </w:p>
    <w:p>
      <w:pPr>
        <w:spacing w:after="120"/>
      </w:pPr>
      <w:r>
        <w:rPr>
          <w:rFonts w:ascii="Arial" w:cs="Arial" w:eastAsia="Arial" w:hAnsi="Arial"/>
          <w:sz w:val="22"/>
          <w:szCs w:val="22"/>
        </w:rPr>
        <w:t xml:space="preserve">You agree not to upload false or fraudulent bills, use the Service for any illegal purpose, reverse engineer the platform, or share credentials in violation of the plan limits. We may suspend or terminate accounts that violate these rules.</w:t>
      </w:r>
    </w:p>
    <w:p>
      <w:pPr>
        <w:pStyle w:val="Heading2"/>
      </w:pPr>
      <w:r>
        <w:t xml:space="preserve">1.8 Intellectual Property</w:t>
      </w:r>
    </w:p>
    <w:p>
      <w:pPr>
        <w:spacing w:after="200"/>
      </w:pPr>
      <w:r>
        <w:rPr>
          <w:rFonts w:ascii="Arial" w:cs="Arial" w:eastAsia="Arial" w:hAnsi="Arial"/>
          <w:sz w:val="22"/>
          <w:szCs w:val="22"/>
        </w:rPr>
        <w:t xml:space="preserve">We own all rights to the GreenTrack AI platform, software, and branding. You retain ownership of the bills and data you upload. You grant us a licence to process your data solely to provide the Service.</w:t>
      </w:r>
    </w:p>
    <w:p>
      <w:pPr>
        <w:pStyle w:val="Heading2"/>
      </w:pPr>
      <w:r>
        <w:t xml:space="preserve">1.9 Disclaimers &amp; Limitation of Liability</w:t>
      </w:r>
    </w:p>
    <w:p>
      <w:pPr>
        <w:spacing w:after="120"/>
      </w:pPr>
      <w:r>
        <w:rPr>
          <w:rFonts w:ascii="Arial" w:cs="Arial" w:eastAsia="Arial" w:hAnsi="Arial"/>
          <w:sz w:val="22"/>
          <w:szCs w:val="22"/>
        </w:rPr>
        <w:t xml:space="preserve">The Service is provided “as is”. We do not guarantee that carbon calculations will be 100% accurate or that reports will satisfy every possible regulatory requirement without further review. You are solely responsible for verifying all outputs.</w:t>
      </w:r>
    </w:p>
    <w:p>
      <w:pPr>
        <w:spacing w:after="200"/>
      </w:pPr>
      <w:r>
        <w:rPr>
          <w:rFonts w:ascii="Arial" w:cs="Arial" w:eastAsia="Arial" w:hAnsi="Arial"/>
          <w:sz w:val="22"/>
          <w:szCs w:val="22"/>
        </w:rPr>
        <w:t xml:space="preserve">To the maximum extent permitted by law, our total liability in any 12-month period shall not exceed the total fees you paid us in the preceding 12 months. Nothing excludes liability for death, personal injury caused by negligence, or fraud.</w:t>
      </w:r>
    </w:p>
    <w:p>
      <w:pPr>
        <w:pStyle w:val="Heading2"/>
      </w:pPr>
      <w:r>
        <w:t xml:space="preserve">1.10 Data Protection</w:t>
      </w:r>
    </w:p>
    <w:p>
      <w:pPr>
        <w:spacing w:after="200"/>
      </w:pPr>
      <w:r>
        <w:rPr>
          <w:rFonts w:ascii="Arial" w:cs="Arial" w:eastAsia="Arial" w:hAnsi="Arial"/>
          <w:sz w:val="22"/>
          <w:szCs w:val="22"/>
        </w:rPr>
        <w:t xml:space="preserve">We process personal data in accordance with UK GDPR. Please read our Privacy Policy for full details.</w:t>
      </w:r>
    </w:p>
    <w:p>
      <w:pPr>
        <w:pStyle w:val="Heading2"/>
      </w:pPr>
      <w:r>
        <w:t xml:space="preserve">1.11 Governing Law</w:t>
      </w:r>
    </w:p>
    <w:p>
      <w:pPr>
        <w:spacing w:after="200"/>
      </w:pPr>
      <w:r>
        <w:rPr>
          <w:rFonts w:ascii="Arial" w:cs="Arial" w:eastAsia="Arial" w:hAnsi="Arial"/>
          <w:sz w:val="22"/>
          <w:szCs w:val="22"/>
        </w:rPr>
        <w:t xml:space="preserve">These Terms are governed by the laws of Scotland. Any disputes shall be subject to the exclusive jurisdiction of the Scottish courts.</w:t>
      </w:r>
    </w:p>
    <w:p>
      <w:pPr>
        <w:pStyle w:val="Heading2"/>
      </w:pPr>
      <w:r>
        <w:t xml:space="preserve">1.12 Contact</w:t>
      </w:r>
    </w:p>
    <w:p>
      <w:pPr>
        <w:spacing w:after="200"/>
      </w:pPr>
      <w:r>
        <w:rPr>
          <w:rFonts w:ascii="Arial" w:cs="Arial" w:eastAsia="Arial" w:hAnsi="Arial"/>
          <w:sz w:val="22"/>
          <w:szCs w:val="22"/>
        </w:rPr>
        <w:t xml:space="preserve">GreenTrack AI Ltd, Scotland, United Kingdom | Email: suhail@greentrackai.com | Website: https://greentrackai.com</w:t>
      </w:r>
    </w:p>
    <w:p>
      <w:r>
        <w:br w:type="page"/>
      </w:r>
    </w:p>
    <w:p>
      <w:pPr>
        <w:pStyle w:val="Heading1"/>
      </w:pPr>
      <w:r>
        <w:t xml:space="preserve">2. Privacy Policy</w:t>
      </w:r>
    </w:p>
    <w:p>
      <w:pPr>
        <w:spacing w:after="200"/>
      </w:pPr>
      <w:r>
        <w:rPr>
          <w:rFonts w:ascii="Arial" w:cs="Arial" w:eastAsia="Arial" w:hAnsi="Arial"/>
          <w:sz w:val="22"/>
          <w:szCs w:val="22"/>
        </w:rPr>
        <w:t xml:space="preserve">GreenTrack AI Ltd (“we”, “us”, or “our”) is committed to protecting your privacy. This Privacy Policy explains how we collect, use, and protect your personal data when you use our Service.</w:t>
      </w:r>
    </w:p>
    <w:p>
      <w:pPr>
        <w:pStyle w:val="Heading2"/>
      </w:pPr>
      <w:r>
        <w:t xml:space="preserve">2.1 Who We Are</w:t>
      </w:r>
    </w:p>
    <w:p>
      <w:pPr>
        <w:spacing w:after="200"/>
      </w:pPr>
      <w:r>
        <w:rPr>
          <w:rFonts w:ascii="Arial" w:cs="Arial" w:eastAsia="Arial" w:hAnsi="Arial"/>
          <w:sz w:val="22"/>
          <w:szCs w:val="22"/>
        </w:rPr>
        <w:t xml:space="preserve">GreenTrack AI Ltd is a company registered in Scotland, United Kingdom. We operate the GreenTrack AI platform — a SaaS tool that helps UK SMEs calculate and report carbon emissions from utility bills.</w:t>
      </w:r>
    </w:p>
    <w:p>
      <w:pPr>
        <w:pStyle w:val="Heading2"/>
      </w:pPr>
      <w:r>
        <w:t xml:space="preserve">2.2 Data We Collect</w:t>
      </w:r>
    </w:p>
    <w:p>
      <w:pPr>
        <w:pStyle w:val="Heading3"/>
      </w:pPr>
      <w:r>
        <w:t xml:space="preserve">Account &amp; Profile Data</w:t>
      </w:r>
    </w:p>
    <w:p>
      <w:pPr>
        <w:pStyle w:val="ListParagraph"/>
        <w:numPr>
          <w:ilvl w:val="0"/>
          <w:numId w:val="2"/>
        </w:numPr>
      </w:pPr>
      <w:r>
        <w:rPr>
          <w:rFonts w:ascii="Arial" w:cs="Arial" w:eastAsia="Arial" w:hAnsi="Arial"/>
          <w:sz w:val="22"/>
          <w:szCs w:val="22"/>
        </w:rPr>
        <w:t xml:space="preserve">Email address, full name, organisation details (name, logo), user roles (Owner, Admin, Member)</w:t>
      </w:r>
    </w:p>
    <w:p>
      <w:pPr>
        <w:pStyle w:val="Heading3"/>
      </w:pPr>
      <w:r>
        <w:t xml:space="preserve">Financial &amp; Billing Data</w:t>
      </w:r>
    </w:p>
    <w:p>
      <w:pPr>
        <w:pStyle w:val="ListParagraph"/>
        <w:numPr>
          <w:ilvl w:val="0"/>
          <w:numId w:val="2"/>
        </w:numPr>
      </w:pPr>
      <w:r>
        <w:rPr>
          <w:rFonts w:ascii="Arial" w:cs="Arial" w:eastAsia="Arial" w:hAnsi="Arial"/>
          <w:sz w:val="22"/>
          <w:szCs w:val="22"/>
        </w:rPr>
        <w:t xml:space="preserve">Stripe Customer ID and subscription status (we do not store raw credit card details — all payments are handled securely by Stripe)</w:t>
      </w:r>
    </w:p>
    <w:p>
      <w:pPr>
        <w:pStyle w:val="Heading3"/>
      </w:pPr>
      <w:r>
        <w:t xml:space="preserve">Environmental &amp; Utility Data (Core Data)</w:t>
      </w:r>
    </w:p>
    <w:p>
      <w:pPr>
        <w:pStyle w:val="ListParagraph"/>
        <w:numPr>
          <w:ilvl w:val="0"/>
          <w:numId w:val="2"/>
        </w:numPr>
      </w:pPr>
      <w:r>
        <w:rPr>
          <w:rFonts w:ascii="Arial" w:cs="Arial" w:eastAsia="Arial" w:hAnsi="Arial"/>
          <w:sz w:val="22"/>
          <w:szCs w:val="22"/>
        </w:rPr>
        <w:t xml:space="preserve">Uploaded utility bills (PDFs/images) stored in Supabase Storage</w:t>
      </w:r>
    </w:p>
    <w:p>
      <w:pPr>
        <w:pStyle w:val="ListParagraph"/>
        <w:numPr>
          <w:ilvl w:val="0"/>
          <w:numId w:val="2"/>
        </w:numPr>
      </w:pPr>
      <w:r>
        <w:rPr>
          <w:rFonts w:ascii="Arial" w:cs="Arial" w:eastAsia="Arial" w:hAnsi="Arial"/>
          <w:sz w:val="22"/>
          <w:szCs w:val="22"/>
        </w:rPr>
        <w:t xml:space="preserve">Extracted data via Mindee OCR: supplier names, account numbers, bill dates, usage (kWh, litres, etc.), costs</w:t>
      </w:r>
    </w:p>
    <w:p>
      <w:pPr>
        <w:pStyle w:val="ListParagraph"/>
        <w:numPr>
          <w:ilvl w:val="0"/>
          <w:numId w:val="2"/>
        </w:numPr>
      </w:pPr>
      <w:r>
        <w:rPr>
          <w:rFonts w:ascii="Arial" w:cs="Arial" w:eastAsia="Arial" w:hAnsi="Arial"/>
          <w:sz w:val="22"/>
          <w:szCs w:val="22"/>
        </w:rPr>
        <w:t xml:space="preserve">Calculated carbon emissions (kg CO₂e) using official DEFRA factors</w:t>
      </w:r>
    </w:p>
    <w:p>
      <w:pPr>
        <w:pStyle w:val="Heading3"/>
      </w:pPr>
      <w:r>
        <w:t xml:space="preserve">Technical &amp; Analytics Data</w:t>
      </w:r>
    </w:p>
    <w:p>
      <w:pPr>
        <w:pStyle w:val="ListParagraph"/>
        <w:numPr>
          <w:ilvl w:val="0"/>
          <w:numId w:val="2"/>
        </w:numPr>
      </w:pPr>
      <w:r>
        <w:rPr>
          <w:rFonts w:ascii="Arial" w:cs="Arial" w:eastAsia="Arial" w:hAnsi="Arial"/>
          <w:sz w:val="22"/>
          <w:szCs w:val="22"/>
        </w:rPr>
        <w:t xml:space="preserve">IP addresses (for rate limiting via Upstash), device/browser information via Vercel Analytics, authentication tokens via Supabase</w:t>
      </w:r>
    </w:p>
    <w:p>
      <w:pPr>
        <w:pStyle w:val="Heading2"/>
      </w:pPr>
      <w:r>
        <w:t xml:space="preserve">2.3 Third-Party Data Processors</w:t>
      </w:r>
    </w:p>
    <w:p>
      <w:pPr>
        <w:spacing w:after="120"/>
      </w:pPr>
      <w:r>
        <w:rPr>
          <w:rFonts w:ascii="Arial" w:cs="Arial" w:eastAsia="Arial" w:hAnsi="Arial"/>
          <w:sz w:val="22"/>
          <w:szCs w:val="22"/>
        </w:rPr>
        <w:t xml:space="preserve">We use the following trusted processors. All are GDPR-compliant and, where possible, use UK/EU data centres: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638"/>
      </w:tblGrid>
      <w:tr>
        <w:tc>
          <w:tcPr>
            <w:tcW w:type="dxa" w:w="2400"/>
            <w:tcBorders>
              <w:top w:val="single" w:color="CCCCCC" w:sz="1"/>
              <w:left w:val="single" w:color="CCCCCC" w:sz="1"/>
              <w:bottom w:val="single" w:color="CCCCCC" w:sz="1"/>
              <w:right w:val="single" w:color="CCCCCC" w:sz="1"/>
            </w:tcBorders>
            <w:shd w:fill="1a5f2a" w:val="clear"/>
            <w:tcMar>
              <w:top w:type="dxa" w:w="60"/>
              <w:left w:type="dxa" w:w="80"/>
              <w:bottom w:type="dxa" w:w="60"/>
              <w:right w:type="dxa" w:w="80"/>
            </w:tcMar>
          </w:tcPr>
          <w:p>
            <w:r>
              <w:rPr>
                <w:rFonts w:ascii="Arial" w:cs="Arial" w:eastAsia="Arial" w:hAnsi="Arial"/>
                <w:b/>
                <w:bCs/>
                <w:color w:val="FFFFFF"/>
                <w:sz w:val="20"/>
                <w:szCs w:val="20"/>
              </w:rPr>
              <w:t xml:space="preserve">Processor</w:t>
            </w:r>
          </w:p>
        </w:tc>
        <w:tc>
          <w:tcPr>
            <w:tcW w:type="dxa" w:w="3600"/>
            <w:tcBorders>
              <w:top w:val="single" w:color="CCCCCC" w:sz="1"/>
              <w:left w:val="single" w:color="CCCCCC" w:sz="1"/>
              <w:bottom w:val="single" w:color="CCCCCC" w:sz="1"/>
              <w:right w:val="single" w:color="CCCCCC" w:sz="1"/>
            </w:tcBorders>
            <w:shd w:fill="1a5f2a" w:val="clear"/>
            <w:tcMar>
              <w:top w:type="dxa" w:w="60"/>
              <w:left w:type="dxa" w:w="80"/>
              <w:bottom w:type="dxa" w:w="60"/>
              <w:right w:type="dxa" w:w="80"/>
            </w:tcMar>
          </w:tcPr>
          <w:p>
            <w:r>
              <w:rPr>
                <w:rFonts w:ascii="Arial" w:cs="Arial" w:eastAsia="Arial" w:hAnsi="Arial"/>
                <w:b/>
                <w:bCs/>
                <w:color w:val="FFFFFF"/>
                <w:sz w:val="20"/>
                <w:szCs w:val="20"/>
              </w:rPr>
              <w:t xml:space="preserve">Purpose</w:t>
            </w:r>
          </w:p>
        </w:tc>
        <w:tc>
          <w:tcPr>
            <w:tcW w:type="dxa" w:w="3638"/>
            <w:tcBorders>
              <w:top w:val="single" w:color="CCCCCC" w:sz="1"/>
              <w:left w:val="single" w:color="CCCCCC" w:sz="1"/>
              <w:bottom w:val="single" w:color="CCCCCC" w:sz="1"/>
              <w:right w:val="single" w:color="CCCCCC" w:sz="1"/>
            </w:tcBorders>
            <w:shd w:fill="1a5f2a" w:val="clear"/>
            <w:tcMar>
              <w:top w:type="dxa" w:w="60"/>
              <w:left w:type="dxa" w:w="80"/>
              <w:bottom w:type="dxa" w:w="60"/>
              <w:right w:type="dxa" w:w="80"/>
            </w:tcMar>
          </w:tcPr>
          <w:p>
            <w:r>
              <w:rPr>
                <w:rFonts w:ascii="Arial" w:cs="Arial" w:eastAsia="Arial" w:hAnsi="Arial"/>
                <w:b/>
                <w:bCs/>
                <w:color w:val="FFFFFF"/>
                <w:sz w:val="20"/>
                <w:szCs w:val="20"/>
              </w:rPr>
              <w:t xml:space="preserve">Data Location</w:t>
            </w:r>
          </w:p>
        </w:tc>
      </w:tr>
      <w:tr>
        <w:tc>
          <w:tcPr>
            <w:tcW w:type="dxa" w:w="24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Supabase</w:t>
            </w:r>
          </w:p>
        </w:tc>
        <w:tc>
          <w:tcPr>
            <w:tcW w:type="dxa" w:w="3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Database, Authentication, File Storage</w:t>
            </w:r>
          </w:p>
        </w:tc>
        <w:tc>
          <w:tcPr>
            <w:tcW w:type="dxa" w:w="3638"/>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London, UK (eu-west-2)</w:t>
            </w:r>
          </w:p>
        </w:tc>
      </w:tr>
      <w:tr>
        <w:tc>
          <w:tcPr>
            <w:tcW w:type="dxa" w:w="24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Mindee</w:t>
            </w:r>
          </w:p>
        </w:tc>
        <w:tc>
          <w:tcPr>
            <w:tcW w:type="dxa" w:w="3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OCR / Document Parsing of utility bills</w:t>
            </w:r>
          </w:p>
        </w:tc>
        <w:tc>
          <w:tcPr>
            <w:tcW w:type="dxa" w:w="3638"/>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EU (GDPR compliant)</w:t>
            </w:r>
          </w:p>
        </w:tc>
      </w:tr>
      <w:tr>
        <w:tc>
          <w:tcPr>
            <w:tcW w:type="dxa" w:w="24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Stripe</w:t>
            </w:r>
          </w:p>
        </w:tc>
        <w:tc>
          <w:tcPr>
            <w:tcW w:type="dxa" w:w="3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Payments, Subscriptions, Billing</w:t>
            </w:r>
          </w:p>
        </w:tc>
        <w:tc>
          <w:tcPr>
            <w:tcW w:type="dxa" w:w="3638"/>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Global (PCI-DSS compliant)</w:t>
            </w:r>
          </w:p>
        </w:tc>
      </w:tr>
      <w:tr>
        <w:tc>
          <w:tcPr>
            <w:tcW w:type="dxa" w:w="24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Resend / Nodemailer</w:t>
            </w:r>
          </w:p>
        </w:tc>
        <w:tc>
          <w:tcPr>
            <w:tcW w:type="dxa" w:w="3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Transactional Emails</w:t>
            </w:r>
          </w:p>
        </w:tc>
        <w:tc>
          <w:tcPr>
            <w:tcW w:type="dxa" w:w="3638"/>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EU / UK</w:t>
            </w:r>
          </w:p>
        </w:tc>
      </w:tr>
      <w:tr>
        <w:tc>
          <w:tcPr>
            <w:tcW w:type="dxa" w:w="24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Vercel Analytics</w:t>
            </w:r>
          </w:p>
        </w:tc>
        <w:tc>
          <w:tcPr>
            <w:tcW w:type="dxa" w:w="3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Website Analytics</w:t>
            </w:r>
          </w:p>
        </w:tc>
        <w:tc>
          <w:tcPr>
            <w:tcW w:type="dxa" w:w="3638"/>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Global (anonymised)</w:t>
            </w:r>
          </w:p>
        </w:tc>
      </w:tr>
      <w:tr>
        <w:tc>
          <w:tcPr>
            <w:tcW w:type="dxa" w:w="24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Upstash (Redis)</w:t>
            </w:r>
          </w:p>
        </w:tc>
        <w:tc>
          <w:tcPr>
            <w:tcW w:type="dxa" w:w="3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API Rate Limiting</w:t>
            </w:r>
          </w:p>
        </w:tc>
        <w:tc>
          <w:tcPr>
            <w:tcW w:type="dxa" w:w="3638"/>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EU</w:t>
            </w:r>
          </w:p>
        </w:tc>
      </w:tr>
    </w:tbl>
    <w:p>
      <w:pPr>
        <w:spacing w:after="200" w:before="200"/>
      </w:pPr>
      <w:r>
        <w:rPr>
          <w:rFonts w:ascii="Arial" w:cs="Arial" w:eastAsia="Arial" w:hAnsi="Arial"/>
          <w:sz w:val="22"/>
          <w:szCs w:val="22"/>
        </w:rPr>
        <w:t xml:space="preserve">We have Data Processing Agreements (DPAs) in place with all processors. Mindee and Supabase are our primary processors for sensitive utility bill data.</w:t>
      </w:r>
    </w:p>
    <w:p>
      <w:pPr>
        <w:pStyle w:val="Heading2"/>
      </w:pPr>
      <w:r>
        <w:t xml:space="preserve">2.4 How We Use Your Data</w:t>
      </w:r>
    </w:p>
    <w:p>
      <w:pPr>
        <w:pStyle w:val="ListParagraph"/>
        <w:numPr>
          <w:ilvl w:val="0"/>
          <w:numId w:val="2"/>
        </w:numPr>
      </w:pPr>
      <w:r>
        <w:rPr>
          <w:rFonts w:ascii="Arial" w:cs="Arial" w:eastAsia="Arial" w:hAnsi="Arial"/>
          <w:sz w:val="22"/>
          <w:szCs w:val="22"/>
        </w:rPr>
        <w:t xml:space="preserve">To provide and improve the Service (OCR processing, carbon calculations, dashboards, reports)</w:t>
      </w:r>
    </w:p>
    <w:p>
      <w:pPr>
        <w:pStyle w:val="ListParagraph"/>
        <w:numPr>
          <w:ilvl w:val="0"/>
          <w:numId w:val="2"/>
        </w:numPr>
      </w:pPr>
      <w:r>
        <w:rPr>
          <w:rFonts w:ascii="Arial" w:cs="Arial" w:eastAsia="Arial" w:hAnsi="Arial"/>
          <w:sz w:val="22"/>
          <w:szCs w:val="22"/>
        </w:rPr>
        <w:t xml:space="preserve">To manage your account, subscriptions, and team access</w:t>
      </w:r>
    </w:p>
    <w:p>
      <w:pPr>
        <w:pStyle w:val="ListParagraph"/>
        <w:numPr>
          <w:ilvl w:val="0"/>
          <w:numId w:val="2"/>
        </w:numPr>
      </w:pPr>
      <w:r>
        <w:rPr>
          <w:rFonts w:ascii="Arial" w:cs="Arial" w:eastAsia="Arial" w:hAnsi="Arial"/>
          <w:sz w:val="22"/>
          <w:szCs w:val="22"/>
        </w:rPr>
        <w:t xml:space="preserve">To send important service emails (invitations, billing, security alerts)</w:t>
      </w:r>
    </w:p>
    <w:p>
      <w:pPr>
        <w:pStyle w:val="ListParagraph"/>
        <w:numPr>
          <w:ilvl w:val="0"/>
          <w:numId w:val="2"/>
        </w:numPr>
      </w:pPr>
      <w:r>
        <w:rPr>
          <w:rFonts w:ascii="Arial" w:cs="Arial" w:eastAsia="Arial" w:hAnsi="Arial"/>
          <w:sz w:val="22"/>
          <w:szCs w:val="22"/>
        </w:rPr>
        <w:t xml:space="preserve">To comply with legal obligations and prevent fraud</w:t>
      </w:r>
    </w:p>
    <w:p>
      <w:pPr>
        <w:pStyle w:val="Heading2"/>
      </w:pPr>
      <w:r>
        <w:t xml:space="preserve">2.5 Data Retention</w:t>
      </w:r>
    </w:p>
    <w:p>
      <w:pPr>
        <w:spacing w:after="120"/>
      </w:pPr>
      <w:r>
        <w:rPr>
          <w:rFonts w:ascii="Arial" w:cs="Arial" w:eastAsia="Arial" w:hAnsi="Arial"/>
          <w:sz w:val="22"/>
          <w:szCs w:val="22"/>
        </w:rPr>
        <w:t xml:space="preserve">We retain your data for as long as your account is active or as needed to provide the Service. Upon cancellation:</w:t>
      </w:r>
    </w:p>
    <w:p>
      <w:pPr>
        <w:pStyle w:val="ListParagraph"/>
        <w:numPr>
          <w:ilvl w:val="0"/>
          <w:numId w:val="2"/>
        </w:numPr>
      </w:pPr>
      <w:r>
        <w:rPr>
          <w:rFonts w:ascii="Arial" w:cs="Arial" w:eastAsia="Arial" w:hAnsi="Arial"/>
          <w:sz w:val="22"/>
          <w:szCs w:val="22"/>
        </w:rPr>
        <w:t xml:space="preserve">Uploaded bills and extracted data: Deleted or anonymised within 30 days of account closure (unless required for legal/tax reasons)</w:t>
      </w:r>
    </w:p>
    <w:p>
      <w:pPr>
        <w:pStyle w:val="ListParagraph"/>
        <w:numPr>
          <w:ilvl w:val="0"/>
          <w:numId w:val="2"/>
        </w:numPr>
      </w:pPr>
      <w:r>
        <w:rPr>
          <w:rFonts w:ascii="Arial" w:cs="Arial" w:eastAsia="Arial" w:hAnsi="Arial"/>
          <w:sz w:val="22"/>
          <w:szCs w:val="22"/>
        </w:rPr>
        <w:t xml:space="preserve">Billing records: Retained for 7 years in line with UK tax law</w:t>
      </w:r>
    </w:p>
    <w:p>
      <w:pPr>
        <w:pStyle w:val="Heading2"/>
      </w:pPr>
      <w:r>
        <w:t xml:space="preserve">2.6 Your Rights (UK GDPR)</w:t>
      </w:r>
    </w:p>
    <w:p>
      <w:pPr>
        <w:spacing w:after="120"/>
      </w:pPr>
      <w:r>
        <w:rPr>
          <w:rFonts w:ascii="Arial" w:cs="Arial" w:eastAsia="Arial" w:hAnsi="Arial"/>
          <w:sz w:val="22"/>
          <w:szCs w:val="22"/>
        </w:rPr>
        <w:t xml:space="preserve">You have the right to access, rectify, erase, restrict processing, data portability, and object to processing. To exercise these rights, email suhail@greentrackai.com. We will respond within one month.</w:t>
      </w:r>
    </w:p>
    <w:p>
      <w:pPr>
        <w:pStyle w:val="Heading2"/>
      </w:pPr>
      <w:r>
        <w:t xml:space="preserve">2.7 Security</w:t>
      </w:r>
    </w:p>
    <w:p>
      <w:pPr>
        <w:spacing w:after="200"/>
      </w:pPr>
      <w:r>
        <w:rPr>
          <w:rFonts w:ascii="Arial" w:cs="Arial" w:eastAsia="Arial" w:hAnsi="Arial"/>
          <w:sz w:val="22"/>
          <w:szCs w:val="22"/>
        </w:rPr>
        <w:t xml:space="preserve">We use industry-standard security measures including Row Level Security (RLS) in Supabase, edge middleware authentication, encrypted connections (TLS), and regular security reviews. Uploaded bills are processed securely via Mindee and stored in UK/EU data centres.</w:t>
      </w:r>
    </w:p>
    <w:p>
      <w:pPr>
        <w:pStyle w:val="Heading2"/>
      </w:pPr>
      <w:r>
        <w:t xml:space="preserve">2.8 International Transfers</w:t>
      </w:r>
    </w:p>
    <w:p>
      <w:pPr>
        <w:spacing w:after="200"/>
      </w:pPr>
      <w:r>
        <w:rPr>
          <w:rFonts w:ascii="Arial" w:cs="Arial" w:eastAsia="Arial" w:hAnsi="Arial"/>
          <w:sz w:val="22"/>
          <w:szCs w:val="22"/>
        </w:rPr>
        <w:t xml:space="preserve">Most data is stored and processed in the UK/EU. Where data is transferred outside the UK/EU (e.g. to Stripe or certain analytics providers), we ensure appropriate safeguards such as Standard Contractual Clauses or UK Addendums are in place.</w:t>
      </w:r>
    </w:p>
    <w:p>
      <w:pPr>
        <w:pStyle w:val="Heading2"/>
      </w:pPr>
      <w:r>
        <w:t xml:space="preserve">2.9 Contact &amp; Complaints</w:t>
      </w:r>
    </w:p>
    <w:p>
      <w:pPr>
        <w:spacing w:after="200"/>
      </w:pPr>
      <w:r>
        <w:rPr>
          <w:rFonts w:ascii="Arial" w:cs="Arial" w:eastAsia="Arial" w:hAnsi="Arial"/>
          <w:sz w:val="22"/>
          <w:szCs w:val="22"/>
        </w:rPr>
        <w:t xml:space="preserve">For any privacy questions or complaints, contact: suhail@greentrackai.com. You also have the right to lodge a complaint with the UK Information Commissioner’s Office (ICO) at ico.org.uk.</w:t>
      </w:r>
    </w:p>
    <w:p>
      <w:r>
        <w:br w:type="page"/>
      </w:r>
    </w:p>
    <w:p>
      <w:pPr>
        <w:pStyle w:val="Heading1"/>
      </w:pPr>
      <w:r>
        <w:t xml:space="preserve">3. Cookie Policy</w:t>
      </w:r>
    </w:p>
    <w:p>
      <w:pPr>
        <w:spacing w:after="200"/>
      </w:pPr>
      <w:r>
        <w:rPr>
          <w:rFonts w:ascii="Arial" w:cs="Arial" w:eastAsia="Arial" w:hAnsi="Arial"/>
          <w:sz w:val="22"/>
          <w:szCs w:val="22"/>
        </w:rPr>
        <w:t xml:space="preserve">This Cookie Policy explains how GreenTrack AI Ltd uses cookies and similar technologies on our website and platform.</w:t>
      </w:r>
    </w:p>
    <w:p>
      <w:pPr>
        <w:pStyle w:val="Heading2"/>
      </w:pPr>
      <w:r>
        <w:t xml:space="preserve">3.1 What Are Cookies?</w:t>
      </w:r>
    </w:p>
    <w:p>
      <w:pPr>
        <w:spacing w:after="200"/>
      </w:pPr>
      <w:r>
        <w:rPr>
          <w:rFonts w:ascii="Arial" w:cs="Arial" w:eastAsia="Arial" w:hAnsi="Arial"/>
          <w:sz w:val="22"/>
          <w:szCs w:val="22"/>
        </w:rPr>
        <w:t xml:space="preserve">Cookies are small text files placed on your device when you visit a website. They help the site remember your preferences and improve your experience.</w:t>
      </w:r>
    </w:p>
    <w:p>
      <w:pPr>
        <w:pStyle w:val="Heading2"/>
      </w:pPr>
      <w:r>
        <w:t xml:space="preserve">3.2 Cookies We Use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200"/>
        <w:gridCol w:w="2438"/>
      </w:tblGrid>
      <w:tr>
        <w:tc>
          <w:tcPr>
            <w:tcW w:type="dxa" w:w="2200"/>
            <w:tcBorders>
              <w:top w:val="single" w:color="CCCCCC" w:sz="1"/>
              <w:left w:val="single" w:color="CCCCCC" w:sz="1"/>
              <w:bottom w:val="single" w:color="CCCCCC" w:sz="1"/>
              <w:right w:val="single" w:color="CCCCCC" w:sz="1"/>
            </w:tcBorders>
            <w:shd w:fill="1a5f2a" w:val="clear"/>
            <w:tcMar>
              <w:top w:type="dxa" w:w="60"/>
              <w:left w:type="dxa" w:w="80"/>
              <w:bottom w:type="dxa" w:w="60"/>
              <w:right w:type="dxa" w:w="80"/>
            </w:tcMar>
          </w:tcPr>
          <w:p>
            <w:r>
              <w:rPr>
                <w:rFonts w:ascii="Arial" w:cs="Arial" w:eastAsia="Arial" w:hAnsi="Arial"/>
                <w:b/>
                <w:bCs/>
                <w:color w:val="FFFFFF"/>
                <w:sz w:val="20"/>
                <w:szCs w:val="20"/>
              </w:rPr>
              <w:t xml:space="preserve">Category</w:t>
            </w:r>
          </w:p>
        </w:tc>
        <w:tc>
          <w:tcPr>
            <w:tcW w:type="dxa" w:w="2800"/>
            <w:tcBorders>
              <w:top w:val="single" w:color="CCCCCC" w:sz="1"/>
              <w:left w:val="single" w:color="CCCCCC" w:sz="1"/>
              <w:bottom w:val="single" w:color="CCCCCC" w:sz="1"/>
              <w:right w:val="single" w:color="CCCCCC" w:sz="1"/>
            </w:tcBorders>
            <w:shd w:fill="1a5f2a" w:val="clear"/>
            <w:tcMar>
              <w:top w:type="dxa" w:w="60"/>
              <w:left w:type="dxa" w:w="80"/>
              <w:bottom w:type="dxa" w:w="60"/>
              <w:right w:type="dxa" w:w="80"/>
            </w:tcMar>
          </w:tcPr>
          <w:p>
            <w:r>
              <w:rPr>
                <w:rFonts w:ascii="Arial" w:cs="Arial" w:eastAsia="Arial" w:hAnsi="Arial"/>
                <w:b/>
                <w:bCs/>
                <w:color w:val="FFFFFF"/>
                <w:sz w:val="20"/>
                <w:szCs w:val="20"/>
              </w:rPr>
              <w:t xml:space="preserve">Purpose</w:t>
            </w:r>
          </w:p>
        </w:tc>
        <w:tc>
          <w:tcPr>
            <w:tcW w:type="dxa" w:w="2200"/>
            <w:tcBorders>
              <w:top w:val="single" w:color="CCCCCC" w:sz="1"/>
              <w:left w:val="single" w:color="CCCCCC" w:sz="1"/>
              <w:bottom w:val="single" w:color="CCCCCC" w:sz="1"/>
              <w:right w:val="single" w:color="CCCCCC" w:sz="1"/>
            </w:tcBorders>
            <w:shd w:fill="1a5f2a" w:val="clear"/>
            <w:tcMar>
              <w:top w:type="dxa" w:w="60"/>
              <w:left w:type="dxa" w:w="80"/>
              <w:bottom w:type="dxa" w:w="60"/>
              <w:right w:type="dxa" w:w="80"/>
            </w:tcMar>
          </w:tcPr>
          <w:p>
            <w:r>
              <w:rPr>
                <w:rFonts w:ascii="Arial" w:cs="Arial" w:eastAsia="Arial" w:hAnsi="Arial"/>
                <w:b/>
                <w:bCs/>
                <w:color w:val="FFFFFF"/>
                <w:sz w:val="20"/>
                <w:szCs w:val="20"/>
              </w:rPr>
              <w:t xml:space="preserve">Duration</w:t>
            </w:r>
          </w:p>
        </w:tc>
        <w:tc>
          <w:tcPr>
            <w:tcW w:type="dxa" w:w="2438"/>
            <w:tcBorders>
              <w:top w:val="single" w:color="CCCCCC" w:sz="1"/>
              <w:left w:val="single" w:color="CCCCCC" w:sz="1"/>
              <w:bottom w:val="single" w:color="CCCCCC" w:sz="1"/>
              <w:right w:val="single" w:color="CCCCCC" w:sz="1"/>
            </w:tcBorders>
            <w:shd w:fill="1a5f2a" w:val="clear"/>
            <w:tcMar>
              <w:top w:type="dxa" w:w="60"/>
              <w:left w:type="dxa" w:w="80"/>
              <w:bottom w:type="dxa" w:w="60"/>
              <w:right w:type="dxa" w:w="80"/>
            </w:tcMar>
          </w:tcPr>
          <w:p>
            <w:r>
              <w:rPr>
                <w:rFonts w:ascii="Arial" w:cs="Arial" w:eastAsia="Arial" w:hAnsi="Arial"/>
                <w:b/>
                <w:bCs/>
                <w:color w:val="FFFFFF"/>
                <w:sz w:val="20"/>
                <w:szCs w:val="20"/>
              </w:rPr>
              <w:t xml:space="preserve">Essential?</w:t>
            </w:r>
          </w:p>
        </w:tc>
      </w:tr>
      <w:tr>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Strictly Necessary</w:t>
            </w:r>
          </w:p>
        </w:tc>
        <w:tc>
          <w:tcPr>
            <w:tcW w:type="dxa" w:w="2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Authentication (Supabase tokens), security, session management</w:t>
            </w:r>
          </w:p>
        </w:tc>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Session / 30 days</w:t>
            </w:r>
          </w:p>
        </w:tc>
        <w:tc>
          <w:tcPr>
            <w:tcW w:type="dxa" w:w="2438"/>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bCs/>
                <w:sz w:val="20"/>
                <w:szCs w:val="20"/>
              </w:rPr>
              <w:t xml:space="preserve">Yes</w:t>
            </w:r>
          </w:p>
        </w:tc>
      </w:tr>
      <w:tr>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Analytics</w:t>
            </w:r>
          </w:p>
        </w:tc>
        <w:tc>
          <w:tcPr>
            <w:tcW w:type="dxa" w:w="2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Vercel Analytics – page views, device type, general location (anonymised)</w:t>
            </w:r>
          </w:p>
        </w:tc>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Persistent</w:t>
            </w:r>
          </w:p>
        </w:tc>
        <w:tc>
          <w:tcPr>
            <w:tcW w:type="dxa" w:w="2438"/>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No (you can opt out)</w:t>
            </w:r>
          </w:p>
        </w:tc>
      </w:tr>
      <w:tr>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Functional</w:t>
            </w:r>
          </w:p>
        </w:tc>
        <w:tc>
          <w:tcPr>
            <w:tcW w:type="dxa" w:w="2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Remember login state, user preferences, cookie banner choice (localStorage)</w:t>
            </w:r>
          </w:p>
        </w:tc>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Persistent</w:t>
            </w:r>
          </w:p>
        </w:tc>
        <w:tc>
          <w:tcPr>
            <w:tcW w:type="dxa" w:w="2438"/>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bCs/>
                <w:sz w:val="20"/>
                <w:szCs w:val="20"/>
              </w:rPr>
              <w:t xml:space="preserve">Yes</w:t>
            </w:r>
          </w:p>
        </w:tc>
      </w:tr>
    </w:tbl>
    <w:p>
      <w:pPr>
        <w:pStyle w:val="Heading2"/>
      </w:pPr>
      <w:r>
        <w:t xml:space="preserve">3.3 Managing Cookies</w:t>
      </w:r>
    </w:p>
    <w:p>
      <w:pPr>
        <w:spacing w:after="120"/>
      </w:pPr>
      <w:r>
        <w:rPr>
          <w:rFonts w:ascii="Arial" w:cs="Arial" w:eastAsia="Arial" w:hAnsi="Arial"/>
          <w:sz w:val="22"/>
          <w:szCs w:val="22"/>
        </w:rPr>
        <w:t xml:space="preserve">You can manage or disable cookies through your browser settings. Note that disabling strictly necessary cookies may affect the functionality of the Service (e.g. you may not be able to log in).</w:t>
      </w:r>
    </w:p>
    <w:p>
      <w:pPr>
        <w:spacing w:after="200"/>
      </w:pPr>
      <w:r>
        <w:rPr>
          <w:rFonts w:ascii="Arial" w:cs="Arial" w:eastAsia="Arial" w:hAnsi="Arial"/>
          <w:sz w:val="22"/>
          <w:szCs w:val="22"/>
        </w:rPr>
        <w:t xml:space="preserve">Our cookie banner allows you to accept or reject non-essential cookies (analytics). Your choice is remembered via localStorage.</w:t>
      </w:r>
    </w:p>
    <w:p>
      <w:pPr>
        <w:pStyle w:val="Heading2"/>
      </w:pPr>
      <w:r>
        <w:t xml:space="preserve">3.4 Updates to This Policy</w:t>
      </w:r>
    </w:p>
    <w:p>
      <w:pPr>
        <w:spacing w:after="200"/>
      </w:pPr>
      <w:r>
        <w:rPr>
          <w:rFonts w:ascii="Arial" w:cs="Arial" w:eastAsia="Arial" w:hAnsi="Arial"/>
          <w:sz w:val="22"/>
          <w:szCs w:val="22"/>
        </w:rPr>
        <w:t xml:space="preserve">We may update this Cookie Policy from time to time. The latest version will always be available on our website with the effective date clearly shown.</w:t>
      </w:r>
    </w:p>
    <w:p>
      <w:pPr>
        <w:spacing w:before="400"/>
        <w:jc w:val="center"/>
      </w:pPr>
      <w:r>
        <w:rPr>
          <w:rFonts w:ascii="Arial" w:cs="Arial" w:eastAsia="Arial" w:hAnsi="Arial"/>
          <w:i/>
          <w:iCs/>
          <w:color w:val="666666"/>
          <w:sz w:val="20"/>
          <w:szCs w:val="20"/>
        </w:rPr>
        <w:t xml:space="preserve">— End of Document —</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GreenTrack AI Ltd | Confidential | 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GreenTrack AI Ltd – Legal Documents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5f2a"/>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a5f2a"/>
      <w:sz w:val="26"/>
      <w:szCs w:val="26"/>
    </w:rPr>
  </w:style>
  <w:style w:type="paragraph" w:styleId="Heading3">
    <w:name w:val="Heading 3"/>
    <w:basedOn w:val="Normal"/>
    <w:next w:val="Normal"/>
    <w:qFormat/>
    <w:pPr>
      <w:spacing w:after="12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2026-06-02T23:53:55.358Z</dcterms:created>
  <dcterms:modified xsi:type="dcterms:W3CDTF">2026-06-02T23:53:55.358Z</dcterms:modified>
</cp:coreProperties>
</file>

<file path=docProps/custom.xml><?xml version="1.0" encoding="utf-8"?>
<Properties xmlns="http://schemas.openxmlformats.org/officeDocument/2006/custom-properties" xmlns:vt="http://schemas.openxmlformats.org/officeDocument/2006/docPropsVTypes"/>
</file>