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B365D"/>
          <w:sz w:val="40"/>
        </w:rPr>
        <w:t>DKD-XAI: Explainable AI for Early Diabetic Kidney Disease Risk Stratification</w:t>
      </w:r>
    </w:p>
    <w:p>
      <w:pPr>
        <w:spacing w:before="0" w:after="160"/>
      </w:pPr>
      <w:r>
        <w:rPr>
          <w:rFonts w:ascii="Arial" w:hAnsi="Arial"/>
          <w:b/>
          <w:color w:val="0D9488"/>
          <w:sz w:val="24"/>
        </w:rPr>
        <w:t>Project Summary &amp; Outcomes Report | End-to-End Overview</w:t>
      </w:r>
    </w:p>
    <w:p>
      <w:pPr>
        <w:spacing w:before="0" w:after="280"/>
      </w:pPr>
      <w:r>
        <w:rPr>
          <w:rFonts w:ascii="Arial" w:hAnsi="Arial"/>
          <w:color w:val="64748B"/>
          <w:sz w:val="19"/>
        </w:rPr>
        <w:t>Author: Vimal Vijayan (Roll No. 17030925059)  •  Mentor: Dr. Mayura Nagar  •  Date: October 2026</w:t>
      </w:r>
    </w:p>
    <w:p>
      <w:pPr>
        <w:spacing w:after="160"/>
      </w:pPr>
      <w:r>
        <w:rPr>
          <w:b/>
          <w:color w:val="E2E8F0"/>
        </w:rPr>
        <w:t>――――――――――――――――――――――――――――――――――――――――――――――――――――――――――</w:t>
      </w:r>
    </w:p>
    <w:p>
      <w:pPr>
        <w:spacing w:before="200" w:after="80"/>
      </w:pPr>
      <w:r>
        <w:rPr>
          <w:rFonts w:ascii="Arial" w:hAnsi="Arial"/>
          <w:b/>
          <w:color w:val="1B365D"/>
          <w:sz w:val="28"/>
        </w:rPr>
        <w:t>1. Executive Summary</w:t>
      </w:r>
    </w:p>
    <w:p>
      <w:pPr>
        <w:spacing w:after="120" w:line="276" w:lineRule="auto"/>
      </w:pPr>
      <w:r>
        <w:rPr>
          <w:rFonts w:ascii="Arial" w:hAnsi="Arial"/>
          <w:color w:val="334155"/>
          <w:sz w:val="20"/>
        </w:rPr>
        <w:t>Diabetic Kidney Disease (DKD) is one of the most severe microvascular complications of diabetes, affecting nearly 40% of diabetic patients and standing as the leading cause of end-stage renal disease globally. Traditionally, DKD is diagnosed only after kidney damage has already occurred, using laboratory markers like elevated Urine Albumin-to-Creatinine Ratio (UACR ≥ 30 mg/g) or reduced estimated Glomerular Filtration Rate (eGFR &lt; 60 mL/min/1.73m²).</w:t>
      </w:r>
    </w:p>
    <w:p>
      <w:pPr>
        <w:spacing w:after="160" w:line="276" w:lineRule="auto"/>
      </w:pPr>
      <w:r>
        <w:rPr>
          <w:rFonts w:ascii="Arial" w:hAnsi="Arial"/>
          <w:color w:val="334155"/>
          <w:sz w:val="20"/>
        </w:rPr>
        <w:t>The DKD-XAI project provides an end-to-end clinical machine learning and generative explainable AI (XAI) solution. Its central breakthrough is predicting kidney damage risk early using exclusively non-kidney routine parameters (e.g., blood pressure, age, HbA1c, lipids, diabetes duration) while strictly eliminating data leakage. The project was executed in two systematic phases:</w:t>
      </w:r>
    </w:p>
    <w:p>
      <w:pPr>
        <w:pStyle w:val="ListBullet"/>
        <w:spacing w:after="60" w:line="276" w:lineRule="auto"/>
      </w:pPr>
      <w:r>
        <w:rPr>
          <w:b/>
          <w:color w:val="1B365D"/>
        </w:rPr>
        <w:t xml:space="preserve">Phase 1 (Predictive Pipeline &amp; Explainability): </w:t>
      </w:r>
      <w:r>
        <w:rPr>
          <w:color w:val="334155"/>
        </w:rPr>
        <w:t>Harmonized 4,024 adult diabetic patients across 4 NHANES cycles, benchmarked four ML/DL algorithms (Logistic Regression, Random Forest, XGBoost, and PyTorch Deep Learning MLP), established chronological temporal validation, and calculated transparent SHAP feature attributions.</w:t>
      </w:r>
    </w:p>
    <w:p>
      <w:pPr>
        <w:pStyle w:val="ListBullet"/>
        <w:spacing w:after="160" w:line="276" w:lineRule="auto"/>
      </w:pPr>
      <w:r>
        <w:rPr>
          <w:b/>
          <w:color w:val="1B365D"/>
        </w:rPr>
        <w:t xml:space="preserve">Phase 2 (Evidence-Grounded AI Agent &amp; Clinical Web Interface): </w:t>
      </w:r>
      <w:r>
        <w:rPr>
          <w:color w:val="334155"/>
        </w:rPr>
        <w:t>Engineered a Groq-powered clinical reasoning agent (Llama 3.3 70B) grounded in official ADA 2026 / KDIGO 2022 guidelines with strict automated faithfulness checks, paired with a full-stack interactive web application featuring natural-language vitals extraction.</w:t>
      </w:r>
    </w:p>
    <w:tbl>
      <w:tblPr>
        <w:tblW w:type="auto" w:w="0"/>
        <w:jc w:val="center"/>
        <w:tblLayout w:type="fixed"/>
        <w:tblLook w:firstColumn="1" w:firstRow="1" w:lastColumn="0" w:lastRow="0" w:noHBand="0" w:noVBand="1" w:val="04A0"/>
      </w:tblPr>
      <w:tblGrid>
        <w:gridCol w:w="9936"/>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0" w:after="60" w:line="276" w:lineRule="auto"/>
            </w:pPr>
            <w:r>
              <w:rPr>
                <w:rFonts w:ascii="Arial" w:hAnsi="Arial"/>
                <w:b/>
                <w:color w:val="0D9488"/>
                <w:sz w:val="20"/>
              </w:rPr>
              <w:t xml:space="preserve">📌 CORE HIGHLIGHTS: </w:t>
            </w:r>
            <w:r>
              <w:rPr>
                <w:rFonts w:ascii="Arial" w:hAnsi="Arial"/>
                <w:color w:val="1E293B"/>
                <w:sz w:val="19"/>
              </w:rPr>
              <w:t>• Best Overall Model: XGBoost achieved 0.732 AUROC on holdout testing and 0.723 on unseen future temporal cycles.</w:t>
            </w:r>
          </w:p>
          <w:p>
            <w:pPr>
              <w:spacing w:before="40" w:after="40" w:line="276" w:lineRule="auto"/>
            </w:pPr>
            <w:r>
              <w:rPr>
                <w:rFonts w:ascii="Arial" w:hAnsi="Arial"/>
                <w:color w:val="1E293B"/>
                <w:sz w:val="19"/>
              </w:rPr>
              <w:t>• Strict Zero Leakage: Serum creatinine, eGFR, and UACR are strictly forbidden as model inputs.</w:t>
            </w:r>
          </w:p>
          <w:p>
            <w:pPr>
              <w:spacing w:before="40" w:after="40" w:line="276" w:lineRule="auto"/>
            </w:pPr>
            <w:r>
              <w:rPr>
                <w:rFonts w:ascii="Arial" w:hAnsi="Arial"/>
                <w:color w:val="1E293B"/>
                <w:sz w:val="19"/>
              </w:rPr>
              <w:t>• Trustworthy AI: Generative explanations cite verifiable medical guidelines with zero statistical hallucinations.</w:t>
            </w:r>
          </w:p>
        </w:tc>
      </w:tr>
    </w:tbl>
    <w:p>
      <w:pPr>
        <w:spacing w:after="80"/>
      </w:pPr>
    </w:p>
    <w:p>
      <w:pPr>
        <w:spacing w:before="200" w:after="80"/>
      </w:pPr>
      <w:r>
        <w:rPr>
          <w:rFonts w:ascii="Arial" w:hAnsi="Arial"/>
          <w:b/>
          <w:color w:val="1B365D"/>
          <w:sz w:val="28"/>
        </w:rPr>
        <w:t>2. Cohort Data &amp; Zero-Leakage Architecture</w:t>
      </w:r>
    </w:p>
    <w:p>
      <w:pPr>
        <w:spacing w:after="120" w:line="276" w:lineRule="auto"/>
      </w:pPr>
      <w:r>
        <w:rPr>
          <w:rFonts w:ascii="Arial" w:hAnsi="Arial"/>
          <w:color w:val="334155"/>
          <w:sz w:val="20"/>
        </w:rPr>
        <w:t>Data was pooled from the U.S. Centers for Disease Control (CDC) National Health and Nutrition Examination Survey (NHANES), spanning four cycles from 2013 to 2023. Only adult participants (18+) with verified diabetes (doctor-diagnosed or HbA1c ≥ 6.5%) who had complete laboratory measurements were included.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600"/>
            <w:shd w:fill="1B365D"/>
            <w:tcMar>
              <w:top w:w="100" w:type="dxa"/>
              <w:bottom w:w="100" w:type="dxa"/>
              <w:left w:w="120" w:type="dxa"/>
              <w:right w:w="120" w:type="dxa"/>
            </w:tcMar>
          </w:tcPr>
          <w:p>
            <w:pPr>
              <w:jc w:val="left"/>
            </w:pPr>
            <w:r>
              <w:rPr>
                <w:rFonts w:ascii="Arial" w:hAnsi="Arial"/>
                <w:b/>
                <w:color w:val="FFFFFF"/>
                <w:sz w:val="19"/>
              </w:rPr>
              <w:t>NHANES Survey Cycle</w:t>
            </w:r>
          </w:p>
        </w:tc>
        <w:tc>
          <w:tcPr>
            <w:tcW w:type="dxa" w:w="2592"/>
            <w:shd w:fill="1B365D"/>
            <w:tcMar>
              <w:top w:w="100" w:type="dxa"/>
              <w:bottom w:w="100" w:type="dxa"/>
              <w:left w:w="120" w:type="dxa"/>
              <w:right w:w="120" w:type="dxa"/>
            </w:tcMar>
          </w:tcPr>
          <w:p>
            <w:pPr>
              <w:jc w:val="left"/>
            </w:pPr>
            <w:r>
              <w:rPr>
                <w:rFonts w:ascii="Arial" w:hAnsi="Arial"/>
                <w:b/>
                <w:color w:val="FFFFFF"/>
                <w:sz w:val="19"/>
              </w:rPr>
              <w:t>Participant Count</w:t>
            </w:r>
          </w:p>
        </w:tc>
        <w:tc>
          <w:tcPr>
            <w:tcW w:type="dxa" w:w="3168"/>
            <w:shd w:fill="1B365D"/>
            <w:tcMar>
              <w:top w:w="100" w:type="dxa"/>
              <w:bottom w:w="100" w:type="dxa"/>
              <w:left w:w="120" w:type="dxa"/>
              <w:right w:w="120" w:type="dxa"/>
            </w:tcMar>
          </w:tcPr>
          <w:p>
            <w:pPr>
              <w:jc w:val="left"/>
            </w:pPr>
            <w:r>
              <w:rPr>
                <w:rFonts w:ascii="Arial" w:hAnsi="Arial"/>
                <w:b/>
                <w:color w:val="FFFFFF"/>
                <w:sz w:val="19"/>
              </w:rPr>
              <w:t>Status / Pipeline Usage</w:t>
            </w:r>
          </w:p>
        </w:tc>
      </w:tr>
      <w:tr>
        <w:tc>
          <w:tcPr>
            <w:tcW w:type="dxa" w:w="3600"/>
            <w:shd w:fill="F8FAFC"/>
            <w:tcMar>
              <w:top w:w="80" w:type="dxa"/>
              <w:bottom w:w="80" w:type="dxa"/>
              <w:left w:w="120" w:type="dxa"/>
              <w:right w:w="120" w:type="dxa"/>
            </w:tcMar>
          </w:tcPr>
          <w:p>
            <w:pPr>
              <w:jc w:val="left"/>
            </w:pPr>
            <w:r>
              <w:rPr>
                <w:rFonts w:ascii="Arial" w:hAnsi="Arial"/>
                <w:color w:val="334155"/>
                <w:sz w:val="18"/>
              </w:rPr>
              <w:t>2013–2014 (_H cycle)</w:t>
            </w:r>
          </w:p>
        </w:tc>
        <w:tc>
          <w:tcPr>
            <w:tcW w:type="dxa" w:w="2592"/>
            <w:shd w:fill="F8FAFC"/>
            <w:tcMar>
              <w:top w:w="80" w:type="dxa"/>
              <w:bottom w:w="80" w:type="dxa"/>
              <w:left w:w="120" w:type="dxa"/>
              <w:right w:w="120" w:type="dxa"/>
            </w:tcMar>
          </w:tcPr>
          <w:p>
            <w:pPr>
              <w:jc w:val="right"/>
            </w:pPr>
            <w:r>
              <w:rPr>
                <w:rFonts w:ascii="Arial" w:hAnsi="Arial"/>
                <w:color w:val="334155"/>
                <w:sz w:val="18"/>
              </w:rPr>
              <w:t>790 adults</w:t>
            </w:r>
          </w:p>
        </w:tc>
        <w:tc>
          <w:tcPr>
            <w:tcW w:type="dxa" w:w="3168"/>
            <w:shd w:fill="F8FAFC"/>
            <w:tcMar>
              <w:top w:w="80" w:type="dxa"/>
              <w:bottom w:w="80" w:type="dxa"/>
              <w:left w:w="120" w:type="dxa"/>
              <w:right w:w="120" w:type="dxa"/>
            </w:tcMar>
          </w:tcPr>
          <w:p>
            <w:pPr>
              <w:jc w:val="left"/>
            </w:pPr>
            <w:r>
              <w:rPr>
                <w:rFonts w:ascii="Arial" w:hAnsi="Arial"/>
                <w:color w:val="334155"/>
                <w:sz w:val="18"/>
              </w:rPr>
              <w:t>Reconstructed from raw XPT files</w:t>
            </w:r>
          </w:p>
        </w:tc>
      </w:tr>
      <w:tr>
        <w:tc>
          <w:tcPr>
            <w:tcW w:type="dxa" w:w="3600"/>
            <w:shd w:fill="FFFFFF"/>
            <w:tcMar>
              <w:top w:w="80" w:type="dxa"/>
              <w:bottom w:w="80" w:type="dxa"/>
              <w:left w:w="120" w:type="dxa"/>
              <w:right w:w="120" w:type="dxa"/>
            </w:tcMar>
          </w:tcPr>
          <w:p>
            <w:pPr>
              <w:jc w:val="left"/>
            </w:pPr>
            <w:r>
              <w:rPr>
                <w:rFonts w:ascii="Arial" w:hAnsi="Arial"/>
                <w:color w:val="334155"/>
                <w:sz w:val="18"/>
              </w:rPr>
              <w:t>2015–2016 (_I cycle)</w:t>
            </w:r>
          </w:p>
        </w:tc>
        <w:tc>
          <w:tcPr>
            <w:tcW w:type="dxa" w:w="2592"/>
            <w:shd w:fill="FFFFFF"/>
            <w:tcMar>
              <w:top w:w="80" w:type="dxa"/>
              <w:bottom w:w="80" w:type="dxa"/>
              <w:left w:w="120" w:type="dxa"/>
              <w:right w:w="120" w:type="dxa"/>
            </w:tcMar>
          </w:tcPr>
          <w:p>
            <w:pPr>
              <w:jc w:val="right"/>
            </w:pPr>
            <w:r>
              <w:rPr>
                <w:rFonts w:ascii="Arial" w:hAnsi="Arial"/>
                <w:color w:val="334155"/>
                <w:sz w:val="18"/>
              </w:rPr>
              <w:t>892 adults</w:t>
            </w:r>
          </w:p>
        </w:tc>
        <w:tc>
          <w:tcPr>
            <w:tcW w:type="dxa" w:w="3168"/>
            <w:shd w:fill="FFFFFF"/>
            <w:tcMar>
              <w:top w:w="80" w:type="dxa"/>
              <w:bottom w:w="80" w:type="dxa"/>
              <w:left w:w="120" w:type="dxa"/>
              <w:right w:w="120" w:type="dxa"/>
            </w:tcMar>
          </w:tcPr>
          <w:p>
            <w:pPr>
              <w:jc w:val="left"/>
            </w:pPr>
            <w:r>
              <w:rPr>
                <w:rFonts w:ascii="Arial" w:hAnsi="Arial"/>
                <w:color w:val="334155"/>
                <w:sz w:val="18"/>
              </w:rPr>
              <w:t>Reconstructed from raw XPT files</w:t>
            </w:r>
          </w:p>
        </w:tc>
      </w:tr>
      <w:tr>
        <w:tc>
          <w:tcPr>
            <w:tcW w:type="dxa" w:w="3600"/>
            <w:shd w:fill="F8FAFC"/>
            <w:tcMar>
              <w:top w:w="80" w:type="dxa"/>
              <w:bottom w:w="80" w:type="dxa"/>
              <w:left w:w="120" w:type="dxa"/>
              <w:right w:w="120" w:type="dxa"/>
            </w:tcMar>
          </w:tcPr>
          <w:p>
            <w:pPr>
              <w:jc w:val="left"/>
            </w:pPr>
            <w:r>
              <w:rPr>
                <w:rFonts w:ascii="Arial" w:hAnsi="Arial"/>
                <w:color w:val="334155"/>
                <w:sz w:val="18"/>
              </w:rPr>
              <w:t>2017–March 2020 (P_ cycle)</w:t>
            </w:r>
          </w:p>
        </w:tc>
        <w:tc>
          <w:tcPr>
            <w:tcW w:type="dxa" w:w="2592"/>
            <w:shd w:fill="F8FAFC"/>
            <w:tcMar>
              <w:top w:w="80" w:type="dxa"/>
              <w:bottom w:w="80" w:type="dxa"/>
              <w:left w:w="120" w:type="dxa"/>
              <w:right w:w="120" w:type="dxa"/>
            </w:tcMar>
          </w:tcPr>
          <w:p>
            <w:pPr>
              <w:jc w:val="right"/>
            </w:pPr>
            <w:r>
              <w:rPr>
                <w:rFonts w:ascii="Arial" w:hAnsi="Arial"/>
                <w:color w:val="334155"/>
                <w:sz w:val="18"/>
              </w:rPr>
              <w:t>1,455 adults</w:t>
            </w:r>
          </w:p>
        </w:tc>
        <w:tc>
          <w:tcPr>
            <w:tcW w:type="dxa" w:w="3168"/>
            <w:shd w:fill="F8FAFC"/>
            <w:tcMar>
              <w:top w:w="80" w:type="dxa"/>
              <w:bottom w:w="80" w:type="dxa"/>
              <w:left w:w="120" w:type="dxa"/>
              <w:right w:w="120" w:type="dxa"/>
            </w:tcMar>
          </w:tcPr>
          <w:p>
            <w:pPr>
              <w:jc w:val="left"/>
            </w:pPr>
            <w:r>
              <w:rPr>
                <w:rFonts w:ascii="Arial" w:hAnsi="Arial"/>
                <w:color w:val="334155"/>
                <w:sz w:val="18"/>
              </w:rPr>
              <w:t>Standardized baseline cohort</w:t>
            </w:r>
          </w:p>
        </w:tc>
      </w:tr>
      <w:tr>
        <w:tc>
          <w:tcPr>
            <w:tcW w:type="dxa" w:w="3600"/>
            <w:shd w:fill="FFFFFF"/>
            <w:tcMar>
              <w:top w:w="80" w:type="dxa"/>
              <w:bottom w:w="80" w:type="dxa"/>
              <w:left w:w="120" w:type="dxa"/>
              <w:right w:w="120" w:type="dxa"/>
            </w:tcMar>
          </w:tcPr>
          <w:p>
            <w:pPr>
              <w:jc w:val="left"/>
            </w:pPr>
            <w:r>
              <w:rPr>
                <w:rFonts w:ascii="Arial" w:hAnsi="Arial"/>
                <w:color w:val="334155"/>
                <w:sz w:val="18"/>
              </w:rPr>
              <w:t>Aug 2021–Aug 2023 (_L cycle)</w:t>
            </w:r>
          </w:p>
        </w:tc>
        <w:tc>
          <w:tcPr>
            <w:tcW w:type="dxa" w:w="2592"/>
            <w:shd w:fill="FFFFFF"/>
            <w:tcMar>
              <w:top w:w="80" w:type="dxa"/>
              <w:bottom w:w="80" w:type="dxa"/>
              <w:left w:w="120" w:type="dxa"/>
              <w:right w:w="120" w:type="dxa"/>
            </w:tcMar>
          </w:tcPr>
          <w:p>
            <w:pPr>
              <w:jc w:val="right"/>
            </w:pPr>
            <w:r>
              <w:rPr>
                <w:rFonts w:ascii="Arial" w:hAnsi="Arial"/>
                <w:color w:val="334155"/>
                <w:sz w:val="18"/>
              </w:rPr>
              <w:t>887 adults</w:t>
            </w:r>
          </w:p>
        </w:tc>
        <w:tc>
          <w:tcPr>
            <w:tcW w:type="dxa" w:w="3168"/>
            <w:shd w:fill="FFFFFF"/>
            <w:tcMar>
              <w:top w:w="80" w:type="dxa"/>
              <w:bottom w:w="80" w:type="dxa"/>
              <w:left w:w="120" w:type="dxa"/>
              <w:right w:w="120" w:type="dxa"/>
            </w:tcMar>
          </w:tcPr>
          <w:p>
            <w:pPr>
              <w:jc w:val="left"/>
            </w:pPr>
            <w:r>
              <w:rPr>
                <w:rFonts w:ascii="Arial" w:hAnsi="Arial"/>
                <w:color w:val="334155"/>
                <w:sz w:val="18"/>
              </w:rPr>
              <w:t>Temporal holdout evaluation set</w:t>
            </w:r>
          </w:p>
        </w:tc>
      </w:tr>
      <w:tr>
        <w:tc>
          <w:tcPr>
            <w:tcW w:type="dxa" w:w="3600"/>
            <w:shd w:fill="E2E8F0"/>
            <w:tcMar>
              <w:top w:w="80" w:type="dxa"/>
              <w:bottom w:w="80" w:type="dxa"/>
              <w:left w:w="120" w:type="dxa"/>
              <w:right w:w="120" w:type="dxa"/>
            </w:tcMar>
          </w:tcPr>
          <w:p>
            <w:pPr>
              <w:jc w:val="left"/>
            </w:pPr>
            <w:r>
              <w:rPr>
                <w:rFonts w:ascii="Arial" w:hAnsi="Arial"/>
                <w:b/>
                <w:color w:val="1B365D"/>
                <w:sz w:val="18"/>
              </w:rPr>
              <w:t>Total Unified Cohort</w:t>
            </w:r>
          </w:p>
        </w:tc>
        <w:tc>
          <w:tcPr>
            <w:tcW w:type="dxa" w:w="2592"/>
            <w:shd w:fill="E2E8F0"/>
            <w:tcMar>
              <w:top w:w="80" w:type="dxa"/>
              <w:bottom w:w="80" w:type="dxa"/>
              <w:left w:w="120" w:type="dxa"/>
              <w:right w:w="120" w:type="dxa"/>
            </w:tcMar>
          </w:tcPr>
          <w:p>
            <w:pPr>
              <w:jc w:val="right"/>
            </w:pPr>
            <w:r>
              <w:rPr>
                <w:rFonts w:ascii="Arial" w:hAnsi="Arial"/>
                <w:b/>
                <w:color w:val="1B365D"/>
                <w:sz w:val="18"/>
              </w:rPr>
              <w:t>4,024 adults</w:t>
            </w:r>
          </w:p>
        </w:tc>
        <w:tc>
          <w:tcPr>
            <w:tcW w:type="dxa" w:w="3168"/>
            <w:shd w:fill="E2E8F0"/>
            <w:tcMar>
              <w:top w:w="80" w:type="dxa"/>
              <w:bottom w:w="80" w:type="dxa"/>
              <w:left w:w="120" w:type="dxa"/>
              <w:right w:w="120" w:type="dxa"/>
            </w:tcMar>
          </w:tcPr>
          <w:p>
            <w:pPr>
              <w:jc w:val="left"/>
            </w:pPr>
            <w:r>
              <w:rPr>
                <w:rFonts w:ascii="Arial" w:hAnsi="Arial"/>
                <w:b/>
                <w:color w:val="1B365D"/>
                <w:sz w:val="18"/>
              </w:rPr>
              <w:t>Preserved 100% real records (no synthesis)</w:t>
            </w:r>
          </w:p>
        </w:tc>
      </w:tr>
    </w:tbl>
    <w:p>
      <w:pPr>
        <w:spacing w:after="80"/>
      </w:pPr>
    </w:p>
    <w:p>
      <w:pPr>
        <w:spacing w:after="80" w:line="276" w:lineRule="auto"/>
      </w:pPr>
      <w:r>
        <w:rPr>
          <w:b/>
        </w:rPr>
        <w:t xml:space="preserve">The 13 Non-Kidney Input Features: </w:t>
      </w:r>
      <w:r>
        <w:t>Age, Biological Sex (Female), HbA1c (%), Body Mass Index (BMI), Waist Circumference (cm), Systolic Blood Pressure (SBP), Diastolic Blood Pressure (DBP), HDL Cholesterol, Total Cholesterol, Diagnosed Diabetes Indicator, Insulin Usage, Oral Diabetes Pill Usage, and Diabetes Duration in Years.</w:t>
      </w:r>
    </w:p>
    <w:p>
      <w:pPr>
        <w:spacing w:after="120" w:line="276" w:lineRule="auto"/>
      </w:pPr>
      <w:r>
        <w:rPr>
          <w:b/>
        </w:rPr>
        <w:t xml:space="preserve">The Two Clinical Target Tasks: </w:t>
      </w:r>
      <w:r>
        <w:br/>
        <w:t>1. Any Kidney Damage (dkd_any): Binary prediction (1,578 positive vs 2,446 negative; 39.2% prevalence) where positive means single-visit UACR ≥ 30 mg/g OR eGFR &lt; 60 mL/min/1.73m².</w:t>
        <w:br/>
        <w:t>2. Early DKD vs None (early_dkd): Distinguishes early microalbuminuria with preserved filtration (UACR 30–300 mg/g and eGFR ≥ 60) from healthy kidneys (699 early cases vs 2,446 controls; 22.2% positive among 3,145 eligible rows; 879 advanced cases excluded).</w:t>
      </w:r>
    </w:p>
    <w:p>
      <w:pPr>
        <w:spacing w:before="240" w:after="80"/>
      </w:pPr>
      <w:r>
        <w:rPr>
          <w:rFonts w:ascii="Arial" w:hAnsi="Arial"/>
          <w:b/>
          <w:color w:val="1B365D"/>
          <w:sz w:val="28"/>
        </w:rPr>
        <w:t>3. Phase 1: Machine Learning &amp; Deep Learning Pipeline</w:t>
      </w:r>
    </w:p>
    <w:p>
      <w:pPr>
        <w:spacing w:after="120" w:line="276" w:lineRule="auto"/>
      </w:pPr>
      <w:r>
        <w:rPr>
          <w:rFonts w:ascii="Arial" w:hAnsi="Arial"/>
          <w:color w:val="334155"/>
          <w:sz w:val="20"/>
        </w:rPr>
        <w:t>Phase 1 established an empirical comparison across four diverse model architectures: Linear (Logistic Regression with L2 regularization), Tree Ensemble (Random Forest and XGBoost), and Deep Learning (PyTorch Multi-Layer Perceptron). The pipeline incorporated 80/20 stratified holdout splits, 5-fold cross-validation, Youden's J threshold optimization on out-of-fold training data, and SHAP (SHapley Additive exPlanations) explainability.</w:t>
      </w:r>
    </w:p>
    <w:p>
      <w:pPr>
        <w:spacing w:before="120" w:after="60"/>
      </w:pPr>
      <w:r>
        <w:rPr>
          <w:rFonts w:ascii="Arial" w:hAnsi="Arial"/>
          <w:b/>
          <w:color w:val="0D9488"/>
          <w:sz w:val="22"/>
        </w:rPr>
        <w:t>Outcome A: Any Kidney Damage (dkd_any) — Holdout Test Performance (N = 805)</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42"/>
        <w:gridCol w:w="1242"/>
        <w:gridCol w:w="1242"/>
        <w:gridCol w:w="1242"/>
        <w:gridCol w:w="1242"/>
        <w:gridCol w:w="1242"/>
        <w:gridCol w:w="1242"/>
        <w:gridCol w:w="1242"/>
      </w:tblGrid>
      <w:tr>
        <w:tc>
          <w:tcPr>
            <w:tcW w:type="dxa" w:w="2160"/>
            <w:shd w:fill="1B365D"/>
            <w:tcMar>
              <w:top w:w="80" w:type="dxa"/>
              <w:bottom w:w="80" w:type="dxa"/>
              <w:left w:w="80" w:type="dxa"/>
              <w:right w:w="80" w:type="dxa"/>
            </w:tcMar>
          </w:tcPr>
          <w:p>
            <w:pPr>
              <w:jc w:val="center"/>
            </w:pPr>
            <w:r>
              <w:rPr>
                <w:rFonts w:ascii="Arial" w:hAnsi="Arial"/>
                <w:b/>
                <w:color w:val="FFFFFF"/>
                <w:sz w:val="17"/>
              </w:rPr>
              <w:t>Model Architecture</w:t>
            </w:r>
          </w:p>
        </w:tc>
        <w:tc>
          <w:tcPr>
            <w:tcW w:type="dxa" w:w="1152"/>
            <w:shd w:fill="1B365D"/>
            <w:tcMar>
              <w:top w:w="80" w:type="dxa"/>
              <w:bottom w:w="80" w:type="dxa"/>
              <w:left w:w="80" w:type="dxa"/>
              <w:right w:w="80" w:type="dxa"/>
            </w:tcMar>
          </w:tcPr>
          <w:p>
            <w:pPr>
              <w:jc w:val="center"/>
            </w:pPr>
            <w:r>
              <w:rPr>
                <w:rFonts w:ascii="Arial" w:hAnsi="Arial"/>
                <w:b/>
                <w:color w:val="FFFFFF"/>
                <w:sz w:val="17"/>
              </w:rPr>
              <w:t>CV AUROC</w:t>
            </w:r>
          </w:p>
        </w:tc>
        <w:tc>
          <w:tcPr>
            <w:tcW w:type="dxa" w:w="1152"/>
            <w:shd w:fill="1B365D"/>
            <w:tcMar>
              <w:top w:w="80" w:type="dxa"/>
              <w:bottom w:w="80" w:type="dxa"/>
              <w:left w:w="80" w:type="dxa"/>
              <w:right w:w="80" w:type="dxa"/>
            </w:tcMar>
          </w:tcPr>
          <w:p>
            <w:pPr>
              <w:jc w:val="center"/>
            </w:pPr>
            <w:r>
              <w:rPr>
                <w:rFonts w:ascii="Arial" w:hAnsi="Arial"/>
                <w:b/>
                <w:color w:val="FFFFFF"/>
                <w:sz w:val="17"/>
              </w:rPr>
              <w:t>Test AUROC</w:t>
            </w:r>
          </w:p>
        </w:tc>
        <w:tc>
          <w:tcPr>
            <w:tcW w:type="dxa" w:w="1152"/>
            <w:shd w:fill="1B365D"/>
            <w:tcMar>
              <w:top w:w="80" w:type="dxa"/>
              <w:bottom w:w="80" w:type="dxa"/>
              <w:left w:w="80" w:type="dxa"/>
              <w:right w:w="80" w:type="dxa"/>
            </w:tcMar>
          </w:tcPr>
          <w:p>
            <w:pPr>
              <w:jc w:val="center"/>
            </w:pPr>
            <w:r>
              <w:rPr>
                <w:rFonts w:ascii="Arial" w:hAnsi="Arial"/>
                <w:b/>
                <w:color w:val="FFFFFF"/>
                <w:sz w:val="17"/>
              </w:rPr>
              <w:t>95% CI</w:t>
            </w:r>
          </w:p>
        </w:tc>
        <w:tc>
          <w:tcPr>
            <w:tcW w:type="dxa" w:w="1008"/>
            <w:shd w:fill="1B365D"/>
            <w:tcMar>
              <w:top w:w="80" w:type="dxa"/>
              <w:bottom w:w="80" w:type="dxa"/>
              <w:left w:w="80" w:type="dxa"/>
              <w:right w:w="80" w:type="dxa"/>
            </w:tcMar>
          </w:tcPr>
          <w:p>
            <w:pPr>
              <w:jc w:val="center"/>
            </w:pPr>
            <w:r>
              <w:rPr>
                <w:rFonts w:ascii="Arial" w:hAnsi="Arial"/>
                <w:b/>
                <w:color w:val="FFFFFF"/>
                <w:sz w:val="17"/>
              </w:rPr>
              <w:t>Sensitivity</w:t>
            </w:r>
          </w:p>
        </w:tc>
        <w:tc>
          <w:tcPr>
            <w:tcW w:type="dxa" w:w="1008"/>
            <w:shd w:fill="1B365D"/>
            <w:tcMar>
              <w:top w:w="80" w:type="dxa"/>
              <w:bottom w:w="80" w:type="dxa"/>
              <w:left w:w="80" w:type="dxa"/>
              <w:right w:w="80" w:type="dxa"/>
            </w:tcMar>
          </w:tcPr>
          <w:p>
            <w:pPr>
              <w:jc w:val="center"/>
            </w:pPr>
            <w:r>
              <w:rPr>
                <w:rFonts w:ascii="Arial" w:hAnsi="Arial"/>
                <w:b/>
                <w:color w:val="FFFFFF"/>
                <w:sz w:val="17"/>
              </w:rPr>
              <w:t>Specificity</w:t>
            </w:r>
          </w:p>
        </w:tc>
        <w:tc>
          <w:tcPr>
            <w:tcW w:type="dxa" w:w="864"/>
            <w:shd w:fill="1B365D"/>
            <w:tcMar>
              <w:top w:w="80" w:type="dxa"/>
              <w:bottom w:w="80" w:type="dxa"/>
              <w:left w:w="80" w:type="dxa"/>
              <w:right w:w="80" w:type="dxa"/>
            </w:tcMar>
          </w:tcPr>
          <w:p>
            <w:pPr>
              <w:jc w:val="center"/>
            </w:pPr>
            <w:r>
              <w:rPr>
                <w:rFonts w:ascii="Arial" w:hAnsi="Arial"/>
                <w:b/>
                <w:color w:val="FFFFFF"/>
                <w:sz w:val="17"/>
              </w:rPr>
              <w:t>Accuracy</w:t>
            </w:r>
          </w:p>
        </w:tc>
        <w:tc>
          <w:tcPr>
            <w:tcW w:type="dxa" w:w="864"/>
            <w:shd w:fill="1B365D"/>
            <w:tcMar>
              <w:top w:w="80" w:type="dxa"/>
              <w:bottom w:w="80" w:type="dxa"/>
              <w:left w:w="80" w:type="dxa"/>
              <w:right w:w="80" w:type="dxa"/>
            </w:tcMar>
          </w:tcPr>
          <w:p>
            <w:pPr>
              <w:jc w:val="center"/>
            </w:pPr>
            <w:r>
              <w:rPr>
                <w:rFonts w:ascii="Arial" w:hAnsi="Arial"/>
                <w:b/>
                <w:color w:val="FFFFFF"/>
                <w:sz w:val="17"/>
              </w:rPr>
              <w:t>Threshold</w:t>
            </w:r>
          </w:p>
        </w:tc>
      </w:tr>
      <w:tr>
        <w:tc>
          <w:tcPr>
            <w:tcW w:type="dxa" w:w="2160"/>
            <w:shd w:fill="F0FDFA"/>
            <w:tcMar>
              <w:top w:w="70" w:type="dxa"/>
              <w:bottom w:w="70" w:type="dxa"/>
              <w:left w:w="80" w:type="dxa"/>
              <w:right w:w="80" w:type="dxa"/>
            </w:tcMar>
          </w:tcPr>
          <w:p>
            <w:pPr>
              <w:jc w:val="left"/>
            </w:pPr>
            <w:r>
              <w:rPr>
                <w:rFonts w:ascii="Arial" w:hAnsi="Arial"/>
                <w:b/>
                <w:color w:val="0F766E"/>
                <w:sz w:val="17"/>
              </w:rPr>
              <w:t>XGBoost (Selected Best)</w:t>
            </w:r>
          </w:p>
        </w:tc>
        <w:tc>
          <w:tcPr>
            <w:tcW w:type="dxa" w:w="1152"/>
            <w:shd w:fill="F0FDFA"/>
            <w:tcMar>
              <w:top w:w="70" w:type="dxa"/>
              <w:bottom w:w="70" w:type="dxa"/>
              <w:left w:w="80" w:type="dxa"/>
              <w:right w:w="80" w:type="dxa"/>
            </w:tcMar>
          </w:tcPr>
          <w:p>
            <w:pPr>
              <w:jc w:val="center"/>
            </w:pPr>
            <w:r>
              <w:rPr>
                <w:rFonts w:ascii="Arial" w:hAnsi="Arial"/>
                <w:b/>
                <w:color w:val="0F766E"/>
                <w:sz w:val="17"/>
              </w:rPr>
              <w:t>0.732</w:t>
            </w:r>
          </w:p>
        </w:tc>
        <w:tc>
          <w:tcPr>
            <w:tcW w:type="dxa" w:w="1152"/>
            <w:shd w:fill="F0FDFA"/>
            <w:tcMar>
              <w:top w:w="70" w:type="dxa"/>
              <w:bottom w:w="70" w:type="dxa"/>
              <w:left w:w="80" w:type="dxa"/>
              <w:right w:w="80" w:type="dxa"/>
            </w:tcMar>
          </w:tcPr>
          <w:p>
            <w:pPr>
              <w:jc w:val="center"/>
            </w:pPr>
            <w:r>
              <w:rPr>
                <w:rFonts w:ascii="Arial" w:hAnsi="Arial"/>
                <w:b/>
                <w:color w:val="0F766E"/>
                <w:sz w:val="17"/>
              </w:rPr>
              <w:t>0.732</w:t>
            </w:r>
          </w:p>
        </w:tc>
        <w:tc>
          <w:tcPr>
            <w:tcW w:type="dxa" w:w="1152"/>
            <w:shd w:fill="F0FDFA"/>
            <w:tcMar>
              <w:top w:w="70" w:type="dxa"/>
              <w:bottom w:w="70" w:type="dxa"/>
              <w:left w:w="80" w:type="dxa"/>
              <w:right w:w="80" w:type="dxa"/>
            </w:tcMar>
          </w:tcPr>
          <w:p>
            <w:pPr>
              <w:jc w:val="center"/>
            </w:pPr>
            <w:r>
              <w:rPr>
                <w:rFonts w:ascii="Arial" w:hAnsi="Arial"/>
                <w:b/>
                <w:color w:val="0F766E"/>
                <w:sz w:val="17"/>
              </w:rPr>
              <w:t>0.699–0.768</w:t>
            </w:r>
          </w:p>
        </w:tc>
        <w:tc>
          <w:tcPr>
            <w:tcW w:type="dxa" w:w="1008"/>
            <w:shd w:fill="F0FDFA"/>
            <w:tcMar>
              <w:top w:w="70" w:type="dxa"/>
              <w:bottom w:w="70" w:type="dxa"/>
              <w:left w:w="80" w:type="dxa"/>
              <w:right w:w="80" w:type="dxa"/>
            </w:tcMar>
          </w:tcPr>
          <w:p>
            <w:pPr>
              <w:jc w:val="center"/>
            </w:pPr>
            <w:r>
              <w:rPr>
                <w:rFonts w:ascii="Arial" w:hAnsi="Arial"/>
                <w:b/>
                <w:color w:val="0F766E"/>
                <w:sz w:val="17"/>
              </w:rPr>
              <w:t>62.7%</w:t>
            </w:r>
          </w:p>
        </w:tc>
        <w:tc>
          <w:tcPr>
            <w:tcW w:type="dxa" w:w="1008"/>
            <w:shd w:fill="F0FDFA"/>
            <w:tcMar>
              <w:top w:w="70" w:type="dxa"/>
              <w:bottom w:w="70" w:type="dxa"/>
              <w:left w:w="80" w:type="dxa"/>
              <w:right w:w="80" w:type="dxa"/>
            </w:tcMar>
          </w:tcPr>
          <w:p>
            <w:pPr>
              <w:jc w:val="center"/>
            </w:pPr>
            <w:r>
              <w:rPr>
                <w:rFonts w:ascii="Arial" w:hAnsi="Arial"/>
                <w:b/>
                <w:color w:val="0F766E"/>
                <w:sz w:val="17"/>
              </w:rPr>
              <w:t>72.2%</w:t>
            </w:r>
          </w:p>
        </w:tc>
        <w:tc>
          <w:tcPr>
            <w:tcW w:type="dxa" w:w="864"/>
            <w:shd w:fill="F0FDFA"/>
            <w:tcMar>
              <w:top w:w="70" w:type="dxa"/>
              <w:bottom w:w="70" w:type="dxa"/>
              <w:left w:w="80" w:type="dxa"/>
              <w:right w:w="80" w:type="dxa"/>
            </w:tcMar>
          </w:tcPr>
          <w:p>
            <w:pPr>
              <w:jc w:val="center"/>
            </w:pPr>
            <w:r>
              <w:rPr>
                <w:rFonts w:ascii="Arial" w:hAnsi="Arial"/>
                <w:b/>
                <w:color w:val="0F766E"/>
                <w:sz w:val="17"/>
              </w:rPr>
              <w:t>68.4%</w:t>
            </w:r>
          </w:p>
        </w:tc>
        <w:tc>
          <w:tcPr>
            <w:tcW w:type="dxa" w:w="864"/>
            <w:shd w:fill="F0FDFA"/>
            <w:tcMar>
              <w:top w:w="70" w:type="dxa"/>
              <w:bottom w:w="70" w:type="dxa"/>
              <w:left w:w="80" w:type="dxa"/>
              <w:right w:w="80" w:type="dxa"/>
            </w:tcMar>
          </w:tcPr>
          <w:p>
            <w:pPr>
              <w:jc w:val="center"/>
            </w:pPr>
            <w:r>
              <w:rPr>
                <w:rFonts w:ascii="Arial" w:hAnsi="Arial"/>
                <w:b/>
                <w:color w:val="0F766E"/>
                <w:sz w:val="17"/>
              </w:rPr>
              <w:t>0.513</w:t>
            </w:r>
          </w:p>
        </w:tc>
      </w:tr>
      <w:tr>
        <w:tc>
          <w:tcPr>
            <w:tcW w:type="dxa" w:w="2160"/>
            <w:shd w:fill="FFFFFF"/>
            <w:tcMar>
              <w:top w:w="70" w:type="dxa"/>
              <w:bottom w:w="70" w:type="dxa"/>
              <w:left w:w="80" w:type="dxa"/>
              <w:right w:w="80" w:type="dxa"/>
            </w:tcMar>
          </w:tcPr>
          <w:p>
            <w:pPr>
              <w:jc w:val="left"/>
            </w:pPr>
            <w:r>
              <w:rPr>
                <w:rFonts w:ascii="Arial" w:hAnsi="Arial"/>
                <w:color w:val="334155"/>
                <w:sz w:val="17"/>
              </w:rPr>
              <w:t>Random Forest</w:t>
            </w:r>
          </w:p>
        </w:tc>
        <w:tc>
          <w:tcPr>
            <w:tcW w:type="dxa" w:w="1152"/>
            <w:shd w:fill="FFFFFF"/>
            <w:tcMar>
              <w:top w:w="70" w:type="dxa"/>
              <w:bottom w:w="70" w:type="dxa"/>
              <w:left w:w="80" w:type="dxa"/>
              <w:right w:w="80" w:type="dxa"/>
            </w:tcMar>
          </w:tcPr>
          <w:p>
            <w:pPr>
              <w:jc w:val="center"/>
            </w:pPr>
            <w:r>
              <w:rPr>
                <w:rFonts w:ascii="Arial" w:hAnsi="Arial"/>
                <w:color w:val="334155"/>
                <w:sz w:val="17"/>
              </w:rPr>
              <w:t>0.729</w:t>
            </w:r>
          </w:p>
        </w:tc>
        <w:tc>
          <w:tcPr>
            <w:tcW w:type="dxa" w:w="1152"/>
            <w:shd w:fill="FFFFFF"/>
            <w:tcMar>
              <w:top w:w="70" w:type="dxa"/>
              <w:bottom w:w="70" w:type="dxa"/>
              <w:left w:w="80" w:type="dxa"/>
              <w:right w:w="80" w:type="dxa"/>
            </w:tcMar>
          </w:tcPr>
          <w:p>
            <w:pPr>
              <w:jc w:val="center"/>
            </w:pPr>
            <w:r>
              <w:rPr>
                <w:rFonts w:ascii="Arial" w:hAnsi="Arial"/>
                <w:color w:val="334155"/>
                <w:sz w:val="17"/>
              </w:rPr>
              <w:t>0.727</w:t>
            </w:r>
          </w:p>
        </w:tc>
        <w:tc>
          <w:tcPr>
            <w:tcW w:type="dxa" w:w="1152"/>
            <w:shd w:fill="FFFFFF"/>
            <w:tcMar>
              <w:top w:w="70" w:type="dxa"/>
              <w:bottom w:w="70" w:type="dxa"/>
              <w:left w:w="80" w:type="dxa"/>
              <w:right w:w="80" w:type="dxa"/>
            </w:tcMar>
          </w:tcPr>
          <w:p>
            <w:pPr>
              <w:jc w:val="center"/>
            </w:pPr>
            <w:r>
              <w:rPr>
                <w:rFonts w:ascii="Arial" w:hAnsi="Arial"/>
                <w:color w:val="334155"/>
                <w:sz w:val="17"/>
              </w:rPr>
              <w:t>0.693–0.762</w:t>
            </w:r>
          </w:p>
        </w:tc>
        <w:tc>
          <w:tcPr>
            <w:tcW w:type="dxa" w:w="1008"/>
            <w:shd w:fill="FFFFFF"/>
            <w:tcMar>
              <w:top w:w="70" w:type="dxa"/>
              <w:bottom w:w="70" w:type="dxa"/>
              <w:left w:w="80" w:type="dxa"/>
              <w:right w:w="80" w:type="dxa"/>
            </w:tcMar>
          </w:tcPr>
          <w:p>
            <w:pPr>
              <w:jc w:val="center"/>
            </w:pPr>
            <w:r>
              <w:rPr>
                <w:rFonts w:ascii="Arial" w:hAnsi="Arial"/>
                <w:color w:val="334155"/>
                <w:sz w:val="17"/>
              </w:rPr>
              <w:t>59.8%</w:t>
            </w:r>
          </w:p>
        </w:tc>
        <w:tc>
          <w:tcPr>
            <w:tcW w:type="dxa" w:w="1008"/>
            <w:shd w:fill="FFFFFF"/>
            <w:tcMar>
              <w:top w:w="70" w:type="dxa"/>
              <w:bottom w:w="70" w:type="dxa"/>
              <w:left w:w="80" w:type="dxa"/>
              <w:right w:w="80" w:type="dxa"/>
            </w:tcMar>
          </w:tcPr>
          <w:p>
            <w:pPr>
              <w:jc w:val="center"/>
            </w:pPr>
            <w:r>
              <w:rPr>
                <w:rFonts w:ascii="Arial" w:hAnsi="Arial"/>
                <w:color w:val="334155"/>
                <w:sz w:val="17"/>
              </w:rPr>
              <w:t>72.8%</w:t>
            </w:r>
          </w:p>
        </w:tc>
        <w:tc>
          <w:tcPr>
            <w:tcW w:type="dxa" w:w="864"/>
            <w:shd w:fill="FFFFFF"/>
            <w:tcMar>
              <w:top w:w="70" w:type="dxa"/>
              <w:bottom w:w="70" w:type="dxa"/>
              <w:left w:w="80" w:type="dxa"/>
              <w:right w:w="80" w:type="dxa"/>
            </w:tcMar>
          </w:tcPr>
          <w:p>
            <w:pPr>
              <w:jc w:val="center"/>
            </w:pPr>
            <w:r>
              <w:rPr>
                <w:rFonts w:ascii="Arial" w:hAnsi="Arial"/>
                <w:color w:val="334155"/>
                <w:sz w:val="17"/>
              </w:rPr>
              <w:t>67.7%</w:t>
            </w:r>
          </w:p>
        </w:tc>
        <w:tc>
          <w:tcPr>
            <w:tcW w:type="dxa" w:w="864"/>
            <w:shd w:fill="FFFFFF"/>
            <w:tcMar>
              <w:top w:w="70" w:type="dxa"/>
              <w:bottom w:w="70" w:type="dxa"/>
              <w:left w:w="80" w:type="dxa"/>
              <w:right w:w="80" w:type="dxa"/>
            </w:tcMar>
          </w:tcPr>
          <w:p>
            <w:pPr>
              <w:jc w:val="center"/>
            </w:pPr>
            <w:r>
              <w:rPr>
                <w:rFonts w:ascii="Arial" w:hAnsi="Arial"/>
                <w:color w:val="334155"/>
                <w:sz w:val="17"/>
              </w:rPr>
              <w:t>0.501</w:t>
            </w:r>
          </w:p>
        </w:tc>
      </w:tr>
      <w:tr>
        <w:tc>
          <w:tcPr>
            <w:tcW w:type="dxa" w:w="2160"/>
            <w:shd w:fill="F8FAFC"/>
            <w:tcMar>
              <w:top w:w="70" w:type="dxa"/>
              <w:bottom w:w="70" w:type="dxa"/>
              <w:left w:w="80" w:type="dxa"/>
              <w:right w:w="80" w:type="dxa"/>
            </w:tcMar>
          </w:tcPr>
          <w:p>
            <w:pPr>
              <w:jc w:val="left"/>
            </w:pPr>
            <w:r>
              <w:rPr>
                <w:rFonts w:ascii="Arial" w:hAnsi="Arial"/>
                <w:color w:val="334155"/>
                <w:sz w:val="17"/>
              </w:rPr>
              <w:t>PyTorch MLP (DL)</w:t>
            </w:r>
          </w:p>
        </w:tc>
        <w:tc>
          <w:tcPr>
            <w:tcW w:type="dxa" w:w="1152"/>
            <w:shd w:fill="F8FAFC"/>
            <w:tcMar>
              <w:top w:w="70" w:type="dxa"/>
              <w:bottom w:w="70" w:type="dxa"/>
              <w:left w:w="80" w:type="dxa"/>
              <w:right w:w="80" w:type="dxa"/>
            </w:tcMar>
          </w:tcPr>
          <w:p>
            <w:pPr>
              <w:jc w:val="center"/>
            </w:pPr>
            <w:r>
              <w:rPr>
                <w:rFonts w:ascii="Arial" w:hAnsi="Arial"/>
                <w:color w:val="334155"/>
                <w:sz w:val="17"/>
              </w:rPr>
              <w:t>0.723</w:t>
            </w:r>
          </w:p>
        </w:tc>
        <w:tc>
          <w:tcPr>
            <w:tcW w:type="dxa" w:w="1152"/>
            <w:shd w:fill="F8FAFC"/>
            <w:tcMar>
              <w:top w:w="70" w:type="dxa"/>
              <w:bottom w:w="70" w:type="dxa"/>
              <w:left w:w="80" w:type="dxa"/>
              <w:right w:w="80" w:type="dxa"/>
            </w:tcMar>
          </w:tcPr>
          <w:p>
            <w:pPr>
              <w:jc w:val="center"/>
            </w:pPr>
            <w:r>
              <w:rPr>
                <w:rFonts w:ascii="Arial" w:hAnsi="Arial"/>
                <w:color w:val="334155"/>
                <w:sz w:val="17"/>
              </w:rPr>
              <w:t>0.729</w:t>
            </w:r>
          </w:p>
        </w:tc>
        <w:tc>
          <w:tcPr>
            <w:tcW w:type="dxa" w:w="1152"/>
            <w:shd w:fill="F8FAFC"/>
            <w:tcMar>
              <w:top w:w="70" w:type="dxa"/>
              <w:bottom w:w="70" w:type="dxa"/>
              <w:left w:w="80" w:type="dxa"/>
              <w:right w:w="80" w:type="dxa"/>
            </w:tcMar>
          </w:tcPr>
          <w:p>
            <w:pPr>
              <w:jc w:val="center"/>
            </w:pPr>
            <w:r>
              <w:rPr>
                <w:rFonts w:ascii="Arial" w:hAnsi="Arial"/>
                <w:color w:val="334155"/>
                <w:sz w:val="17"/>
              </w:rPr>
              <w:t>0.694–0.762</w:t>
            </w:r>
          </w:p>
        </w:tc>
        <w:tc>
          <w:tcPr>
            <w:tcW w:type="dxa" w:w="1008"/>
            <w:shd w:fill="F8FAFC"/>
            <w:tcMar>
              <w:top w:w="70" w:type="dxa"/>
              <w:bottom w:w="70" w:type="dxa"/>
              <w:left w:w="80" w:type="dxa"/>
              <w:right w:w="80" w:type="dxa"/>
            </w:tcMar>
          </w:tcPr>
          <w:p>
            <w:pPr>
              <w:jc w:val="center"/>
            </w:pPr>
            <w:r>
              <w:rPr>
                <w:rFonts w:ascii="Arial" w:hAnsi="Arial"/>
                <w:color w:val="334155"/>
                <w:sz w:val="17"/>
              </w:rPr>
              <w:t>70.9%</w:t>
            </w:r>
          </w:p>
        </w:tc>
        <w:tc>
          <w:tcPr>
            <w:tcW w:type="dxa" w:w="1008"/>
            <w:shd w:fill="F8FAFC"/>
            <w:tcMar>
              <w:top w:w="70" w:type="dxa"/>
              <w:bottom w:w="70" w:type="dxa"/>
              <w:left w:w="80" w:type="dxa"/>
              <w:right w:w="80" w:type="dxa"/>
            </w:tcMar>
          </w:tcPr>
          <w:p>
            <w:pPr>
              <w:jc w:val="center"/>
            </w:pPr>
            <w:r>
              <w:rPr>
                <w:rFonts w:ascii="Arial" w:hAnsi="Arial"/>
                <w:color w:val="334155"/>
                <w:sz w:val="17"/>
              </w:rPr>
              <w:t>63.6%</w:t>
            </w:r>
          </w:p>
        </w:tc>
        <w:tc>
          <w:tcPr>
            <w:tcW w:type="dxa" w:w="864"/>
            <w:shd w:fill="F8FAFC"/>
            <w:tcMar>
              <w:top w:w="70" w:type="dxa"/>
              <w:bottom w:w="70" w:type="dxa"/>
              <w:left w:w="80" w:type="dxa"/>
              <w:right w:w="80" w:type="dxa"/>
            </w:tcMar>
          </w:tcPr>
          <w:p>
            <w:pPr>
              <w:jc w:val="center"/>
            </w:pPr>
            <w:r>
              <w:rPr>
                <w:rFonts w:ascii="Arial" w:hAnsi="Arial"/>
                <w:color w:val="334155"/>
                <w:sz w:val="17"/>
              </w:rPr>
              <w:t>66.5%</w:t>
            </w:r>
          </w:p>
        </w:tc>
        <w:tc>
          <w:tcPr>
            <w:tcW w:type="dxa" w:w="864"/>
            <w:shd w:fill="F8FAFC"/>
            <w:tcMar>
              <w:top w:w="70" w:type="dxa"/>
              <w:bottom w:w="70" w:type="dxa"/>
              <w:left w:w="80" w:type="dxa"/>
              <w:right w:w="80" w:type="dxa"/>
            </w:tcMar>
          </w:tcPr>
          <w:p>
            <w:pPr>
              <w:jc w:val="center"/>
            </w:pPr>
            <w:r>
              <w:rPr>
                <w:rFonts w:ascii="Arial" w:hAnsi="Arial"/>
                <w:color w:val="334155"/>
                <w:sz w:val="17"/>
              </w:rPr>
              <w:t>0.474</w:t>
            </w:r>
          </w:p>
        </w:tc>
      </w:tr>
      <w:tr>
        <w:tc>
          <w:tcPr>
            <w:tcW w:type="dxa" w:w="2160"/>
            <w:shd w:fill="FFFFFF"/>
            <w:tcMar>
              <w:top w:w="70" w:type="dxa"/>
              <w:bottom w:w="70" w:type="dxa"/>
              <w:left w:w="80" w:type="dxa"/>
              <w:right w:w="80" w:type="dxa"/>
            </w:tcMar>
          </w:tcPr>
          <w:p>
            <w:pPr>
              <w:jc w:val="left"/>
            </w:pPr>
            <w:r>
              <w:rPr>
                <w:rFonts w:ascii="Arial" w:hAnsi="Arial"/>
                <w:color w:val="334155"/>
                <w:sz w:val="17"/>
              </w:rPr>
              <w:t>Logistic Regression</w:t>
            </w:r>
          </w:p>
        </w:tc>
        <w:tc>
          <w:tcPr>
            <w:tcW w:type="dxa" w:w="1152"/>
            <w:shd w:fill="FFFFFF"/>
            <w:tcMar>
              <w:top w:w="70" w:type="dxa"/>
              <w:bottom w:w="70" w:type="dxa"/>
              <w:left w:w="80" w:type="dxa"/>
              <w:right w:w="80" w:type="dxa"/>
            </w:tcMar>
          </w:tcPr>
          <w:p>
            <w:pPr>
              <w:jc w:val="center"/>
            </w:pPr>
            <w:r>
              <w:rPr>
                <w:rFonts w:ascii="Arial" w:hAnsi="Arial"/>
                <w:color w:val="334155"/>
                <w:sz w:val="17"/>
              </w:rPr>
              <w:t>0.719</w:t>
            </w:r>
          </w:p>
        </w:tc>
        <w:tc>
          <w:tcPr>
            <w:tcW w:type="dxa" w:w="1152"/>
            <w:shd w:fill="FFFFFF"/>
            <w:tcMar>
              <w:top w:w="70" w:type="dxa"/>
              <w:bottom w:w="70" w:type="dxa"/>
              <w:left w:w="80" w:type="dxa"/>
              <w:right w:w="80" w:type="dxa"/>
            </w:tcMar>
          </w:tcPr>
          <w:p>
            <w:pPr>
              <w:jc w:val="center"/>
            </w:pPr>
            <w:r>
              <w:rPr>
                <w:rFonts w:ascii="Arial" w:hAnsi="Arial"/>
                <w:color w:val="334155"/>
                <w:sz w:val="17"/>
              </w:rPr>
              <w:t>0.722</w:t>
            </w:r>
          </w:p>
        </w:tc>
        <w:tc>
          <w:tcPr>
            <w:tcW w:type="dxa" w:w="1152"/>
            <w:shd w:fill="FFFFFF"/>
            <w:tcMar>
              <w:top w:w="70" w:type="dxa"/>
              <w:bottom w:w="70" w:type="dxa"/>
              <w:left w:w="80" w:type="dxa"/>
              <w:right w:w="80" w:type="dxa"/>
            </w:tcMar>
          </w:tcPr>
          <w:p>
            <w:pPr>
              <w:jc w:val="center"/>
            </w:pPr>
            <w:r>
              <w:rPr>
                <w:rFonts w:ascii="Arial" w:hAnsi="Arial"/>
                <w:color w:val="334155"/>
                <w:sz w:val="17"/>
              </w:rPr>
              <w:t>0.687–0.757</w:t>
            </w:r>
          </w:p>
        </w:tc>
        <w:tc>
          <w:tcPr>
            <w:tcW w:type="dxa" w:w="1008"/>
            <w:shd w:fill="FFFFFF"/>
            <w:tcMar>
              <w:top w:w="70" w:type="dxa"/>
              <w:bottom w:w="70" w:type="dxa"/>
              <w:left w:w="80" w:type="dxa"/>
              <w:right w:w="80" w:type="dxa"/>
            </w:tcMar>
          </w:tcPr>
          <w:p>
            <w:pPr>
              <w:jc w:val="center"/>
            </w:pPr>
            <w:r>
              <w:rPr>
                <w:rFonts w:ascii="Arial" w:hAnsi="Arial"/>
                <w:color w:val="334155"/>
                <w:sz w:val="17"/>
              </w:rPr>
              <w:t>60.4%</w:t>
            </w:r>
          </w:p>
        </w:tc>
        <w:tc>
          <w:tcPr>
            <w:tcW w:type="dxa" w:w="1008"/>
            <w:shd w:fill="FFFFFF"/>
            <w:tcMar>
              <w:top w:w="70" w:type="dxa"/>
              <w:bottom w:w="70" w:type="dxa"/>
              <w:left w:w="80" w:type="dxa"/>
              <w:right w:w="80" w:type="dxa"/>
            </w:tcMar>
          </w:tcPr>
          <w:p>
            <w:pPr>
              <w:jc w:val="center"/>
            </w:pPr>
            <w:r>
              <w:rPr>
                <w:rFonts w:ascii="Arial" w:hAnsi="Arial"/>
                <w:color w:val="334155"/>
                <w:sz w:val="17"/>
              </w:rPr>
              <w:t>72.8%</w:t>
            </w:r>
          </w:p>
        </w:tc>
        <w:tc>
          <w:tcPr>
            <w:tcW w:type="dxa" w:w="864"/>
            <w:shd w:fill="FFFFFF"/>
            <w:tcMar>
              <w:top w:w="70" w:type="dxa"/>
              <w:bottom w:w="70" w:type="dxa"/>
              <w:left w:w="80" w:type="dxa"/>
              <w:right w:w="80" w:type="dxa"/>
            </w:tcMar>
          </w:tcPr>
          <w:p>
            <w:pPr>
              <w:jc w:val="center"/>
            </w:pPr>
            <w:r>
              <w:rPr>
                <w:rFonts w:ascii="Arial" w:hAnsi="Arial"/>
                <w:color w:val="334155"/>
                <w:sz w:val="17"/>
              </w:rPr>
              <w:t>68.0%</w:t>
            </w:r>
          </w:p>
        </w:tc>
        <w:tc>
          <w:tcPr>
            <w:tcW w:type="dxa" w:w="864"/>
            <w:shd w:fill="FFFFFF"/>
            <w:tcMar>
              <w:top w:w="70" w:type="dxa"/>
              <w:bottom w:w="70" w:type="dxa"/>
              <w:left w:w="80" w:type="dxa"/>
              <w:right w:w="80" w:type="dxa"/>
            </w:tcMar>
          </w:tcPr>
          <w:p>
            <w:pPr>
              <w:jc w:val="center"/>
            </w:pPr>
            <w:r>
              <w:rPr>
                <w:rFonts w:ascii="Arial" w:hAnsi="Arial"/>
                <w:color w:val="334155"/>
                <w:sz w:val="17"/>
              </w:rPr>
              <w:t>0.527</w:t>
            </w:r>
          </w:p>
        </w:tc>
      </w:tr>
    </w:tbl>
    <w:p>
      <w:pPr>
        <w:spacing w:after="80"/>
      </w:pPr>
    </w:p>
    <w:p>
      <w:pPr>
        <w:spacing w:before="120" w:after="60"/>
      </w:pPr>
      <w:r>
        <w:rPr>
          <w:rFonts w:ascii="Arial" w:hAnsi="Arial"/>
          <w:b/>
          <w:color w:val="0D9488"/>
          <w:sz w:val="22"/>
        </w:rPr>
        <w:t>Outcome B: Early DKD vs None (early_dkd) — Holdout Test Performance (N = 629)</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42"/>
        <w:gridCol w:w="1242"/>
        <w:gridCol w:w="1242"/>
        <w:gridCol w:w="1242"/>
        <w:gridCol w:w="1242"/>
        <w:gridCol w:w="1242"/>
        <w:gridCol w:w="1242"/>
        <w:gridCol w:w="1242"/>
      </w:tblGrid>
      <w:tr>
        <w:tc>
          <w:tcPr>
            <w:tcW w:type="dxa" w:w="2160"/>
            <w:shd w:fill="1B365D"/>
            <w:tcMar>
              <w:top w:w="80" w:type="dxa"/>
              <w:bottom w:w="80" w:type="dxa"/>
              <w:left w:w="80" w:type="dxa"/>
              <w:right w:w="80" w:type="dxa"/>
            </w:tcMar>
          </w:tcPr>
          <w:p>
            <w:pPr>
              <w:jc w:val="center"/>
            </w:pPr>
            <w:r>
              <w:rPr>
                <w:rFonts w:ascii="Arial" w:hAnsi="Arial"/>
                <w:b/>
                <w:color w:val="FFFFFF"/>
                <w:sz w:val="17"/>
              </w:rPr>
              <w:t>Model Architecture</w:t>
            </w:r>
          </w:p>
        </w:tc>
        <w:tc>
          <w:tcPr>
            <w:tcW w:type="dxa" w:w="1152"/>
            <w:shd w:fill="1B365D"/>
            <w:tcMar>
              <w:top w:w="80" w:type="dxa"/>
              <w:bottom w:w="80" w:type="dxa"/>
              <w:left w:w="80" w:type="dxa"/>
              <w:right w:w="80" w:type="dxa"/>
            </w:tcMar>
          </w:tcPr>
          <w:p>
            <w:pPr>
              <w:jc w:val="center"/>
            </w:pPr>
            <w:r>
              <w:rPr>
                <w:rFonts w:ascii="Arial" w:hAnsi="Arial"/>
                <w:b/>
                <w:color w:val="FFFFFF"/>
                <w:sz w:val="17"/>
              </w:rPr>
              <w:t>CV AUROC</w:t>
            </w:r>
          </w:p>
        </w:tc>
        <w:tc>
          <w:tcPr>
            <w:tcW w:type="dxa" w:w="1152"/>
            <w:shd w:fill="1B365D"/>
            <w:tcMar>
              <w:top w:w="80" w:type="dxa"/>
              <w:bottom w:w="80" w:type="dxa"/>
              <w:left w:w="80" w:type="dxa"/>
              <w:right w:w="80" w:type="dxa"/>
            </w:tcMar>
          </w:tcPr>
          <w:p>
            <w:pPr>
              <w:jc w:val="center"/>
            </w:pPr>
            <w:r>
              <w:rPr>
                <w:rFonts w:ascii="Arial" w:hAnsi="Arial"/>
                <w:b/>
                <w:color w:val="FFFFFF"/>
                <w:sz w:val="17"/>
              </w:rPr>
              <w:t>Test AUROC</w:t>
            </w:r>
          </w:p>
        </w:tc>
        <w:tc>
          <w:tcPr>
            <w:tcW w:type="dxa" w:w="1152"/>
            <w:shd w:fill="1B365D"/>
            <w:tcMar>
              <w:top w:w="80" w:type="dxa"/>
              <w:bottom w:w="80" w:type="dxa"/>
              <w:left w:w="80" w:type="dxa"/>
              <w:right w:w="80" w:type="dxa"/>
            </w:tcMar>
          </w:tcPr>
          <w:p>
            <w:pPr>
              <w:jc w:val="center"/>
            </w:pPr>
            <w:r>
              <w:rPr>
                <w:rFonts w:ascii="Arial" w:hAnsi="Arial"/>
                <w:b/>
                <w:color w:val="FFFFFF"/>
                <w:sz w:val="17"/>
              </w:rPr>
              <w:t>95% CI</w:t>
            </w:r>
          </w:p>
        </w:tc>
        <w:tc>
          <w:tcPr>
            <w:tcW w:type="dxa" w:w="1008"/>
            <w:shd w:fill="1B365D"/>
            <w:tcMar>
              <w:top w:w="80" w:type="dxa"/>
              <w:bottom w:w="80" w:type="dxa"/>
              <w:left w:w="80" w:type="dxa"/>
              <w:right w:w="80" w:type="dxa"/>
            </w:tcMar>
          </w:tcPr>
          <w:p>
            <w:pPr>
              <w:jc w:val="center"/>
            </w:pPr>
            <w:r>
              <w:rPr>
                <w:rFonts w:ascii="Arial" w:hAnsi="Arial"/>
                <w:b/>
                <w:color w:val="FFFFFF"/>
                <w:sz w:val="17"/>
              </w:rPr>
              <w:t>Sensitivity</w:t>
            </w:r>
          </w:p>
        </w:tc>
        <w:tc>
          <w:tcPr>
            <w:tcW w:type="dxa" w:w="1008"/>
            <w:shd w:fill="1B365D"/>
            <w:tcMar>
              <w:top w:w="80" w:type="dxa"/>
              <w:bottom w:w="80" w:type="dxa"/>
              <w:left w:w="80" w:type="dxa"/>
              <w:right w:w="80" w:type="dxa"/>
            </w:tcMar>
          </w:tcPr>
          <w:p>
            <w:pPr>
              <w:jc w:val="center"/>
            </w:pPr>
            <w:r>
              <w:rPr>
                <w:rFonts w:ascii="Arial" w:hAnsi="Arial"/>
                <w:b/>
                <w:color w:val="FFFFFF"/>
                <w:sz w:val="17"/>
              </w:rPr>
              <w:t>Specificity</w:t>
            </w:r>
          </w:p>
        </w:tc>
        <w:tc>
          <w:tcPr>
            <w:tcW w:type="dxa" w:w="864"/>
            <w:shd w:fill="1B365D"/>
            <w:tcMar>
              <w:top w:w="80" w:type="dxa"/>
              <w:bottom w:w="80" w:type="dxa"/>
              <w:left w:w="80" w:type="dxa"/>
              <w:right w:w="80" w:type="dxa"/>
            </w:tcMar>
          </w:tcPr>
          <w:p>
            <w:pPr>
              <w:jc w:val="center"/>
            </w:pPr>
            <w:r>
              <w:rPr>
                <w:rFonts w:ascii="Arial" w:hAnsi="Arial"/>
                <w:b/>
                <w:color w:val="FFFFFF"/>
                <w:sz w:val="17"/>
              </w:rPr>
              <w:t>Accuracy</w:t>
            </w:r>
          </w:p>
        </w:tc>
        <w:tc>
          <w:tcPr>
            <w:tcW w:type="dxa" w:w="864"/>
            <w:shd w:fill="1B365D"/>
            <w:tcMar>
              <w:top w:w="80" w:type="dxa"/>
              <w:bottom w:w="80" w:type="dxa"/>
              <w:left w:w="80" w:type="dxa"/>
              <w:right w:w="80" w:type="dxa"/>
            </w:tcMar>
          </w:tcPr>
          <w:p>
            <w:pPr>
              <w:jc w:val="center"/>
            </w:pPr>
            <w:r>
              <w:rPr>
                <w:rFonts w:ascii="Arial" w:hAnsi="Arial"/>
                <w:b/>
                <w:color w:val="FFFFFF"/>
                <w:sz w:val="17"/>
              </w:rPr>
              <w:t>Threshold</w:t>
            </w:r>
          </w:p>
        </w:tc>
      </w:tr>
      <w:tr>
        <w:tc>
          <w:tcPr>
            <w:tcW w:type="dxa" w:w="2160"/>
            <w:shd w:fill="F0FDFA"/>
            <w:tcMar>
              <w:top w:w="70" w:type="dxa"/>
              <w:bottom w:w="70" w:type="dxa"/>
              <w:left w:w="80" w:type="dxa"/>
              <w:right w:w="80" w:type="dxa"/>
            </w:tcMar>
          </w:tcPr>
          <w:p>
            <w:pPr>
              <w:jc w:val="left"/>
            </w:pPr>
            <w:r>
              <w:rPr>
                <w:rFonts w:ascii="Arial" w:hAnsi="Arial"/>
                <w:b/>
                <w:color w:val="0F766E"/>
                <w:sz w:val="17"/>
              </w:rPr>
              <w:t>PyTorch MLP (Selected Best)</w:t>
            </w:r>
          </w:p>
        </w:tc>
        <w:tc>
          <w:tcPr>
            <w:tcW w:type="dxa" w:w="1152"/>
            <w:shd w:fill="F0FDFA"/>
            <w:tcMar>
              <w:top w:w="70" w:type="dxa"/>
              <w:bottom w:w="70" w:type="dxa"/>
              <w:left w:w="80" w:type="dxa"/>
              <w:right w:w="80" w:type="dxa"/>
            </w:tcMar>
          </w:tcPr>
          <w:p>
            <w:pPr>
              <w:jc w:val="center"/>
            </w:pPr>
            <w:r>
              <w:rPr>
                <w:rFonts w:ascii="Arial" w:hAnsi="Arial"/>
                <w:b/>
                <w:color w:val="0F766E"/>
                <w:sz w:val="17"/>
              </w:rPr>
              <w:t>0.678</w:t>
            </w:r>
          </w:p>
        </w:tc>
        <w:tc>
          <w:tcPr>
            <w:tcW w:type="dxa" w:w="1152"/>
            <w:shd w:fill="F0FDFA"/>
            <w:tcMar>
              <w:top w:w="70" w:type="dxa"/>
              <w:bottom w:w="70" w:type="dxa"/>
              <w:left w:w="80" w:type="dxa"/>
              <w:right w:w="80" w:type="dxa"/>
            </w:tcMar>
          </w:tcPr>
          <w:p>
            <w:pPr>
              <w:jc w:val="center"/>
            </w:pPr>
            <w:r>
              <w:rPr>
                <w:rFonts w:ascii="Arial" w:hAnsi="Arial"/>
                <w:b/>
                <w:color w:val="0F766E"/>
                <w:sz w:val="17"/>
              </w:rPr>
              <w:t>0.643</w:t>
            </w:r>
          </w:p>
        </w:tc>
        <w:tc>
          <w:tcPr>
            <w:tcW w:type="dxa" w:w="1152"/>
            <w:shd w:fill="F0FDFA"/>
            <w:tcMar>
              <w:top w:w="70" w:type="dxa"/>
              <w:bottom w:w="70" w:type="dxa"/>
              <w:left w:w="80" w:type="dxa"/>
              <w:right w:w="80" w:type="dxa"/>
            </w:tcMar>
          </w:tcPr>
          <w:p>
            <w:pPr>
              <w:jc w:val="center"/>
            </w:pPr>
            <w:r>
              <w:rPr>
                <w:rFonts w:ascii="Arial" w:hAnsi="Arial"/>
                <w:b/>
                <w:color w:val="0F766E"/>
                <w:sz w:val="17"/>
              </w:rPr>
              <w:t>0.590–0.693</w:t>
            </w:r>
          </w:p>
        </w:tc>
        <w:tc>
          <w:tcPr>
            <w:tcW w:type="dxa" w:w="1008"/>
            <w:shd w:fill="F0FDFA"/>
            <w:tcMar>
              <w:top w:w="70" w:type="dxa"/>
              <w:bottom w:w="70" w:type="dxa"/>
              <w:left w:w="80" w:type="dxa"/>
              <w:right w:w="80" w:type="dxa"/>
            </w:tcMar>
          </w:tcPr>
          <w:p>
            <w:pPr>
              <w:jc w:val="center"/>
            </w:pPr>
            <w:r>
              <w:rPr>
                <w:rFonts w:ascii="Arial" w:hAnsi="Arial"/>
                <w:b/>
                <w:color w:val="0F766E"/>
                <w:sz w:val="17"/>
              </w:rPr>
              <w:t>52.9%</w:t>
            </w:r>
          </w:p>
        </w:tc>
        <w:tc>
          <w:tcPr>
            <w:tcW w:type="dxa" w:w="1008"/>
            <w:shd w:fill="F0FDFA"/>
            <w:tcMar>
              <w:top w:w="70" w:type="dxa"/>
              <w:bottom w:w="70" w:type="dxa"/>
              <w:left w:w="80" w:type="dxa"/>
              <w:right w:w="80" w:type="dxa"/>
            </w:tcMar>
          </w:tcPr>
          <w:p>
            <w:pPr>
              <w:jc w:val="center"/>
            </w:pPr>
            <w:r>
              <w:rPr>
                <w:rFonts w:ascii="Arial" w:hAnsi="Arial"/>
                <w:b/>
                <w:color w:val="0F766E"/>
                <w:sz w:val="17"/>
              </w:rPr>
              <w:t>69.1%</w:t>
            </w:r>
          </w:p>
        </w:tc>
        <w:tc>
          <w:tcPr>
            <w:tcW w:type="dxa" w:w="864"/>
            <w:shd w:fill="F0FDFA"/>
            <w:tcMar>
              <w:top w:w="70" w:type="dxa"/>
              <w:bottom w:w="70" w:type="dxa"/>
              <w:left w:w="80" w:type="dxa"/>
              <w:right w:w="80" w:type="dxa"/>
            </w:tcMar>
          </w:tcPr>
          <w:p>
            <w:pPr>
              <w:jc w:val="center"/>
            </w:pPr>
            <w:r>
              <w:rPr>
                <w:rFonts w:ascii="Arial" w:hAnsi="Arial"/>
                <w:b/>
                <w:color w:val="0F766E"/>
                <w:sz w:val="17"/>
              </w:rPr>
              <w:t>65.5%</w:t>
            </w:r>
          </w:p>
        </w:tc>
        <w:tc>
          <w:tcPr>
            <w:tcW w:type="dxa" w:w="864"/>
            <w:shd w:fill="F0FDFA"/>
            <w:tcMar>
              <w:top w:w="70" w:type="dxa"/>
              <w:bottom w:w="70" w:type="dxa"/>
              <w:left w:w="80" w:type="dxa"/>
              <w:right w:w="80" w:type="dxa"/>
            </w:tcMar>
          </w:tcPr>
          <w:p>
            <w:pPr>
              <w:jc w:val="center"/>
            </w:pPr>
            <w:r>
              <w:rPr>
                <w:rFonts w:ascii="Arial" w:hAnsi="Arial"/>
                <w:b/>
                <w:color w:val="0F766E"/>
                <w:sz w:val="17"/>
              </w:rPr>
              <w:t>0.507</w:t>
            </w:r>
          </w:p>
        </w:tc>
      </w:tr>
      <w:tr>
        <w:tc>
          <w:tcPr>
            <w:tcW w:type="dxa" w:w="2160"/>
            <w:shd w:fill="FFFFFF"/>
            <w:tcMar>
              <w:top w:w="70" w:type="dxa"/>
              <w:bottom w:w="70" w:type="dxa"/>
              <w:left w:w="80" w:type="dxa"/>
              <w:right w:w="80" w:type="dxa"/>
            </w:tcMar>
          </w:tcPr>
          <w:p>
            <w:pPr>
              <w:jc w:val="left"/>
            </w:pPr>
            <w:r>
              <w:rPr>
                <w:rFonts w:ascii="Arial" w:hAnsi="Arial"/>
                <w:color w:val="334155"/>
                <w:sz w:val="17"/>
              </w:rPr>
              <w:t>Random Forest</w:t>
            </w:r>
          </w:p>
        </w:tc>
        <w:tc>
          <w:tcPr>
            <w:tcW w:type="dxa" w:w="1152"/>
            <w:shd w:fill="FFFFFF"/>
            <w:tcMar>
              <w:top w:w="70" w:type="dxa"/>
              <w:bottom w:w="70" w:type="dxa"/>
              <w:left w:w="80" w:type="dxa"/>
              <w:right w:w="80" w:type="dxa"/>
            </w:tcMar>
          </w:tcPr>
          <w:p>
            <w:pPr>
              <w:jc w:val="center"/>
            </w:pPr>
            <w:r>
              <w:rPr>
                <w:rFonts w:ascii="Arial" w:hAnsi="Arial"/>
                <w:color w:val="334155"/>
                <w:sz w:val="17"/>
              </w:rPr>
              <w:t>0.678</w:t>
            </w:r>
          </w:p>
        </w:tc>
        <w:tc>
          <w:tcPr>
            <w:tcW w:type="dxa" w:w="1152"/>
            <w:shd w:fill="FFFFFF"/>
            <w:tcMar>
              <w:top w:w="70" w:type="dxa"/>
              <w:bottom w:w="70" w:type="dxa"/>
              <w:left w:w="80" w:type="dxa"/>
              <w:right w:w="80" w:type="dxa"/>
            </w:tcMar>
          </w:tcPr>
          <w:p>
            <w:pPr>
              <w:jc w:val="center"/>
            </w:pPr>
            <w:r>
              <w:rPr>
                <w:rFonts w:ascii="Arial" w:hAnsi="Arial"/>
                <w:color w:val="334155"/>
                <w:sz w:val="17"/>
              </w:rPr>
              <w:t>0.657</w:t>
            </w:r>
          </w:p>
        </w:tc>
        <w:tc>
          <w:tcPr>
            <w:tcW w:type="dxa" w:w="1152"/>
            <w:shd w:fill="FFFFFF"/>
            <w:tcMar>
              <w:top w:w="70" w:type="dxa"/>
              <w:bottom w:w="70" w:type="dxa"/>
              <w:left w:w="80" w:type="dxa"/>
              <w:right w:w="80" w:type="dxa"/>
            </w:tcMar>
          </w:tcPr>
          <w:p>
            <w:pPr>
              <w:jc w:val="center"/>
            </w:pPr>
            <w:r>
              <w:rPr>
                <w:rFonts w:ascii="Arial" w:hAnsi="Arial"/>
                <w:color w:val="334155"/>
                <w:sz w:val="17"/>
              </w:rPr>
              <w:t>0.601–0.707</w:t>
            </w:r>
          </w:p>
        </w:tc>
        <w:tc>
          <w:tcPr>
            <w:tcW w:type="dxa" w:w="1008"/>
            <w:shd w:fill="FFFFFF"/>
            <w:tcMar>
              <w:top w:w="70" w:type="dxa"/>
              <w:bottom w:w="70" w:type="dxa"/>
              <w:left w:w="80" w:type="dxa"/>
              <w:right w:w="80" w:type="dxa"/>
            </w:tcMar>
          </w:tcPr>
          <w:p>
            <w:pPr>
              <w:jc w:val="center"/>
            </w:pPr>
            <w:r>
              <w:rPr>
                <w:rFonts w:ascii="Arial" w:hAnsi="Arial"/>
                <w:color w:val="334155"/>
                <w:sz w:val="17"/>
              </w:rPr>
              <w:t>48.6%</w:t>
            </w:r>
          </w:p>
        </w:tc>
        <w:tc>
          <w:tcPr>
            <w:tcW w:type="dxa" w:w="1008"/>
            <w:shd w:fill="FFFFFF"/>
            <w:tcMar>
              <w:top w:w="70" w:type="dxa"/>
              <w:bottom w:w="70" w:type="dxa"/>
              <w:left w:w="80" w:type="dxa"/>
              <w:right w:w="80" w:type="dxa"/>
            </w:tcMar>
          </w:tcPr>
          <w:p>
            <w:pPr>
              <w:jc w:val="center"/>
            </w:pPr>
            <w:r>
              <w:rPr>
                <w:rFonts w:ascii="Arial" w:hAnsi="Arial"/>
                <w:color w:val="334155"/>
                <w:sz w:val="17"/>
              </w:rPr>
              <w:t>70.1%</w:t>
            </w:r>
          </w:p>
        </w:tc>
        <w:tc>
          <w:tcPr>
            <w:tcW w:type="dxa" w:w="864"/>
            <w:shd w:fill="FFFFFF"/>
            <w:tcMar>
              <w:top w:w="70" w:type="dxa"/>
              <w:bottom w:w="70" w:type="dxa"/>
              <w:left w:w="80" w:type="dxa"/>
              <w:right w:w="80" w:type="dxa"/>
            </w:tcMar>
          </w:tcPr>
          <w:p>
            <w:pPr>
              <w:jc w:val="center"/>
            </w:pPr>
            <w:r>
              <w:rPr>
                <w:rFonts w:ascii="Arial" w:hAnsi="Arial"/>
                <w:color w:val="334155"/>
                <w:sz w:val="17"/>
              </w:rPr>
              <w:t>65.3%</w:t>
            </w:r>
          </w:p>
        </w:tc>
        <w:tc>
          <w:tcPr>
            <w:tcW w:type="dxa" w:w="864"/>
            <w:shd w:fill="FFFFFF"/>
            <w:tcMar>
              <w:top w:w="70" w:type="dxa"/>
              <w:bottom w:w="70" w:type="dxa"/>
              <w:left w:w="80" w:type="dxa"/>
              <w:right w:w="80" w:type="dxa"/>
            </w:tcMar>
          </w:tcPr>
          <w:p>
            <w:pPr>
              <w:jc w:val="center"/>
            </w:pPr>
            <w:r>
              <w:rPr>
                <w:rFonts w:ascii="Arial" w:hAnsi="Arial"/>
                <w:color w:val="334155"/>
                <w:sz w:val="17"/>
              </w:rPr>
              <w:t>0.510</w:t>
            </w:r>
          </w:p>
        </w:tc>
      </w:tr>
      <w:tr>
        <w:tc>
          <w:tcPr>
            <w:tcW w:type="dxa" w:w="2160"/>
            <w:shd w:fill="F8FAFC"/>
            <w:tcMar>
              <w:top w:w="70" w:type="dxa"/>
              <w:bottom w:w="70" w:type="dxa"/>
              <w:left w:w="80" w:type="dxa"/>
              <w:right w:w="80" w:type="dxa"/>
            </w:tcMar>
          </w:tcPr>
          <w:p>
            <w:pPr>
              <w:jc w:val="left"/>
            </w:pPr>
            <w:r>
              <w:rPr>
                <w:rFonts w:ascii="Arial" w:hAnsi="Arial"/>
                <w:color w:val="334155"/>
                <w:sz w:val="17"/>
              </w:rPr>
              <w:t>Logistic Regression</w:t>
            </w:r>
          </w:p>
        </w:tc>
        <w:tc>
          <w:tcPr>
            <w:tcW w:type="dxa" w:w="1152"/>
            <w:shd w:fill="F8FAFC"/>
            <w:tcMar>
              <w:top w:w="70" w:type="dxa"/>
              <w:bottom w:w="70" w:type="dxa"/>
              <w:left w:w="80" w:type="dxa"/>
              <w:right w:w="80" w:type="dxa"/>
            </w:tcMar>
          </w:tcPr>
          <w:p>
            <w:pPr>
              <w:jc w:val="center"/>
            </w:pPr>
            <w:r>
              <w:rPr>
                <w:rFonts w:ascii="Arial" w:hAnsi="Arial"/>
                <w:color w:val="334155"/>
                <w:sz w:val="17"/>
              </w:rPr>
              <w:t>0.676</w:t>
            </w:r>
          </w:p>
        </w:tc>
        <w:tc>
          <w:tcPr>
            <w:tcW w:type="dxa" w:w="1152"/>
            <w:shd w:fill="F8FAFC"/>
            <w:tcMar>
              <w:top w:w="70" w:type="dxa"/>
              <w:bottom w:w="70" w:type="dxa"/>
              <w:left w:w="80" w:type="dxa"/>
              <w:right w:w="80" w:type="dxa"/>
            </w:tcMar>
          </w:tcPr>
          <w:p>
            <w:pPr>
              <w:jc w:val="center"/>
            </w:pPr>
            <w:r>
              <w:rPr>
                <w:rFonts w:ascii="Arial" w:hAnsi="Arial"/>
                <w:color w:val="334155"/>
                <w:sz w:val="17"/>
              </w:rPr>
              <w:t>0.644</w:t>
            </w:r>
          </w:p>
        </w:tc>
        <w:tc>
          <w:tcPr>
            <w:tcW w:type="dxa" w:w="1152"/>
            <w:shd w:fill="F8FAFC"/>
            <w:tcMar>
              <w:top w:w="70" w:type="dxa"/>
              <w:bottom w:w="70" w:type="dxa"/>
              <w:left w:w="80" w:type="dxa"/>
              <w:right w:w="80" w:type="dxa"/>
            </w:tcMar>
          </w:tcPr>
          <w:p>
            <w:pPr>
              <w:jc w:val="center"/>
            </w:pPr>
            <w:r>
              <w:rPr>
                <w:rFonts w:ascii="Arial" w:hAnsi="Arial"/>
                <w:color w:val="334155"/>
                <w:sz w:val="17"/>
              </w:rPr>
              <w:t>0.589–0.696</w:t>
            </w:r>
          </w:p>
        </w:tc>
        <w:tc>
          <w:tcPr>
            <w:tcW w:type="dxa" w:w="1008"/>
            <w:shd w:fill="F8FAFC"/>
            <w:tcMar>
              <w:top w:w="70" w:type="dxa"/>
              <w:bottom w:w="70" w:type="dxa"/>
              <w:left w:w="80" w:type="dxa"/>
              <w:right w:w="80" w:type="dxa"/>
            </w:tcMar>
          </w:tcPr>
          <w:p>
            <w:pPr>
              <w:jc w:val="center"/>
            </w:pPr>
            <w:r>
              <w:rPr>
                <w:rFonts w:ascii="Arial" w:hAnsi="Arial"/>
                <w:color w:val="334155"/>
                <w:sz w:val="17"/>
              </w:rPr>
              <w:t>50.7%</w:t>
            </w:r>
          </w:p>
        </w:tc>
        <w:tc>
          <w:tcPr>
            <w:tcW w:type="dxa" w:w="1008"/>
            <w:shd w:fill="F8FAFC"/>
            <w:tcMar>
              <w:top w:w="70" w:type="dxa"/>
              <w:bottom w:w="70" w:type="dxa"/>
              <w:left w:w="80" w:type="dxa"/>
              <w:right w:w="80" w:type="dxa"/>
            </w:tcMar>
          </w:tcPr>
          <w:p>
            <w:pPr>
              <w:jc w:val="center"/>
            </w:pPr>
            <w:r>
              <w:rPr>
                <w:rFonts w:ascii="Arial" w:hAnsi="Arial"/>
                <w:color w:val="334155"/>
                <w:sz w:val="17"/>
              </w:rPr>
              <w:t>68.3%</w:t>
            </w:r>
          </w:p>
        </w:tc>
        <w:tc>
          <w:tcPr>
            <w:tcW w:type="dxa" w:w="864"/>
            <w:shd w:fill="F8FAFC"/>
            <w:tcMar>
              <w:top w:w="70" w:type="dxa"/>
              <w:bottom w:w="70" w:type="dxa"/>
              <w:left w:w="80" w:type="dxa"/>
              <w:right w:w="80" w:type="dxa"/>
            </w:tcMar>
          </w:tcPr>
          <w:p>
            <w:pPr>
              <w:jc w:val="center"/>
            </w:pPr>
            <w:r>
              <w:rPr>
                <w:rFonts w:ascii="Arial" w:hAnsi="Arial"/>
                <w:color w:val="334155"/>
                <w:sz w:val="17"/>
              </w:rPr>
              <w:t>64.4%</w:t>
            </w:r>
          </w:p>
        </w:tc>
        <w:tc>
          <w:tcPr>
            <w:tcW w:type="dxa" w:w="864"/>
            <w:shd w:fill="F8FAFC"/>
            <w:tcMar>
              <w:top w:w="70" w:type="dxa"/>
              <w:bottom w:w="70" w:type="dxa"/>
              <w:left w:w="80" w:type="dxa"/>
              <w:right w:w="80" w:type="dxa"/>
            </w:tcMar>
          </w:tcPr>
          <w:p>
            <w:pPr>
              <w:jc w:val="center"/>
            </w:pPr>
            <w:r>
              <w:rPr>
                <w:rFonts w:ascii="Arial" w:hAnsi="Arial"/>
                <w:color w:val="334155"/>
                <w:sz w:val="17"/>
              </w:rPr>
              <w:t>0.506</w:t>
            </w:r>
          </w:p>
        </w:tc>
      </w:tr>
      <w:tr>
        <w:tc>
          <w:tcPr>
            <w:tcW w:type="dxa" w:w="2160"/>
            <w:shd w:fill="FFFFFF"/>
            <w:tcMar>
              <w:top w:w="70" w:type="dxa"/>
              <w:bottom w:w="70" w:type="dxa"/>
              <w:left w:w="80" w:type="dxa"/>
              <w:right w:w="80" w:type="dxa"/>
            </w:tcMar>
          </w:tcPr>
          <w:p>
            <w:pPr>
              <w:jc w:val="left"/>
            </w:pPr>
            <w:r>
              <w:rPr>
                <w:rFonts w:ascii="Arial" w:hAnsi="Arial"/>
                <w:color w:val="334155"/>
                <w:sz w:val="17"/>
              </w:rPr>
              <w:t>XGBoost</w:t>
            </w:r>
          </w:p>
        </w:tc>
        <w:tc>
          <w:tcPr>
            <w:tcW w:type="dxa" w:w="1152"/>
            <w:shd w:fill="FFFFFF"/>
            <w:tcMar>
              <w:top w:w="70" w:type="dxa"/>
              <w:bottom w:w="70" w:type="dxa"/>
              <w:left w:w="80" w:type="dxa"/>
              <w:right w:w="80" w:type="dxa"/>
            </w:tcMar>
          </w:tcPr>
          <w:p>
            <w:pPr>
              <w:jc w:val="center"/>
            </w:pPr>
            <w:r>
              <w:rPr>
                <w:rFonts w:ascii="Arial" w:hAnsi="Arial"/>
                <w:color w:val="334155"/>
                <w:sz w:val="17"/>
              </w:rPr>
              <w:t>0.674</w:t>
            </w:r>
          </w:p>
        </w:tc>
        <w:tc>
          <w:tcPr>
            <w:tcW w:type="dxa" w:w="1152"/>
            <w:shd w:fill="FFFFFF"/>
            <w:tcMar>
              <w:top w:w="70" w:type="dxa"/>
              <w:bottom w:w="70" w:type="dxa"/>
              <w:left w:w="80" w:type="dxa"/>
              <w:right w:w="80" w:type="dxa"/>
            </w:tcMar>
          </w:tcPr>
          <w:p>
            <w:pPr>
              <w:jc w:val="center"/>
            </w:pPr>
            <w:r>
              <w:rPr>
                <w:rFonts w:ascii="Arial" w:hAnsi="Arial"/>
                <w:color w:val="334155"/>
                <w:sz w:val="17"/>
              </w:rPr>
              <w:t>0.666</w:t>
            </w:r>
          </w:p>
        </w:tc>
        <w:tc>
          <w:tcPr>
            <w:tcW w:type="dxa" w:w="1152"/>
            <w:shd w:fill="FFFFFF"/>
            <w:tcMar>
              <w:top w:w="70" w:type="dxa"/>
              <w:bottom w:w="70" w:type="dxa"/>
              <w:left w:w="80" w:type="dxa"/>
              <w:right w:w="80" w:type="dxa"/>
            </w:tcMar>
          </w:tcPr>
          <w:p>
            <w:pPr>
              <w:jc w:val="center"/>
            </w:pPr>
            <w:r>
              <w:rPr>
                <w:rFonts w:ascii="Arial" w:hAnsi="Arial"/>
                <w:color w:val="334155"/>
                <w:sz w:val="17"/>
              </w:rPr>
              <w:t>0.612–0.713</w:t>
            </w:r>
          </w:p>
        </w:tc>
        <w:tc>
          <w:tcPr>
            <w:tcW w:type="dxa" w:w="1008"/>
            <w:shd w:fill="FFFFFF"/>
            <w:tcMar>
              <w:top w:w="70" w:type="dxa"/>
              <w:bottom w:w="70" w:type="dxa"/>
              <w:left w:w="80" w:type="dxa"/>
              <w:right w:w="80" w:type="dxa"/>
            </w:tcMar>
          </w:tcPr>
          <w:p>
            <w:pPr>
              <w:jc w:val="center"/>
            </w:pPr>
            <w:r>
              <w:rPr>
                <w:rFonts w:ascii="Arial" w:hAnsi="Arial"/>
                <w:color w:val="334155"/>
                <w:sz w:val="17"/>
              </w:rPr>
              <w:t>62.9%</w:t>
            </w:r>
          </w:p>
        </w:tc>
        <w:tc>
          <w:tcPr>
            <w:tcW w:type="dxa" w:w="1008"/>
            <w:shd w:fill="FFFFFF"/>
            <w:tcMar>
              <w:top w:w="70" w:type="dxa"/>
              <w:bottom w:w="70" w:type="dxa"/>
              <w:left w:w="80" w:type="dxa"/>
              <w:right w:w="80" w:type="dxa"/>
            </w:tcMar>
          </w:tcPr>
          <w:p>
            <w:pPr>
              <w:jc w:val="center"/>
            </w:pPr>
            <w:r>
              <w:rPr>
                <w:rFonts w:ascii="Arial" w:hAnsi="Arial"/>
                <w:color w:val="334155"/>
                <w:sz w:val="17"/>
              </w:rPr>
              <w:t>62.2%</w:t>
            </w:r>
          </w:p>
        </w:tc>
        <w:tc>
          <w:tcPr>
            <w:tcW w:type="dxa" w:w="864"/>
            <w:shd w:fill="FFFFFF"/>
            <w:tcMar>
              <w:top w:w="70" w:type="dxa"/>
              <w:bottom w:w="70" w:type="dxa"/>
              <w:left w:w="80" w:type="dxa"/>
              <w:right w:w="80" w:type="dxa"/>
            </w:tcMar>
          </w:tcPr>
          <w:p>
            <w:pPr>
              <w:jc w:val="center"/>
            </w:pPr>
            <w:r>
              <w:rPr>
                <w:rFonts w:ascii="Arial" w:hAnsi="Arial"/>
                <w:color w:val="334155"/>
                <w:sz w:val="17"/>
              </w:rPr>
              <w:t>62.3%</w:t>
            </w:r>
          </w:p>
        </w:tc>
        <w:tc>
          <w:tcPr>
            <w:tcW w:type="dxa" w:w="864"/>
            <w:shd w:fill="FFFFFF"/>
            <w:tcMar>
              <w:top w:w="70" w:type="dxa"/>
              <w:bottom w:w="70" w:type="dxa"/>
              <w:left w:w="80" w:type="dxa"/>
              <w:right w:w="80" w:type="dxa"/>
            </w:tcMar>
          </w:tcPr>
          <w:p>
            <w:pPr>
              <w:jc w:val="center"/>
            </w:pPr>
            <w:r>
              <w:rPr>
                <w:rFonts w:ascii="Arial" w:hAnsi="Arial"/>
                <w:color w:val="334155"/>
                <w:sz w:val="17"/>
              </w:rPr>
              <w:t>0.486</w:t>
            </w:r>
          </w:p>
        </w:tc>
      </w:tr>
    </w:tbl>
    <w:p>
      <w:pPr>
        <w:spacing w:after="80"/>
      </w:pPr>
    </w:p>
    <w:p>
      <w:pPr>
        <w:spacing w:before="120" w:after="60"/>
      </w:pPr>
      <w:r>
        <w:rPr>
          <w:rFonts w:ascii="Arial" w:hAnsi="Arial"/>
          <w:b/>
          <w:color w:val="0D9488"/>
          <w:sz w:val="22"/>
        </w:rPr>
        <w:t>Chronological Temporal Validation (Trained on 2013–2020, Tested on 2021–2023)</w:t>
      </w:r>
    </w:p>
    <w:p>
      <w:pPr>
        <w:spacing w:after="120" w:line="276" w:lineRule="auto"/>
      </w:pPr>
      <w:r>
        <w:rPr>
          <w:rFonts w:ascii="Arial" w:hAnsi="Arial"/>
          <w:color w:val="334155"/>
          <w:sz w:val="19"/>
        </w:rPr>
        <w:t>To rigorously test model generalization against cohort drift over time, all models were tuned and trained exclusively on the historical cycles (2013–2020, N = 3,137) and evaluated on the subsequent cycle (2021–2023, N = 887). XGBoost maintained a strong temporal AUROC of 0.7230 (AUPRC: 0.6653, Sensitivity: 62.7%, Specificity: 70.8%), confirming that the learned risk patterns are durable and transportable across real-world survey cohorts.</w:t>
      </w:r>
    </w:p>
    <w:p>
      <w:pPr>
        <w:spacing w:after="120" w:line="276" w:lineRule="auto"/>
      </w:pPr>
      <w:r>
        <w:rPr>
          <w:b/>
        </w:rPr>
        <w:t xml:space="preserve">Top Clinical Risk Drivers Revealed by SHAP: </w:t>
      </w:r>
      <w:r>
        <w:rPr>
          <w:rFonts w:ascii="Arial" w:hAnsi="Arial"/>
          <w:color w:val="334155"/>
          <w:sz w:val="19"/>
        </w:rPr>
        <w:t>Across all tree and linear attributions, the dominant contributors to elevated kidney damage risk were: (1) Older Age, (2) Elevated Glycated Hemoglobin (HbA1c &gt; 8.0%), (3) High Systolic Blood Pressure (SBP &gt; 140 mmHg), (4) Longer Diabetes Duration (&gt; 10 years), and (5) High Body Mass Index (BMI &gt; 30 kg/m²). Protective features lowering predicted risk included well-managed SBP (&lt; 120 mmHg) and normal HbA1c (&lt; 6.5%).</w:t>
      </w:r>
    </w:p>
    <w:p>
      <w:pPr>
        <w:spacing w:before="80" w:after="40"/>
        <w:jc w:val="center"/>
      </w:pPr>
    </w:p>
    <w:p>
      <w:r>
        <w:drawing>
          <wp:inline xmlns:a="http://schemas.openxmlformats.org/drawingml/2006/main" xmlns:pic="http://schemas.openxmlformats.org/drawingml/2006/picture">
            <wp:extent cx="5120640" cy="3248935"/>
            <wp:docPr id="1" name="Picture 1"/>
            <wp:cNvGraphicFramePr>
              <a:graphicFrameLocks noChangeAspect="1"/>
            </wp:cNvGraphicFramePr>
            <a:graphic>
              <a:graphicData uri="http://schemas.openxmlformats.org/drawingml/2006/picture">
                <pic:pic>
                  <pic:nvPicPr>
                    <pic:cNvPr id="0" name="shap_summary_beeswarm.png"/>
                    <pic:cNvPicPr/>
                  </pic:nvPicPr>
                  <pic:blipFill>
                    <a:blip r:embed="rId9"/>
                    <a:stretch>
                      <a:fillRect/>
                    </a:stretch>
                  </pic:blipFill>
                  <pic:spPr>
                    <a:xfrm>
                      <a:off x="0" y="0"/>
                      <a:ext cx="5120640" cy="3248935"/>
                    </a:xfrm>
                    <a:prstGeom prst="rect"/>
                  </pic:spPr>
                </pic:pic>
              </a:graphicData>
            </a:graphic>
          </wp:inline>
        </w:drawing>
      </w:r>
    </w:p>
    <w:p>
      <w:pPr>
        <w:spacing w:after="160"/>
        <w:jc w:val="center"/>
      </w:pPr>
      <w:r>
        <w:rPr>
          <w:i/>
          <w:color w:val="64748B"/>
          <w:sz w:val="17"/>
        </w:rPr>
        <w:t>Figure 1: SHAP Beeswarm Plot — Feature attributions and directionality for XGBoost on the test cohort.</w:t>
      </w:r>
    </w:p>
    <w:p>
      <w:pPr>
        <w:spacing w:before="240" w:after="80"/>
      </w:pPr>
      <w:r>
        <w:rPr>
          <w:rFonts w:ascii="Arial" w:hAnsi="Arial"/>
          <w:b/>
          <w:color w:val="1B365D"/>
          <w:sz w:val="28"/>
        </w:rPr>
        <w:t>4. Phase 2: Evidence-Grounded AI Agent &amp; Interactive Web Platform</w:t>
      </w:r>
    </w:p>
    <w:p>
      <w:pPr>
        <w:spacing w:after="120" w:line="276" w:lineRule="auto"/>
      </w:pPr>
      <w:r>
        <w:rPr>
          <w:rFonts w:ascii="Arial" w:hAnsi="Arial"/>
          <w:color w:val="334155"/>
          <w:sz w:val="20"/>
        </w:rPr>
        <w:t>A critical failure mode of clinical AI is the 'black-box' dilemma: clinicians cannot act on unexplained risk numbers, and generic generative LLMs tend to hallucinate inaccurate medical advice or make ungrounded statistical claims. Phase 2 tackled this directly by building a specialized, multi-tiered Explainable AI Clinical System.</w:t>
      </w:r>
    </w:p>
    <w:p>
      <w:pPr>
        <w:pStyle w:val="ListBullet"/>
        <w:spacing w:after="60" w:line="276" w:lineRule="auto"/>
      </w:pPr>
      <w:r>
        <w:rPr>
          <w:b/>
          <w:color w:val="1B365D"/>
        </w:rPr>
        <w:t xml:space="preserve">Dynamic Model Binding: </w:t>
      </w:r>
      <w:r>
        <w:rPr>
          <w:color w:val="334155"/>
        </w:rPr>
        <w:t>The agent dynamically loads whichever model was selected by Phase 1 (XGBoost or PyTorch MLP), calculates the exact individual risk probability, and extracts patient-specific positive and negative SHAP factors.</w:t>
      </w:r>
    </w:p>
    <w:p>
      <w:pPr>
        <w:pStyle w:val="ListBullet"/>
        <w:spacing w:after="60" w:line="276" w:lineRule="auto"/>
      </w:pPr>
      <w:r>
        <w:rPr>
          <w:b/>
          <w:color w:val="1B365D"/>
        </w:rPr>
        <w:t xml:space="preserve">Evidence Grounding (dkd_evidence_base.json): </w:t>
      </w:r>
      <w:r>
        <w:rPr>
          <w:color w:val="334155"/>
        </w:rPr>
        <w:t>For each top risk driver, the agent retrieves verified clinical guidelines from the American Diabetes Association (ADA Standards of Care 2026) and KDIGO 2022 Guidelines. The LLM is restricted to citing only these verified sources.</w:t>
      </w:r>
    </w:p>
    <w:p>
      <w:pPr>
        <w:pStyle w:val="ListBullet"/>
        <w:spacing w:after="60" w:line="276" w:lineRule="auto"/>
      </w:pPr>
      <w:r>
        <w:rPr>
          <w:b/>
          <w:color w:val="1B365D"/>
        </w:rPr>
        <w:t xml:space="preserve">Groq-Powered LLM Reasoning (Llama 3.3 70B): </w:t>
      </w:r>
      <w:r>
        <w:rPr>
          <w:color w:val="334155"/>
        </w:rPr>
        <w:t>Generates concise (~120 words), plain-English clinical risk summaries explaining why the patient is at risk, attaching mandatory source citations, and ending with a clear reminder that this is a risk estimate, not a diagnosis.</w:t>
      </w:r>
    </w:p>
    <w:p>
      <w:pPr>
        <w:pStyle w:val="ListBullet"/>
        <w:spacing w:after="60" w:line="276" w:lineRule="auto"/>
      </w:pPr>
      <w:r>
        <w:rPr>
          <w:b/>
          <w:color w:val="1B365D"/>
        </w:rPr>
        <w:t xml:space="preserve">Automated Faithfulness Verification: </w:t>
      </w:r>
      <w:r>
        <w:rPr>
          <w:color w:val="334155"/>
        </w:rPr>
        <w:t>Every LLM output undergoes a deterministic post-generation check to confirm: (1) exact risk % is preserved, (2) no ungrounded numbers were introduced, and (3) all citations correspond exactly to retrieved sources.</w:t>
      </w:r>
    </w:p>
    <w:p>
      <w:pPr>
        <w:pStyle w:val="ListBullet"/>
        <w:spacing w:after="120" w:line="276" w:lineRule="auto"/>
      </w:pPr>
      <w:r>
        <w:rPr>
          <w:b/>
          <w:color w:val="1B365D"/>
        </w:rPr>
        <w:t xml:space="preserve">Deterministic Offline Fallback: </w:t>
      </w:r>
      <w:r>
        <w:rPr>
          <w:color w:val="334155"/>
        </w:rPr>
        <w:t>If the Groq API is offline or without internet access, a rule-based template generates identical, 100% faithful explanations with zero downtime.</w:t>
      </w:r>
    </w:p>
    <w:p>
      <w:pPr>
        <w:spacing w:before="120" w:after="60"/>
      </w:pPr>
      <w:r>
        <w:rPr>
          <w:rFonts w:ascii="Arial" w:hAnsi="Arial"/>
          <w:b/>
          <w:color w:val="0D9488"/>
          <w:sz w:val="22"/>
        </w:rPr>
        <w:t>Phase 2 Product: Interactive Clinical Web Application</w:t>
      </w:r>
    </w:p>
    <w:p>
      <w:pPr>
        <w:spacing w:after="120" w:line="276" w:lineRule="auto"/>
      </w:pPr>
      <w:r>
        <w:rPr>
          <w:rFonts w:ascii="Arial" w:hAnsi="Arial"/>
          <w:color w:val="334155"/>
          <w:sz w:val="19"/>
        </w:rPr>
        <w:t>To make the predictive engine accessible to clinicians, a production-grade web dashboard was developed:</w:t>
        <w:br/>
        <w:t>• FastAPI Backend (backend_server.py): Provides REST endpoints for live model inference, natural language vitals extraction, and AI agent explanation generation.</w:t>
        <w:br/>
        <w:t>• React/Vite Frontend (frontend/): Built with healthcare-grade UI (soft slate, medical teal #0D9488, clinical typography).</w:t>
        <w:br/>
        <w:t>• Dual Input Modes: Traditional structured clinical vitals form alongside a Conversational Natural Language Assistant where clinicians can paste unstructured clinical shorthand (e.g., '65M, T2D for 15y, A1c 9.2, BP 155/90, BMI 31') which is automatically parsed into features.</w:t>
        <w:br/>
        <w:t>• Visual SHAP Attribution Meters: Dynamic color-coded bar meters displaying exact risk-increasing factors in coral-red and protective factors in emerald-green.</w:t>
        <w:br/>
        <w:t>• Pre-loaded Benchmark Patients: 4 real clinical test cases (e.g., High-Risk Longstanding Diabetic, Well-Controlled Early Patient) selectable via a 1-click header dropdown.</w:t>
      </w:r>
    </w:p>
    <w:tbl>
      <w:tblPr>
        <w:tblW w:type="auto" w:w="0"/>
        <w:jc w:val="center"/>
        <w:tblLayout w:type="fixed"/>
        <w:tblLook w:firstColumn="1" w:firstRow="1" w:lastColumn="0" w:lastRow="0" w:noHBand="0" w:noVBand="1" w:val="04A0"/>
      </w:tblPr>
      <w:tblGrid>
        <w:gridCol w:w="9936"/>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before="0" w:after="60" w:line="276" w:lineRule="auto"/>
            </w:pPr>
            <w:r>
              <w:rPr>
                <w:rFonts w:ascii="Arial" w:hAnsi="Arial"/>
                <w:b/>
                <w:color w:val="0D9488"/>
                <w:sz w:val="20"/>
              </w:rPr>
              <w:t xml:space="preserve">📌 PHASE 2 OUTCOMES &amp; SAFETY: </w:t>
            </w:r>
            <w:r>
              <w:rPr>
                <w:rFonts w:ascii="Arial" w:hAnsi="Arial"/>
                <w:color w:val="1E293B"/>
                <w:sz w:val="19"/>
              </w:rPr>
              <w:t>• Faithfulness Checker: Catches altered percentages, invented clinical facts, and ungrounded citations.</w:t>
            </w:r>
          </w:p>
          <w:p>
            <w:pPr>
              <w:spacing w:before="40" w:after="40" w:line="276" w:lineRule="auto"/>
            </w:pPr>
            <w:r>
              <w:rPr>
                <w:rFonts w:ascii="Arial" w:hAnsi="Arial"/>
                <w:color w:val="1E293B"/>
                <w:sz w:val="19"/>
              </w:rPr>
              <w:t>• Clinician Workflow: Translates complex tabular data and model math into an actionable 1-minute risk narrative.</w:t>
            </w:r>
          </w:p>
          <w:p>
            <w:pPr>
              <w:spacing w:before="40" w:after="40" w:line="276" w:lineRule="auto"/>
            </w:pPr>
            <w:r>
              <w:rPr>
                <w:rFonts w:ascii="Arial" w:hAnsi="Arial"/>
                <w:color w:val="1E293B"/>
                <w:sz w:val="19"/>
              </w:rPr>
              <w:t>• Verified Sources: Every claim links to official ADA and KDIGO clinical guidelines.</w:t>
            </w:r>
          </w:p>
        </w:tc>
      </w:tr>
    </w:tbl>
    <w:p>
      <w:pPr>
        <w:spacing w:after="80"/>
      </w:pPr>
    </w:p>
    <w:p>
      <w:pPr>
        <w:spacing w:before="240" w:after="80"/>
      </w:pPr>
      <w:r>
        <w:rPr>
          <w:rFonts w:ascii="Arial" w:hAnsi="Arial"/>
          <w:b/>
          <w:color w:val="1B365D"/>
          <w:sz w:val="28"/>
        </w:rPr>
        <w:t>5. Scientific Limitations &amp; Ethical Cautions</w:t>
      </w:r>
    </w:p>
    <w:p>
      <w:pPr>
        <w:spacing w:after="120" w:line="276" w:lineRule="auto"/>
      </w:pPr>
      <w:r>
        <w:rPr>
          <w:rFonts w:ascii="Arial" w:hAnsi="Arial"/>
          <w:color w:val="334155"/>
          <w:sz w:val="20"/>
        </w:rPr>
        <w:t>For complete scientific transparency and clinical safety, the following boundaries are formally defined in the project:</w:t>
      </w:r>
    </w:p>
    <w:p>
      <w:pPr>
        <w:pStyle w:val="ListBullet"/>
        <w:spacing w:after="60" w:line="276" w:lineRule="auto"/>
      </w:pPr>
      <w:r>
        <w:rPr>
          <w:b/>
          <w:color w:val="1B365D"/>
        </w:rPr>
        <w:t xml:space="preserve">Cross-Sectional Marker Proxies: </w:t>
      </w:r>
      <w:r>
        <w:rPr>
          <w:color w:val="334155"/>
        </w:rPr>
        <w:t>NHANES measures UACR and eGFR at a single survey visit. Clinical diagnostic criteria for CKD require persistent abnormalities for &gt; 3 months. Therefore, labels are single-visit risk markers, not confirmed diagnoses.</w:t>
      </w:r>
    </w:p>
    <w:p>
      <w:pPr>
        <w:pStyle w:val="ListBullet"/>
        <w:spacing w:after="60" w:line="276" w:lineRule="auto"/>
      </w:pPr>
      <w:r>
        <w:rPr>
          <w:b/>
          <w:color w:val="1B365D"/>
        </w:rPr>
        <w:t xml:space="preserve">No National Prevalence Claims: </w:t>
      </w:r>
      <w:r>
        <w:rPr>
          <w:color w:val="334155"/>
        </w:rPr>
        <w:t>The pipeline evaluates predictive ML algorithms without applying NHANES complex survey weights, strata, or clusters. Metrics reflect cohort performance, not US population prevalence.</w:t>
      </w:r>
    </w:p>
    <w:p>
      <w:pPr>
        <w:pStyle w:val="ListBullet"/>
        <w:spacing w:after="60" w:line="276" w:lineRule="auto"/>
      </w:pPr>
      <w:r>
        <w:rPr>
          <w:b/>
          <w:color w:val="1B365D"/>
        </w:rPr>
        <w:t xml:space="preserve">SHAP is Attribution, Not Causation: </w:t>
      </w:r>
      <w:r>
        <w:rPr>
          <w:color w:val="334155"/>
        </w:rPr>
        <w:t>SHAP values describe how the model weighted a given feature for its statistical score. They do not demonstrate that altering that feature (e.g. lowering waist circumference) will directly cure or halt kidney disease.</w:t>
      </w:r>
    </w:p>
    <w:p>
      <w:pPr>
        <w:pStyle w:val="ListBullet"/>
        <w:spacing w:after="60" w:line="276" w:lineRule="auto"/>
      </w:pPr>
      <w:r>
        <w:rPr>
          <w:b/>
          <w:color w:val="1B365D"/>
        </w:rPr>
        <w:t xml:space="preserve">Research Prototype Status: </w:t>
      </w:r>
      <w:r>
        <w:rPr>
          <w:color w:val="334155"/>
        </w:rPr>
        <w:t>This system is an academic research prototype designed to support clinical triage and risk awareness; it is not a standalone diagnostic medical device.</w:t>
      </w:r>
    </w:p>
    <w:p>
      <w:pPr>
        <w:spacing w:after="80"/>
      </w:pPr>
      <w:r>
        <w:rPr>
          <w:rFonts w:ascii="Arial" w:hAnsi="Arial"/>
          <w:b/>
          <w:color w:val="1B365D"/>
          <w:sz w:val="28"/>
        </w:rPr>
        <w:t>6. Comprehensive Phase 1 vs Phase 2 Summary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2592"/>
            <w:shd w:fill="1B365D"/>
            <w:tcMar>
              <w:top w:w="80" w:type="dxa"/>
              <w:bottom w:w="80" w:type="dxa"/>
              <w:left w:w="100" w:type="dxa"/>
              <w:right w:w="100" w:type="dxa"/>
            </w:tcMar>
          </w:tcPr>
          <w:p>
            <w:pPr>
              <w:jc w:val="left"/>
            </w:pPr>
            <w:r>
              <w:rPr>
                <w:rFonts w:ascii="Arial" w:hAnsi="Arial"/>
                <w:b/>
                <w:color w:val="FFFFFF"/>
                <w:sz w:val="18"/>
              </w:rPr>
              <w:t>Project Dimension</w:t>
            </w:r>
          </w:p>
        </w:tc>
        <w:tc>
          <w:tcPr>
            <w:tcW w:type="dxa" w:w="3456"/>
            <w:shd w:fill="1B365D"/>
            <w:tcMar>
              <w:top w:w="80" w:type="dxa"/>
              <w:bottom w:w="80" w:type="dxa"/>
              <w:left w:w="100" w:type="dxa"/>
              <w:right w:w="100" w:type="dxa"/>
            </w:tcMar>
          </w:tcPr>
          <w:p>
            <w:pPr>
              <w:jc w:val="left"/>
            </w:pPr>
            <w:r>
              <w:rPr>
                <w:rFonts w:ascii="Arial" w:hAnsi="Arial"/>
                <w:b/>
                <w:color w:val="FFFFFF"/>
                <w:sz w:val="18"/>
              </w:rPr>
              <w:t>Phase 1: Machine Learning &amp; XAI</w:t>
            </w:r>
          </w:p>
        </w:tc>
        <w:tc>
          <w:tcPr>
            <w:tcW w:type="dxa" w:w="3456"/>
            <w:shd w:fill="1B365D"/>
            <w:tcMar>
              <w:top w:w="80" w:type="dxa"/>
              <w:bottom w:w="80" w:type="dxa"/>
              <w:left w:w="100" w:type="dxa"/>
              <w:right w:w="100" w:type="dxa"/>
            </w:tcMar>
          </w:tcPr>
          <w:p>
            <w:pPr>
              <w:jc w:val="left"/>
            </w:pPr>
            <w:r>
              <w:rPr>
                <w:rFonts w:ascii="Arial" w:hAnsi="Arial"/>
                <w:b/>
                <w:color w:val="FFFFFF"/>
                <w:sz w:val="18"/>
              </w:rPr>
              <w:t>Phase 2: AI Agent &amp; Web App</w:t>
            </w:r>
          </w:p>
        </w:tc>
      </w:tr>
      <w:tr>
        <w:tc>
          <w:tcPr>
            <w:tcW w:type="dxa" w:w="2592"/>
            <w:shd w:fill="F8FAFC"/>
            <w:tcMar>
              <w:top w:w="60" w:type="dxa"/>
              <w:bottom w:w="60" w:type="dxa"/>
              <w:left w:w="100" w:type="dxa"/>
              <w:right w:w="100" w:type="dxa"/>
            </w:tcMar>
          </w:tcPr>
          <w:p>
            <w:pPr>
              <w:jc w:val="left"/>
            </w:pPr>
            <w:r>
              <w:rPr>
                <w:rFonts w:ascii="Arial" w:hAnsi="Arial"/>
                <w:b/>
                <w:color w:val="1B365D"/>
                <w:sz w:val="17"/>
              </w:rPr>
              <w:t>Core Objective</w:t>
            </w:r>
          </w:p>
        </w:tc>
        <w:tc>
          <w:tcPr>
            <w:tcW w:type="dxa" w:w="3456"/>
            <w:shd w:fill="F8FAFC"/>
            <w:tcMar>
              <w:top w:w="60" w:type="dxa"/>
              <w:bottom w:w="60" w:type="dxa"/>
              <w:left w:w="100" w:type="dxa"/>
              <w:right w:w="100" w:type="dxa"/>
            </w:tcMar>
          </w:tcPr>
          <w:p>
            <w:pPr>
              <w:jc w:val="left"/>
            </w:pPr>
            <w:r>
              <w:rPr>
                <w:rFonts w:ascii="Arial" w:hAnsi="Arial"/>
                <w:color w:val="334155"/>
                <w:sz w:val="17"/>
              </w:rPr>
              <w:t>Predict kidney damage using routine vitals; compare ML vs DL algorithms.</w:t>
            </w:r>
          </w:p>
        </w:tc>
        <w:tc>
          <w:tcPr>
            <w:tcW w:type="dxa" w:w="3456"/>
            <w:shd w:fill="F8FAFC"/>
            <w:tcMar>
              <w:top w:w="60" w:type="dxa"/>
              <w:bottom w:w="60" w:type="dxa"/>
              <w:left w:w="100" w:type="dxa"/>
              <w:right w:w="100" w:type="dxa"/>
            </w:tcMar>
          </w:tcPr>
          <w:p>
            <w:pPr>
              <w:jc w:val="left"/>
            </w:pPr>
            <w:r>
              <w:rPr>
                <w:rFonts w:ascii="Arial" w:hAnsi="Arial"/>
                <w:color w:val="334155"/>
                <w:sz w:val="17"/>
              </w:rPr>
              <w:t>Translate predictions into faithful, guideline-backed explanations and UI.</w:t>
            </w:r>
          </w:p>
        </w:tc>
      </w:tr>
      <w:tr>
        <w:tc>
          <w:tcPr>
            <w:tcW w:type="dxa" w:w="2592"/>
            <w:shd w:fill="FFFFFF"/>
            <w:tcMar>
              <w:top w:w="60" w:type="dxa"/>
              <w:bottom w:w="60" w:type="dxa"/>
              <w:left w:w="100" w:type="dxa"/>
              <w:right w:w="100" w:type="dxa"/>
            </w:tcMar>
          </w:tcPr>
          <w:p>
            <w:pPr>
              <w:jc w:val="left"/>
            </w:pPr>
            <w:r>
              <w:rPr>
                <w:rFonts w:ascii="Arial" w:hAnsi="Arial"/>
                <w:b/>
                <w:color w:val="1B365D"/>
                <w:sz w:val="17"/>
              </w:rPr>
              <w:t>Models / Tools</w:t>
            </w:r>
          </w:p>
        </w:tc>
        <w:tc>
          <w:tcPr>
            <w:tcW w:type="dxa" w:w="3456"/>
            <w:shd w:fill="FFFFFF"/>
            <w:tcMar>
              <w:top w:w="60" w:type="dxa"/>
              <w:bottom w:w="60" w:type="dxa"/>
              <w:left w:w="100" w:type="dxa"/>
              <w:right w:w="100" w:type="dxa"/>
            </w:tcMar>
          </w:tcPr>
          <w:p>
            <w:pPr>
              <w:jc w:val="left"/>
            </w:pPr>
            <w:r>
              <w:rPr>
                <w:rFonts w:ascii="Arial" w:hAnsi="Arial"/>
                <w:color w:val="334155"/>
                <w:sz w:val="17"/>
              </w:rPr>
              <w:t>Logistic Regression, Random Forest, XGBoost, PyTorch MLP, TreeSHAP.</w:t>
            </w:r>
          </w:p>
        </w:tc>
        <w:tc>
          <w:tcPr>
            <w:tcW w:type="dxa" w:w="3456"/>
            <w:shd w:fill="FFFFFF"/>
            <w:tcMar>
              <w:top w:w="60" w:type="dxa"/>
              <w:bottom w:w="60" w:type="dxa"/>
              <w:left w:w="100" w:type="dxa"/>
              <w:right w:w="100" w:type="dxa"/>
            </w:tcMar>
          </w:tcPr>
          <w:p>
            <w:pPr>
              <w:jc w:val="left"/>
            </w:pPr>
            <w:r>
              <w:rPr>
                <w:rFonts w:ascii="Arial" w:hAnsi="Arial"/>
                <w:color w:val="334155"/>
                <w:sz w:val="17"/>
              </w:rPr>
              <w:t>Groq API (Llama 3.3 70B), FastAPI, React/Vite, Faithfulness Checker.</w:t>
            </w:r>
          </w:p>
        </w:tc>
      </w:tr>
      <w:tr>
        <w:tc>
          <w:tcPr>
            <w:tcW w:type="dxa" w:w="2592"/>
            <w:shd w:fill="F8FAFC"/>
            <w:tcMar>
              <w:top w:w="60" w:type="dxa"/>
              <w:bottom w:w="60" w:type="dxa"/>
              <w:left w:w="100" w:type="dxa"/>
              <w:right w:w="100" w:type="dxa"/>
            </w:tcMar>
          </w:tcPr>
          <w:p>
            <w:pPr>
              <w:jc w:val="left"/>
            </w:pPr>
            <w:r>
              <w:rPr>
                <w:rFonts w:ascii="Arial" w:hAnsi="Arial"/>
                <w:b/>
                <w:color w:val="1B365D"/>
                <w:sz w:val="17"/>
              </w:rPr>
              <w:t>Key Evaluation</w:t>
            </w:r>
          </w:p>
        </w:tc>
        <w:tc>
          <w:tcPr>
            <w:tcW w:type="dxa" w:w="3456"/>
            <w:shd w:fill="F8FAFC"/>
            <w:tcMar>
              <w:top w:w="60" w:type="dxa"/>
              <w:bottom w:w="60" w:type="dxa"/>
              <w:left w:w="100" w:type="dxa"/>
              <w:right w:w="100" w:type="dxa"/>
            </w:tcMar>
          </w:tcPr>
          <w:p>
            <w:pPr>
              <w:jc w:val="left"/>
            </w:pPr>
            <w:r>
              <w:rPr>
                <w:rFonts w:ascii="Arial" w:hAnsi="Arial"/>
                <w:color w:val="334155"/>
                <w:sz w:val="17"/>
              </w:rPr>
              <w:t>Holdout CV, 95% Bootstrap CI, Chronological Temporal Holdout (2021–2023).</w:t>
            </w:r>
          </w:p>
        </w:tc>
        <w:tc>
          <w:tcPr>
            <w:tcW w:type="dxa" w:w="3456"/>
            <w:shd w:fill="F8FAFC"/>
            <w:tcMar>
              <w:top w:w="60" w:type="dxa"/>
              <w:bottom w:w="60" w:type="dxa"/>
              <w:left w:w="100" w:type="dxa"/>
              <w:right w:w="100" w:type="dxa"/>
            </w:tcMar>
          </w:tcPr>
          <w:p>
            <w:pPr>
              <w:jc w:val="left"/>
            </w:pPr>
            <w:r>
              <w:rPr>
                <w:rFonts w:ascii="Arial" w:hAnsi="Arial"/>
                <w:color w:val="334155"/>
                <w:sz w:val="17"/>
              </w:rPr>
              <w:t>Citation verification, exact risk % consistency, latency, usability.</w:t>
            </w:r>
          </w:p>
        </w:tc>
      </w:tr>
      <w:tr>
        <w:tc>
          <w:tcPr>
            <w:tcW w:type="dxa" w:w="2592"/>
            <w:shd w:fill="FFFFFF"/>
            <w:tcMar>
              <w:top w:w="60" w:type="dxa"/>
              <w:bottom w:w="60" w:type="dxa"/>
              <w:left w:w="100" w:type="dxa"/>
              <w:right w:w="100" w:type="dxa"/>
            </w:tcMar>
          </w:tcPr>
          <w:p>
            <w:pPr>
              <w:jc w:val="left"/>
            </w:pPr>
            <w:r>
              <w:rPr>
                <w:rFonts w:ascii="Arial" w:hAnsi="Arial"/>
                <w:b/>
                <w:color w:val="1B365D"/>
                <w:sz w:val="17"/>
              </w:rPr>
              <w:t>Best Model Selected</w:t>
            </w:r>
          </w:p>
        </w:tc>
        <w:tc>
          <w:tcPr>
            <w:tcW w:type="dxa" w:w="3456"/>
            <w:shd w:fill="FFFFFF"/>
            <w:tcMar>
              <w:top w:w="60" w:type="dxa"/>
              <w:bottom w:w="60" w:type="dxa"/>
              <w:left w:w="100" w:type="dxa"/>
              <w:right w:w="100" w:type="dxa"/>
            </w:tcMar>
          </w:tcPr>
          <w:p>
            <w:pPr>
              <w:jc w:val="left"/>
            </w:pPr>
            <w:r>
              <w:rPr>
                <w:rFonts w:ascii="Arial" w:hAnsi="Arial"/>
                <w:color w:val="334155"/>
                <w:sz w:val="17"/>
              </w:rPr>
              <w:t>XGBoost (dkd_any: 0.732 AUROC); PyTorch MLP (early_dkd: 0.678 CV AUROC).</w:t>
            </w:r>
          </w:p>
        </w:tc>
        <w:tc>
          <w:tcPr>
            <w:tcW w:type="dxa" w:w="3456"/>
            <w:shd w:fill="FFFFFF"/>
            <w:tcMar>
              <w:top w:w="60" w:type="dxa"/>
              <w:bottom w:w="60" w:type="dxa"/>
              <w:left w:w="100" w:type="dxa"/>
              <w:right w:w="100" w:type="dxa"/>
            </w:tcMar>
          </w:tcPr>
          <w:p>
            <w:pPr>
              <w:jc w:val="left"/>
            </w:pPr>
            <w:r>
              <w:rPr>
                <w:rFonts w:ascii="Arial" w:hAnsi="Arial"/>
                <w:color w:val="334155"/>
                <w:sz w:val="17"/>
              </w:rPr>
              <w:t>Loads whichever model Phase 1 selected dynamically via joblib metadata.</w:t>
            </w:r>
          </w:p>
        </w:tc>
      </w:tr>
      <w:tr>
        <w:tc>
          <w:tcPr>
            <w:tcW w:type="dxa" w:w="2592"/>
            <w:shd w:fill="F8FAFC"/>
            <w:tcMar>
              <w:top w:w="60" w:type="dxa"/>
              <w:bottom w:w="60" w:type="dxa"/>
              <w:left w:w="100" w:type="dxa"/>
              <w:right w:w="100" w:type="dxa"/>
            </w:tcMar>
          </w:tcPr>
          <w:p>
            <w:pPr>
              <w:jc w:val="left"/>
            </w:pPr>
            <w:r>
              <w:rPr>
                <w:rFonts w:ascii="Arial" w:hAnsi="Arial"/>
                <w:b/>
                <w:color w:val="1B365D"/>
                <w:sz w:val="17"/>
              </w:rPr>
              <w:t>Key Output / Artifact</w:t>
            </w:r>
          </w:p>
        </w:tc>
        <w:tc>
          <w:tcPr>
            <w:tcW w:type="dxa" w:w="3456"/>
            <w:shd w:fill="F8FAFC"/>
            <w:tcMar>
              <w:top w:w="60" w:type="dxa"/>
              <w:bottom w:w="60" w:type="dxa"/>
              <w:left w:w="100" w:type="dxa"/>
              <w:right w:w="100" w:type="dxa"/>
            </w:tcMar>
          </w:tcPr>
          <w:p>
            <w:pPr>
              <w:jc w:val="left"/>
            </w:pPr>
            <w:r>
              <w:rPr>
                <w:rFonts w:ascii="Arial" w:hAnsi="Arial"/>
                <w:color w:val="334155"/>
                <w:sz w:val="17"/>
              </w:rPr>
              <w:t>Trained models (.joblib), ROC/PR curves, SHAP beeswarm &amp; dependence plots.</w:t>
            </w:r>
          </w:p>
        </w:tc>
        <w:tc>
          <w:tcPr>
            <w:tcW w:type="dxa" w:w="3456"/>
            <w:shd w:fill="F8FAFC"/>
            <w:tcMar>
              <w:top w:w="60" w:type="dxa"/>
              <w:bottom w:w="60" w:type="dxa"/>
              <w:left w:w="100" w:type="dxa"/>
              <w:right w:w="100" w:type="dxa"/>
            </w:tcMar>
          </w:tcPr>
          <w:p>
            <w:pPr>
              <w:jc w:val="left"/>
            </w:pPr>
            <w:r>
              <w:rPr>
                <w:rFonts w:ascii="Arial" w:hAnsi="Arial"/>
                <w:color w:val="334155"/>
                <w:sz w:val="17"/>
              </w:rPr>
              <w:t>dkd_ai_agent.py, backend_server.py, interactive clinical web dashboard.</w:t>
            </w:r>
          </w:p>
        </w:tc>
      </w:tr>
      <w:tr>
        <w:tc>
          <w:tcPr>
            <w:tcW w:type="dxa" w:w="2592"/>
            <w:shd w:fill="FFFFFF"/>
            <w:tcMar>
              <w:top w:w="60" w:type="dxa"/>
              <w:bottom w:w="60" w:type="dxa"/>
              <w:left w:w="100" w:type="dxa"/>
              <w:right w:w="100" w:type="dxa"/>
            </w:tcMar>
          </w:tcPr>
          <w:p>
            <w:pPr>
              <w:jc w:val="left"/>
            </w:pPr>
            <w:r>
              <w:rPr>
                <w:rFonts w:ascii="Arial" w:hAnsi="Arial"/>
                <w:b/>
                <w:color w:val="1B365D"/>
                <w:sz w:val="17"/>
              </w:rPr>
              <w:t>Verification Guardrail</w:t>
            </w:r>
          </w:p>
        </w:tc>
        <w:tc>
          <w:tcPr>
            <w:tcW w:type="dxa" w:w="3456"/>
            <w:shd w:fill="FFFFFF"/>
            <w:tcMar>
              <w:top w:w="60" w:type="dxa"/>
              <w:bottom w:w="60" w:type="dxa"/>
              <w:left w:w="100" w:type="dxa"/>
              <w:right w:w="100" w:type="dxa"/>
            </w:tcMar>
          </w:tcPr>
          <w:p>
            <w:pPr>
              <w:jc w:val="left"/>
            </w:pPr>
            <w:r>
              <w:rPr>
                <w:rFonts w:ascii="Arial" w:hAnsi="Arial"/>
                <w:color w:val="334155"/>
                <w:sz w:val="17"/>
              </w:rPr>
              <w:t>Stratified CV, leakage test (validate_project.py), Youden's threshold.</w:t>
            </w:r>
          </w:p>
        </w:tc>
        <w:tc>
          <w:tcPr>
            <w:tcW w:type="dxa" w:w="3456"/>
            <w:shd w:fill="FFFFFF"/>
            <w:tcMar>
              <w:top w:w="60" w:type="dxa"/>
              <w:bottom w:w="60" w:type="dxa"/>
              <w:left w:w="100" w:type="dxa"/>
              <w:right w:w="100" w:type="dxa"/>
            </w:tcMar>
          </w:tcPr>
          <w:p>
            <w:pPr>
              <w:jc w:val="left"/>
            </w:pPr>
            <w:r>
              <w:rPr>
                <w:rFonts w:ascii="Arial" w:hAnsi="Arial"/>
                <w:color w:val="334155"/>
                <w:sz w:val="17"/>
              </w:rPr>
              <w:t>Faithfulness checker (flags hallucinations, uncited claims, altered numbers).</w:t>
            </w:r>
          </w:p>
        </w:tc>
      </w:tr>
      <w:tr>
        <w:tc>
          <w:tcPr>
            <w:tcW w:type="dxa" w:w="2592"/>
            <w:shd w:fill="F8FAFC"/>
            <w:tcMar>
              <w:top w:w="60" w:type="dxa"/>
              <w:bottom w:w="60" w:type="dxa"/>
              <w:left w:w="100" w:type="dxa"/>
              <w:right w:w="100" w:type="dxa"/>
            </w:tcMar>
          </w:tcPr>
          <w:p>
            <w:pPr>
              <w:jc w:val="left"/>
            </w:pPr>
            <w:r>
              <w:rPr>
                <w:rFonts w:ascii="Arial" w:hAnsi="Arial"/>
                <w:b/>
                <w:color w:val="1B365D"/>
                <w:sz w:val="17"/>
              </w:rPr>
              <w:t>Final Clinical Deliverable</w:t>
            </w:r>
          </w:p>
        </w:tc>
        <w:tc>
          <w:tcPr>
            <w:tcW w:type="dxa" w:w="3456"/>
            <w:shd w:fill="F8FAFC"/>
            <w:tcMar>
              <w:top w:w="60" w:type="dxa"/>
              <w:bottom w:w="60" w:type="dxa"/>
              <w:left w:w="100" w:type="dxa"/>
              <w:right w:w="100" w:type="dxa"/>
            </w:tcMar>
          </w:tcPr>
          <w:p>
            <w:pPr>
              <w:jc w:val="left"/>
            </w:pPr>
            <w:r>
              <w:rPr>
                <w:rFonts w:ascii="Arial" w:hAnsi="Arial"/>
                <w:color w:val="334155"/>
                <w:sz w:val="17"/>
              </w:rPr>
              <w:t>Validated mathematical risk score and top contributing numerical factors.</w:t>
            </w:r>
          </w:p>
        </w:tc>
        <w:tc>
          <w:tcPr>
            <w:tcW w:type="dxa" w:w="3456"/>
            <w:shd w:fill="F8FAFC"/>
            <w:tcMar>
              <w:top w:w="60" w:type="dxa"/>
              <w:bottom w:w="60" w:type="dxa"/>
              <w:left w:w="100" w:type="dxa"/>
              <w:right w:w="100" w:type="dxa"/>
            </w:tcMar>
          </w:tcPr>
          <w:p>
            <w:pPr>
              <w:jc w:val="left"/>
            </w:pPr>
            <w:r>
              <w:rPr>
                <w:rFonts w:ascii="Arial" w:hAnsi="Arial"/>
                <w:color w:val="334155"/>
                <w:sz w:val="17"/>
              </w:rPr>
              <w:t>Interactive patient narrative report with guideline citations and interactive UI.</w:t>
            </w:r>
          </w:p>
        </w:tc>
      </w:tr>
    </w:tbl>
    <w:p>
      <w:pPr>
        <w:spacing w:after="240"/>
      </w:pPr>
    </w:p>
    <w:p>
      <w:pPr>
        <w:jc w:val="center"/>
      </w:pPr>
      <w:r>
        <w:rPr>
          <w:rFonts w:ascii="Arial" w:hAnsi="Arial"/>
          <w:i/>
          <w:color w:val="64748B"/>
          <w:sz w:val="19"/>
        </w:rPr>
        <w:t>― End of DKD-XAI Comprehensive Project Summary ―</w:t>
        <w:br/>
      </w:r>
      <w:r>
        <w:rPr>
          <w:rFonts w:ascii="Arial" w:hAnsi="Arial"/>
          <w:color w:val="64748B"/>
          <w:sz w:val="17"/>
        </w:rPr>
        <w:t>Prepared for Academic &amp; Clinical Review  •  October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