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3CD"/>
          </w:tcPr>
          <w:p>
            <w:pPr>
              <w:jc w:val="center"/>
            </w:pPr>
            <w:r>
              <w:rPr>
                <w:b/>
                <w:color w:val="856404"/>
                <w:sz w:val="22"/>
              </w:rPr>
              <w:t>⚠️  AI-ASSISTED DRAFT — HUMAN REVIEW &amp; APPROVAL MANDATORY  ⚠️</w:t>
              <w:br/>
            </w:r>
            <w:r>
              <w:rPr>
                <w:i/>
                <w:color w:val="856404"/>
                <w:sz w:val="18"/>
              </w:rPr>
              <w:t>Confidential Internal Industrial Document. Generated by Sovereign AI Workbench.</w:t>
              <w:br/>
              <w:t>Not certified for final safety-critical engineering, structural, or commercial decisions without authorized sign-off.</w:t>
            </w:r>
          </w:p>
        </w:tc>
      </w:tr>
    </w:tbl>
    <w:p/>
    <w:p>
      <w:r>
        <w:rPr>
          <w:b/>
          <w:color w:val="0F172A"/>
          <w:sz w:val="40"/>
        </w:rPr>
        <w:t>{{title}}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 xml:space="preserve">Document ID: </w:t>
            </w:r>
            <w:r>
              <w:t>{{doc_id}}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Date: </w:t>
            </w:r>
            <w:r>
              <w:t>{{date}}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Run ID: </w:t>
            </w:r>
            <w:r>
              <w:t>{{run_id}}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Prepared By: </w:t>
            </w:r>
            <w:r>
              <w:t>{{prepared_by}}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 xml:space="preserve">Clearance Level: </w:t>
            </w:r>
            <w:r>
              <w:t>{{clearance}}</w:t>
            </w:r>
          </w:p>
        </w:tc>
        <w:tc>
          <w:tcPr>
            <w:tcW w:type="dxa" w:w="4680"/>
          </w:tcPr>
          <w:p>
            <w:r>
              <w:rPr>
                <w:b/>
              </w:rPr>
              <w:t xml:space="preserve">Classification: </w:t>
            </w:r>
            <w:r>
              <w:t>CONFIDENTIAL / PROPRIETARY</w:t>
            </w:r>
          </w:p>
        </w:tc>
      </w:tr>
    </w:tbl>
    <w:p/>
    <w:p>
      <w:pPr>
        <w:pStyle w:val="Heading1"/>
      </w:pPr>
      <w:r>
        <w:t>1. Equipment &amp; Inspection Metadata</w:t>
      </w:r>
    </w:p>
    <w:p>
      <w:r>
        <w:rPr>
          <w:b/>
        </w:rPr>
        <w:t xml:space="preserve">Target Asset Identifier: </w:t>
      </w:r>
      <w:r>
        <w:t>{{asset_id}}</w:t>
        <w:br/>
      </w:r>
      <w:r>
        <w:rPr>
          <w:b/>
        </w:rPr>
        <w:t xml:space="preserve">Asset Description: </w:t>
      </w:r>
      <w:r>
        <w:t>{{asset_name}}</w:t>
        <w:br/>
      </w:r>
      <w:r>
        <w:rPr>
          <w:b/>
        </w:rPr>
        <w:t xml:space="preserve">Inspection Date: </w:t>
      </w:r>
      <w:r>
        <w:t>{{inspection_date}}</w:t>
        <w:br/>
      </w:r>
      <w:r>
        <w:rPr>
          <w:b/>
        </w:rPr>
        <w:t xml:space="preserve">Lead Field Inspector: </w:t>
      </w:r>
      <w:r>
        <w:t>{{inspector}}</w:t>
      </w:r>
    </w:p>
    <w:p>
      <w:pPr>
        <w:pStyle w:val="Heading1"/>
      </w:pPr>
      <w:r>
        <w:t>2. Verified Field Findings (Facts)</w:t>
      </w:r>
    </w:p>
    <w:p>
      <w:r>
        <w:rPr>
          <w:i/>
        </w:rPr>
        <w:t>The following findings represent verified facts extracted from source inspection documentation. Every factual claim cites its exact file name and page reference.</w:t>
      </w:r>
    </w:p>
    <w:p>
      <w:r>
        <w:t>{{findings}}</w:t>
      </w:r>
    </w:p>
    <w:p>
      <w:pPr>
        <w:pStyle w:val="Heading1"/>
      </w:pPr>
      <w:r>
        <w:t>3. Visual Observations (Multimodal Findings)</w:t>
      </w:r>
    </w:p>
    <w:p>
      <w:r>
        <w:rPr>
          <w:i/>
        </w:rPr>
        <w:t>Visual observations derived from photographic evidence and non-destructive examination imaging. Labeled as Observed or Inferred per engineering boundary protocol.</w:t>
      </w:r>
    </w:p>
    <w:p>
      <w:r>
        <w:t>{{visual_observations}}</w:t>
      </w:r>
    </w:p>
    <w:p>
      <w:pPr>
        <w:pStyle w:val="Heading1"/>
      </w:pPr>
      <w:r>
        <w:t>4. Applicable Standard Operating Procedures (SOP)</w:t>
      </w:r>
    </w:p>
    <w:p>
      <w:r>
        <w:t>{{sop_references}}</w:t>
      </w:r>
    </w:p>
    <w:p>
      <w:pPr>
        <w:pStyle w:val="Heading1"/>
      </w:pPr>
      <w:r>
        <w:t>5. Engineering Calculations &amp; Assessments</w:t>
      </w:r>
    </w:p>
    <w:p>
      <w:r>
        <w:t>Deterministic computations evaluated via verified safe calculation engine:</w:t>
        <w:br/>
        <w:t>{{calculations}}</w:t>
      </w:r>
    </w:p>
    <w:p>
      <w:pPr>
        <w:pStyle w:val="Heading1"/>
      </w:pPr>
      <w:r>
        <w:t>6. Engineering Recommendations</w:t>
      </w:r>
    </w:p>
    <w:p>
      <w:r>
        <w:rPr>
          <w:i/>
        </w:rPr>
        <w:t>Recommendations are clearly distinguished from factual observations and are derived from applicable internal SOP guidance.</w:t>
      </w:r>
    </w:p>
    <w:p>
      <w:r>
        <w:t>{{recommendations}}</w:t>
      </w:r>
    </w:p>
    <w:p>
      <w:pPr>
        <w:pStyle w:val="Heading1"/>
      </w:pPr>
      <w:r>
        <w:t>7. Requested Corrective Actions</w:t>
      </w:r>
    </w:p>
    <w:p>
      <w:r>
        <w:t>{{actions}}</w:t>
      </w:r>
    </w:p>
    <w:p>
      <w:pPr>
        <w:pStyle w:val="Heading1"/>
      </w:pPr>
      <w:r>
        <w:t>8. Formal Human Review &amp; Sign-Off Gate</w:t>
      </w:r>
    </w:p>
    <w:p>
      <w:r>
        <w:t>Mandatory Sign-Off: An authorized reviewer must review this draft deliverable. The AI workbench agent is strictly prohibited from approving its own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</w:tcPr>
          <w:p>
            <w:r>
              <w:rPr>
                <w:b/>
              </w:rPr>
              <w:t>Designated Reviewer:</w:t>
            </w:r>
          </w:p>
        </w:tc>
        <w:tc>
          <w:tcPr>
            <w:tcW w:type="dxa" w:w="4680"/>
          </w:tcPr>
          <w:p>
            <w:r>
              <w:t>________________________________________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Review Decision:</w:t>
            </w:r>
          </w:p>
        </w:tc>
        <w:tc>
          <w:tcPr>
            <w:tcW w:type="dxa" w:w="4680"/>
          </w:tcPr>
          <w:p>
            <w:r>
              <w:t>[   ] APPROVED    [   ] REJECTED    [   ] CHANGES REQUESTED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Reviewer Comments:</w:t>
            </w:r>
          </w:p>
        </w:tc>
        <w:tc>
          <w:tcPr>
            <w:tcW w:type="dxa" w:w="4680"/>
          </w:tcPr>
          <w:p>
            <w:r>
              <w:br/>
              <w:br/>
              <w:t>____________________________________________________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Authorized Signature:</w:t>
            </w:r>
          </w:p>
        </w:tc>
        <w:tc>
          <w:tcPr>
            <w:tcW w:type="dxa" w:w="4680"/>
          </w:tcPr>
          <w:p>
            <w:r>
              <w:t>________________________________________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b/>
              </w:rPr>
              <w:t>Date of Review:</w:t>
            </w:r>
          </w:p>
        </w:tc>
        <w:tc>
          <w:tcPr>
            <w:tcW w:type="dxa" w:w="4680"/>
          </w:tcPr>
          <w:p>
            <w:r>
              <w:t>____________________</w:t>
            </w:r>
          </w:p>
        </w:tc>
      </w:tr>
    </w:tbl>
    <w:p/>
    <w:p>
      <w:pPr>
        <w:jc w:val="center"/>
      </w:pPr>
      <w:r>
        <w:rPr>
          <w:i/>
          <w:color w:val="64748B"/>
          <w:sz w:val="17"/>
        </w:rPr>
        <w:t>--- END OF APPROVAL NOTE DRAFT ---</w:t>
        <w:br/>
        <w:t>Confidential property of Sovereign AI Workbench. Local air-gapped generation.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