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6e0tayh9ix" w:id="0"/>
      <w:bookmarkEnd w:id="0"/>
      <w:r w:rsidDel="00000000" w:rsidR="00000000" w:rsidRPr="00000000">
        <w:rPr>
          <w:rtl w:val="0"/>
        </w:rPr>
        <w:t xml:space="preserve">Data Visualisation</w:t>
        <w:br w:type="textWrapping"/>
        <w:t xml:space="preserve"> Key Insights from the Apple Stock Dashboard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12430125" cy="7153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0125" cy="715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long-term price growth:</w:t>
      </w:r>
      <w:r w:rsidDel="00000000" w:rsidR="00000000" w:rsidRPr="00000000">
        <w:rPr>
          <w:rtl w:val="0"/>
        </w:rPr>
        <w:t xml:space="preserve"> Apple’s stock price remained relatively low and stable for many years, but showed a strong upward trend after around 2005, with a major increase during the 2010s.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Peak in the late 2010s:</w:t>
      </w:r>
      <w:r w:rsidDel="00000000" w:rsidR="00000000" w:rsidRPr="00000000">
        <w:rPr>
          <w:rtl w:val="0"/>
        </w:rPr>
        <w:t xml:space="preserve"> The closing-price trend reaches its highest level around 2018–2019, followed by a noticeable decline toward 2020.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trading activity:</w:t>
      </w:r>
      <w:r w:rsidDel="00000000" w:rsidR="00000000" w:rsidRPr="00000000">
        <w:rPr>
          <w:rtl w:val="0"/>
        </w:rPr>
        <w:t xml:space="preserve"> Trading volume increased significantly over time and reached its highest level around the late 2000s, indicating periods of strong market activity.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and low prices move together:</w:t>
      </w:r>
      <w:r w:rsidDel="00000000" w:rsidR="00000000" w:rsidRPr="00000000">
        <w:rPr>
          <w:rtl w:val="0"/>
        </w:rPr>
        <w:t xml:space="preserve"> The High and Low price charts follow a very similar pattern, showing that both moved upward as the stock price increased.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Opening and closing prices are closely related:</w:t>
      </w:r>
      <w:r w:rsidDel="00000000" w:rsidR="00000000" w:rsidRPr="00000000">
        <w:rPr>
          <w:rtl w:val="0"/>
        </w:rPr>
        <w:t xml:space="preserve"> The Open and Close values generally follow the same trend, indicating that the stock maintained a consistent overall upward movement over the long term.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percentage changes are volatile:</w:t>
      </w:r>
      <w:r w:rsidDel="00000000" w:rsidR="00000000" w:rsidRPr="00000000">
        <w:rPr>
          <w:rtl w:val="0"/>
        </w:rPr>
        <w:t xml:space="preserve"> The percentage-change chart fluctuates above and below zero, showing that Apple experienced both positive and negative daily movements. Some periods show relatively large fluctuations, indicating higher volatility.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changes become larger in later years:</w:t>
      </w:r>
      <w:r w:rsidDel="00000000" w:rsidR="00000000" w:rsidRPr="00000000">
        <w:rPr>
          <w:rtl w:val="0"/>
        </w:rPr>
        <w:t xml:space="preserve"> The Change in Price chart shows relatively small movements in earlier years but much larger movements in the later period, mainly because the stock price itself became much higher.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Moving averages confirm the long-term trend:</w:t>
      </w:r>
      <w:r w:rsidDel="00000000" w:rsidR="00000000" w:rsidRPr="00000000">
        <w:rPr>
          <w:rtl w:val="0"/>
        </w:rPr>
        <w:t xml:space="preserve"> The Close, MA50, and MA200 trends broadly move upward together, supporting the observation of a long-term bullish trend.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