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type="auto" w:w="0"/>
        <w:jc w:val="center"/>
        <w:tblLayout w:type="fixed"/>
        <w:tblLook w:firstColumn="1" w:firstRow="1" w:lastColumn="0" w:lastRow="0" w:noHBand="0" w:noVBand="1" w:val="04A0"/>
        <w:tblBorders>
          <w:top w:val="single" w:sz="2" w:color="333333"/>
          <w:left w:val="single" w:sz="2" w:color="333333"/>
          <w:bottom w:val="single" w:sz="2" w:color="333333"/>
          <w:right w:val="single" w:sz="2" w:color="333333"/>
          <w:insideH w:val="single" w:sz="2" w:color="333333"/>
          <w:insideV w:val="single" w:sz="2" w:color="333333"/>
        </w:tblBorders>
      </w:tblPr>
      <w:tblGrid>
        <w:gridCol w:w="5141"/>
        <w:gridCol w:w="5141"/>
      </w:tblGrid>
      <w:tr>
        <w:tc>
          <w:tcPr>
            <w:tcW w:type="dxa" w:w="5142"/>
            <w:shd w:fill="414141"/>
            <w:tcMar>
              <w:top w:w="25" w:type="dxa"/>
              <w:start w:w="80" w:type="dxa"/>
              <w:bottom w:w="25" w:type="dxa"/>
              <w:end w:w="80" w:type="dxa"/>
            </w:tcMar>
          </w:tcPr>
          <w:p>
            <w:pPr>
              <w:spacing w:after="0"/>
              <w:jc w:val="left"/>
            </w:pPr>
            <w:r>
              <w:rPr>
                <w:rFonts w:ascii="Times New Roman" w:hAnsi="Times New Roman" w:eastAsia="Times New Roman"/>
                <w:color w:val="FFFFFF"/>
                <w:sz w:val="20"/>
              </w:rPr>
              <w:t>RESEARCH ARTICLE</w:t>
            </w:r>
          </w:p>
        </w:tc>
        <w:tc>
          <w:tcPr>
            <w:tcW w:type="dxa" w:w="5142"/>
            <w:shd w:fill="414141"/>
            <w:tcMar>
              <w:top w:w="25" w:type="dxa"/>
              <w:start w:w="80" w:type="dxa"/>
              <w:bottom w:w="25" w:type="dxa"/>
              <w:end w:w="80" w:type="dxa"/>
            </w:tcMar>
          </w:tcPr>
          <w:p>
            <w:pPr>
              <w:spacing w:after="0"/>
              <w:jc w:val="right"/>
            </w:pPr>
            <w:r>
              <w:rPr>
                <w:rFonts w:ascii="Times New Roman" w:hAnsi="Times New Roman" w:eastAsia="Times New Roman"/>
                <w:color w:val="FFFFFF"/>
                <w:sz w:val="20"/>
              </w:rPr>
              <w:t>OPEN ACCESS</w:t>
            </w:r>
          </w:p>
        </w:tc>
      </w:tr>
    </w:tbl>
    <w:p>
      <w:pPr>
        <w:pStyle w:val="IEEETitle"/>
        <w:spacing w:before="80" w:after="120"/>
        <w:keepLines/>
      </w:pPr>
      <w:r>
        <w:t>Automated Privacy Policy Compliance Verification</w:t>
        <w:br/>
        <w:t>Using Dynamic Network Traffic Analysis</w:t>
      </w:r>
    </w:p>
    <w:p>
      <w:pPr>
        <w:pStyle w:val="IEEEAuthorName"/>
        <w:spacing w:before="100" w:after="20"/>
      </w:pPr>
      <w:r>
        <w:t>Vimlesh Mourya*, Maya Nair**</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Vimleshfmcs2526111@ascs.sies.edu.in</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mayan@sies.edu.in</w:t>
      </w:r>
    </w:p>
    <w:p>
      <w:pPr>
        <w:spacing w:before="100" w:after="60"/>
        <w:jc w:val="center"/>
      </w:pPr>
      <w:r>
        <w:rPr>
          <w:rFonts w:ascii="Times New Roman" w:hAnsi="Times New Roman" w:eastAsia="Times New Roman"/>
          <w:b/>
          <w:sz w:val="18"/>
        </w:rPr>
        <w:t>------------------------************************------------------------</w:t>
      </w:r>
    </w:p>
    <w:p>
      <w:pPr>
        <w:spacing w:after="0"/>
        <w:jc w:val="left"/>
      </w:pPr>
      <w:r>
        <w:rPr>
          <w:rFonts w:ascii="Times New Roman" w:hAnsi="Times New Roman" w:eastAsia="Times New Roman"/>
          <w:b/>
          <w:sz w:val="24"/>
        </w:rPr>
        <w:t>Abstract:</w:t>
      </w:r>
    </w:p>
    <w:p>
      <w:pPr>
        <w:pStyle w:val="IEEEParagraph"/>
        <w:ind w:firstLine="547"/>
      </w:pP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pStyle w:val="IEEEParagraph"/>
        <w:spacing w:before="80"/>
        <w:ind w:firstLine="0"/>
      </w:pPr>
      <w:r>
        <w:rPr>
          <w:i/>
        </w:rPr>
        <w:t xml:space="preserve">Keywords — </w:t>
      </w:r>
      <w:r>
        <w:t>privacy policy, dynamic analysis, network traffic, HAR, sensitive data, policy verification, Android applications.</w:t>
      </w:r>
    </w:p>
    <w:p>
      <w:pPr>
        <w:spacing w:before="100" w:after="60"/>
        <w:jc w:val="center"/>
      </w:pPr>
      <w:r>
        <w:rPr>
          <w:rFonts w:ascii="Times New Roman" w:hAnsi="Times New Roman" w:eastAsia="Times New Roman"/>
          <w:b/>
          <w:sz w:val="18"/>
        </w:rPr>
        <w:t>------------------------************************------------------------</w:t>
      </w:r>
    </w:p>
    <w:p>
      <w:pPr>
        <w:sectPr>
          <w:headerReference w:type="default" r:id="rId8"/>
          <w:footerReference w:type="default" r:id="rId9"/>
          <w:pgSz w:w="11906" w:h="16838"/>
          <w:pgMar w:top="1077" w:right="811" w:bottom="2438" w:left="811" w:header="708" w:footer="708" w:gutter="0"/>
          <w:cols w:space="245" w:num="1"/>
          <w:docGrid w:linePitch="360"/>
        </w:sectPr>
      </w:pPr>
    </w:p>
    <w:p>
      <w:pPr>
        <w:pStyle w:val="IJSREDHeading1"/>
        <w:keepNext/>
      </w:pPr>
      <w:r>
        <w:t>I.  INTRODUCTION</w:t>
      </w:r>
    </w:p>
    <w:p>
      <w:pPr>
        <w:pStyle w:val="IEEEParagraph"/>
        <w:keepLines/>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pStyle w:val="IEEEParagraph"/>
        <w:keepLines/>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pStyle w:val="IEEEParagraph"/>
        <w:keepLines/>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pStyle w:val="IEEEParagraph"/>
        <w:keepLines/>
      </w:pPr>
      <w:r>
        <w:t>The main contributions of this work are:</w:t>
      </w:r>
    </w:p>
    <w:p>
      <w:pPr>
        <w:pStyle w:val="IEEEParagraph"/>
        <w:keepLines/>
        <w:ind w:left="259" w:hanging="173"/>
      </w:pPr>
      <w:r>
        <w:t>• A duplicate-preserving HAR extraction pipeline for requests, responses, headers, cookies, query parameters, and bodies.</w:t>
      </w:r>
    </w:p>
    <w:p>
      <w:pPr>
        <w:pStyle w:val="IEEEParagraph"/>
        <w:keepLines/>
        <w:ind w:left="259" w:hanging="173"/>
      </w:pPr>
      <w:r>
        <w:t>• A conservative detector that supports structured text, multipart content, encoded bodies, raw Protocol Buffers, and gRPC without exposing raw values in reports.</w:t>
      </w:r>
    </w:p>
    <w:p>
      <w:pPr>
        <w:pStyle w:val="IEEEParagraph"/>
        <w:keepLines/>
        <w:ind w:left="259" w:hanging="173"/>
      </w:pPr>
      <w:r>
        <w:t>• An evidence-preserving inventory and semantic policy comparison that separates disclosure gaps from technical and URL-risk signals.</w:t>
      </w:r>
    </w:p>
    <w:p>
      <w:pPr>
        <w:pStyle w:val="IEEEParagraph"/>
        <w:keepLines/>
        <w:ind w:left="259" w:hanging="173"/>
      </w:pPr>
      <w:r>
        <w:t>• An empirical study of 30 applications containing 34,170 requests and 84,692 detected sensitive occurrences.</w:t>
      </w:r>
    </w:p>
    <w:p>
      <w:pPr>
        <w:pStyle w:val="IJSREDHeading1"/>
        <w:keepNext/>
      </w:pPr>
      <w:r>
        <w:t>II.  RELATED WORK</w:t>
      </w:r>
    </w:p>
    <w:p>
      <w:pPr>
        <w:pStyle w:val="IJSREDHeading2"/>
        <w:keepNext/>
      </w:pPr>
      <w:r>
        <w:t>A. Traffic and Policy Consistency</w:t>
      </w:r>
    </w:p>
    <w:p>
      <w:pPr>
        <w:pStyle w:val="IEEEParagraph"/>
        <w:keepLines/>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pStyle w:val="IEEEParagraph"/>
        <w:keepLines/>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IJSREDHeading2"/>
        <w:keepNext/>
      </w:pPr>
      <w:r>
        <w:t>B. Automated Privacy-Policy Analysis</w:t>
      </w:r>
    </w:p>
    <w:p>
      <w:pPr>
        <w:pStyle w:val="IEEEParagraph"/>
        <w:keepLines/>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pStyle w:val="IEEEParagraph"/>
        <w:keepLines/>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IJSREDHeading2"/>
        <w:keepNext/>
      </w:pPr>
      <w:r>
        <w:t>C. Network-Traffic Analysis</w:t>
      </w:r>
    </w:p>
    <w:p>
      <w:pPr>
        <w:pStyle w:val="IEEEParagraph"/>
        <w:keepLines/>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IEEETableCaption"/>
        <w:keepNext/>
      </w:pPr>
      <w:r>
        <w:t>TABLE I. COMPARISON WITH SELECTED RELATED SYSTEMS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84"/>
      </w:tblGrid>
      <w:tr>
        <w:trPr>
          <w:cantSplit/>
        </w:trPr>
        <w:tc>
          <w:tcPr>
            <w:tcW w:type="dxa" w:w="4925"/>
            <w:tcMar>
              <w:top w:w="0" w:type="dxa"/>
              <w:start w:w="0" w:type="dxa"/>
              <w:bottom w:w="0" w:type="dxa"/>
              <w:end w:w="0" w:type="dxa"/>
            </w:tcMar>
          </w:tcPr>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85"/>
              <w:gridCol w:w="985"/>
              <w:gridCol w:w="985"/>
              <w:gridCol w:w="985"/>
              <w:gridCol w:w="985"/>
            </w:tblGrid>
            <w:tr>
              <w:trPr>
                <w:tblHeader w:val="true"/>
                <w:cantSplit/>
              </w:trPr>
              <w:tc>
                <w:tcPr>
                  <w:tcW w:type="dxa" w:w="1094"/>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Approach</w:t>
                  </w:r>
                </w:p>
              </w:tc>
              <w:tc>
                <w:tcPr>
                  <w:tcW w:type="dxa" w:w="878"/>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Dynamic traffic</w:t>
                  </w:r>
                </w:p>
              </w:tc>
              <w:tc>
                <w:tcPr>
                  <w:tcW w:type="dxa" w:w="835"/>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Policy comparison</w:t>
                  </w:r>
                </w:p>
              </w:tc>
              <w:tc>
                <w:tcPr>
                  <w:tcW w:type="dxa" w:w="893"/>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Recipient-aware</w:t>
                  </w:r>
                </w:p>
              </w:tc>
              <w:tc>
                <w:tcPr>
                  <w:tcW w:type="dxa" w:w="1210"/>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Evidence output</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PoliCheck [1]</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Flow/policy consistency</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PurPliance [2]</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App data use</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Limited</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Purpose consistency</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OVRseen [3]</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VR-labelled flows</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GNChecker [4]</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Notification focus</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Undeclared transmission</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This work</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HAR requests + responses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Conservative</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Redacted occurrence evidence</w:t>
                  </w:r>
                </w:p>
              </w:tc>
            </w:tr>
          </w:tbl>
          <w:p/>
        </w:tc>
      </w:tr>
    </w:tbl>
    <w:p>
      <w:pPr>
        <w:spacing w:after="20"/>
      </w:pPr>
    </w:p>
    <w:p>
      <w:pPr>
        <w:pStyle w:val="IJSREDHeading1"/>
        <w:keepNext/>
      </w:pPr>
      <w:r>
        <w:t>III.  PROPOSED FRAMEWORK</w:t>
      </w:r>
    </w:p>
    <w:p>
      <w:pPr>
        <w:pStyle w:val="IEEEParagraph"/>
        <w:keepLines/>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2907792" cy="927724"/>
            <wp:docPr id="1" name="Picture 1"/>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2907792" cy="927724"/>
                    </a:xfrm>
                    <a:prstGeom prst="rect"/>
                  </pic:spPr>
                </pic:pic>
              </a:graphicData>
            </a:graphic>
          </wp:inline>
        </w:drawing>
      </w:r>
    </w:p>
    <w:p>
      <w:pPr>
        <w:pStyle w:val="IEEEFigureCaptionSingle-Line"/>
        <w:keepNext/>
      </w:pPr>
      <w:r>
        <w:t>Fig. 1. PrivacyComplianceVerifier processing pipeline.</w:t>
      </w:r>
    </w:p>
    <w:p>
      <w:pPr>
        <w:pStyle w:val="IJSREDHeading2"/>
        <w:keepNext/>
      </w:pPr>
      <w:r>
        <w:t>A. Lossless HAR Extraction</w:t>
      </w:r>
    </w:p>
    <w:p>
      <w:pPr>
        <w:pStyle w:val="IEEEParagraph"/>
        <w:keepLines/>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IJSREDHeading2"/>
        <w:keepNext/>
      </w:pPr>
      <w:r>
        <w:t>B. Sensitive-Data Detection</w:t>
      </w:r>
    </w:p>
    <w:p>
      <w:pPr>
        <w:pStyle w:val="IEEEParagraph"/>
        <w:keepLines/>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pStyle w:val="IEEEParagraph"/>
        <w:keepLines/>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IJSREDHeading2"/>
        <w:keepNext/>
      </w:pPr>
      <w:r>
        <w:t>C. Evidence and Privacy Inventory</w:t>
      </w:r>
    </w:p>
    <w:p>
      <w:pPr>
        <w:pStyle w:val="IEEEParagraph"/>
        <w:keepLines/>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IJSREDHeading2"/>
        <w:keepNext/>
      </w:pPr>
      <w:r>
        <w:t>D. Policy–Traffic Comparison</w:t>
      </w:r>
    </w:p>
    <w:p>
      <w:pPr>
        <w:pStyle w:val="IEEEParagraph"/>
        <w:keepLines/>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pStyle w:val="IEEEParagraph"/>
        <w:keepLines/>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IJSREDHeading1"/>
        <w:keepNext/>
      </w:pPr>
      <w:r>
        <w:t>IV.  RESEARCH METHODOLOGY</w:t>
      </w:r>
    </w:p>
    <w:p>
      <w:pPr>
        <w:pStyle w:val="IJSREDHeading2"/>
        <w:keepNext/>
      </w:pPr>
      <w:r>
        <w:t>A. Application Selection and Capture</w:t>
      </w:r>
    </w:p>
    <w:p>
      <w:pPr>
        <w:pStyle w:val="IEEEParagraph"/>
        <w:keepLines/>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pStyle w:val="IEEEParagraph"/>
        <w:keepLines/>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IJSREDHeading2"/>
        <w:keepNext/>
      </w:pPr>
      <w:r>
        <w:t>B. Policy Evidence Preparation</w:t>
      </w:r>
    </w:p>
    <w:p>
      <w:pPr>
        <w:pStyle w:val="IEEEParagraph"/>
        <w:keepLines/>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IJSREDHeading2"/>
        <w:keepNext/>
      </w:pPr>
      <w:r>
        <w:t>C. Measurements</w:t>
      </w:r>
    </w:p>
    <w:p>
      <w:pPr>
        <w:pStyle w:val="IEEEParagraph"/>
        <w:keepLines/>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IJSREDHeading1"/>
        <w:keepNext/>
      </w:pPr>
      <w:r>
        <w:t>V.  IMPLEMENTATION</w:t>
      </w:r>
    </w:p>
    <w:p>
      <w:pPr>
        <w:pStyle w:val="IEEEParagraph"/>
        <w:keepLines/>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pStyle w:val="IEEEParagraph"/>
        <w:keepLines/>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pStyle w:val="IEEEParagraph"/>
        <w:keepLines/>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IJSREDHeading1"/>
        <w:keepNext/>
      </w:pPr>
      <w:r>
        <w:t>VI.  RESULTS AND DISCUSSION</w:t>
      </w:r>
    </w:p>
    <w:p>
      <w:pPr>
        <w:pStyle w:val="IJSREDHeading2"/>
        <w:keepNext/>
      </w:pPr>
      <w:r>
        <w:t>A. Overall Dataset</w:t>
      </w:r>
    </w:p>
    <w:p>
      <w:pPr>
        <w:pStyle w:val="IEEEParagraph"/>
        <w:keepLines/>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IEEETableCaption"/>
        <w:keepNext/>
      </w:pPr>
      <w:r>
        <w:t>TABLE II. EMPIRICAL DATASET SUMMARY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84"/>
      </w:tblGrid>
      <w:tr>
        <w:trPr>
          <w:cantSplit/>
        </w:trPr>
        <w:tc>
          <w:tcPr>
            <w:tcW w:type="dxa" w:w="4925"/>
            <w:tcMar>
              <w:top w:w="0" w:type="dxa"/>
              <w:start w:w="0" w:type="dxa"/>
              <w:bottom w:w="0" w:type="dxa"/>
              <w:end w:w="0" w:type="dxa"/>
            </w:tcMar>
          </w:tcPr>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62"/>
              <w:gridCol w:w="2462"/>
            </w:tblGrid>
            <w:tr>
              <w:trPr>
                <w:tblHeader w:val="true"/>
                <w:cantSplit/>
              </w:trPr>
              <w:tc>
                <w:tcPr>
                  <w:tcW w:type="dxa" w:w="2995"/>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Measure</w:t>
                  </w:r>
                </w:p>
              </w:tc>
              <w:tc>
                <w:tcPr>
                  <w:tcW w:type="dxa" w:w="1814"/>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Value</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Applications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30</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HAR network requests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34,170</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Sensitive occurrences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84,692</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Unique sensitive artifacts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5,354</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Comparable outbound occurrences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44,490</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Attributable inbound occurrences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34,178</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URL-risk signal records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35</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Automated tests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244 passing</w:t>
                  </w:r>
                </w:p>
              </w:tc>
            </w:tr>
          </w:tbl>
          <w:p/>
        </w:tc>
      </w:tr>
    </w:tbl>
    <w:p>
      <w:pPr>
        <w:spacing w:after="20"/>
      </w:pPr>
    </w:p>
    <w:p>
      <w:pPr>
        <w:pStyle w:val="IJSREDHeading2"/>
        <w:keepNext/>
      </w:pPr>
      <w:r>
        <w:t>B. Observed Privacy Categories</w:t>
      </w:r>
    </w:p>
    <w:p>
      <w:pPr>
        <w:pStyle w:val="IEEEParagraph"/>
        <w:keepLines/>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2907792" cy="2215461"/>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21"/>
                    <a:stretch>
                      <a:fillRect/>
                    </a:stretch>
                  </pic:blipFill>
                  <pic:spPr>
                    <a:xfrm>
                      <a:off x="0" y="0"/>
                      <a:ext cx="2907792" cy="2215461"/>
                    </a:xfrm>
                    <a:prstGeom prst="rect"/>
                  </pic:spPr>
                </pic:pic>
              </a:graphicData>
            </a:graphic>
          </wp:inline>
        </w:drawing>
      </w:r>
    </w:p>
    <w:p>
      <w:pPr>
        <w:pStyle w:val="IEEEFigureCaptionSingle-Line"/>
        <w:keepNext/>
      </w:pPr>
      <w:r>
        <w:t>Fig. 2. Sensitive occurrences by privacy category.</w:t>
      </w:r>
    </w:p>
    <w:p>
      <w:pPr>
        <w:pStyle w:val="IJSREDHeading2"/>
        <w:keepNext/>
      </w:pPr>
      <w:r>
        <w:t>C. Policy Comparison Results</w:t>
      </w:r>
    </w:p>
    <w:p>
      <w:pPr>
        <w:pStyle w:val="IEEEParagraph"/>
        <w:keepLines/>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2907792" cy="2035454"/>
            <wp:docPr id="3" name="Picture 3"/>
            <wp:cNvGraphicFramePr>
              <a:graphicFrameLocks noChangeAspect="1"/>
            </wp:cNvGraphicFramePr>
            <a:graphic>
              <a:graphicData uri="http://schemas.openxmlformats.org/drawingml/2006/picture">
                <pic:pic>
                  <pic:nvPicPr>
                    <pic:cNvPr id="0" name="result_distribution.png"/>
                    <pic:cNvPicPr/>
                  </pic:nvPicPr>
                  <pic:blipFill>
                    <a:blip r:embed="rId22"/>
                    <a:stretch>
                      <a:fillRect/>
                    </a:stretch>
                  </pic:blipFill>
                  <pic:spPr>
                    <a:xfrm>
                      <a:off x="0" y="0"/>
                      <a:ext cx="2907792" cy="2035454"/>
                    </a:xfrm>
                    <a:prstGeom prst="rect"/>
                  </pic:spPr>
                </pic:pic>
              </a:graphicData>
            </a:graphic>
          </wp:inline>
        </w:drawing>
      </w:r>
    </w:p>
    <w:p>
      <w:pPr>
        <w:pStyle w:val="IEEEFigureCaptionSingle-Line"/>
        <w:keepNext/>
      </w:pPr>
      <w:r>
        <w:t>Fig. 3. Application-level policy–traffic result distribution.</w:t>
      </w:r>
    </w:p>
    <w:p>
      <w:pPr>
        <w:pStyle w:val="IEEEParagraph"/>
        <w:keepLines/>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IJSREDHeading2"/>
        <w:keepNext/>
      </w:pPr>
      <w:r>
        <w:t>D. URL Risk Signals</w:t>
      </w:r>
    </w:p>
    <w:p>
      <w:pPr>
        <w:pStyle w:val="IEEEParagraph"/>
        <w:keepLines/>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IJSREDHeading2"/>
        <w:keepNext/>
      </w:pPr>
      <w:r>
        <w:t>E. Truecaller Case Study</w:t>
      </w:r>
    </w:p>
    <w:p>
      <w:pPr>
        <w:pStyle w:val="IEEEParagraph"/>
        <w:keepLines/>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IEEETableCaption"/>
        <w:keepNext/>
      </w:pPr>
      <w:r>
        <w:t>TABLE III. TRUECALLER OUTBOUND OBSERVATIONS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84"/>
      </w:tblGrid>
      <w:tr>
        <w:trPr>
          <w:cantSplit/>
        </w:trPr>
        <w:tc>
          <w:tcPr>
            <w:tcW w:type="dxa" w:w="4925"/>
            <w:tcMar>
              <w:top w:w="0" w:type="dxa"/>
              <w:start w:w="0" w:type="dxa"/>
              <w:bottom w:w="0" w:type="dxa"/>
              <w:end w:w="0" w:type="dxa"/>
            </w:tcMar>
          </w:tcPr>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31"/>
              <w:gridCol w:w="1231"/>
              <w:gridCol w:w="1231"/>
              <w:gridCol w:w="1231"/>
            </w:tblGrid>
            <w:tr>
              <w:trPr>
                <w:tblHeader w:val="true"/>
                <w:cantSplit/>
              </w:trPr>
              <w:tc>
                <w:tcPr>
                  <w:tcW w:type="dxa" w:w="1325"/>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Artifact</w:t>
                  </w:r>
                </w:p>
              </w:tc>
              <w:tc>
                <w:tcPr>
                  <w:tcW w:type="dxa" w:w="821"/>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Count</w:t>
                  </w:r>
                </w:p>
              </w:tc>
              <w:tc>
                <w:tcPr>
                  <w:tcW w:type="dxa" w:w="1138"/>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Source</w:t>
                  </w:r>
                </w:p>
              </w:tc>
              <w:tc>
                <w:tcPr>
                  <w:tcW w:type="dxa" w:w="1512"/>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Dashboard treatment</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Authorization Token</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107</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Header</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Technical evidence</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Phone</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67</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Query / gRPC</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Name</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8</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Request body</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Email</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4</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Request body</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Personal data in URL</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2 signals</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Query/URL</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Risk review</w:t>
                  </w:r>
                </w:p>
              </w:tc>
            </w:tr>
          </w:tbl>
          <w:p/>
        </w:tc>
      </w:tr>
    </w:tbl>
    <w:p>
      <w:pPr>
        <w:spacing w:after="20"/>
      </w:pPr>
    </w:p>
    <w:p>
      <w:pPr>
        <w:pStyle w:val="IJSREDHeading2"/>
        <w:keepNext/>
      </w:pPr>
      <w:r>
        <w:t>F. External Dataset Experiment</w:t>
      </w:r>
    </w:p>
    <w:p>
      <w:pPr>
        <w:pStyle w:val="IEEEParagraph"/>
        <w:keepLines/>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IJSREDHeading1"/>
        <w:keepNext/>
      </w:pPr>
      <w:r>
        <w:t>VII.  LIMITATIONS AND THREATS TO VALIDITY</w:t>
      </w:r>
    </w:p>
    <w:p>
      <w:pPr>
        <w:pStyle w:val="IJSREDHeading2"/>
        <w:keepNext/>
      </w:pPr>
      <w:r>
        <w:t>A. Capture Coverage</w:t>
      </w:r>
    </w:p>
    <w:p>
      <w:pPr>
        <w:pStyle w:val="IEEEParagraph"/>
        <w:keepLines/>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IJSREDHeading2"/>
        <w:keepNext/>
      </w:pPr>
      <w:r>
        <w:t>B. Encryption and Representation</w:t>
      </w:r>
    </w:p>
    <w:p>
      <w:pPr>
        <w:pStyle w:val="IEEEParagraph"/>
        <w:keepLines/>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IJSREDHeading2"/>
        <w:keepNext/>
      </w:pPr>
      <w:r>
        <w:t>C. Policy Interpretation</w:t>
      </w:r>
    </w:p>
    <w:p>
      <w:pPr>
        <w:pStyle w:val="IEEEParagraph"/>
        <w:keepLines/>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IJSREDHeading2"/>
        <w:keepNext/>
      </w:pPr>
      <w:r>
        <w:t>D. Traffic Ownership and Generalisation</w:t>
      </w:r>
    </w:p>
    <w:p>
      <w:pPr>
        <w:pStyle w:val="IEEEParagraph"/>
        <w:keepLines/>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IJSREDHeading2"/>
        <w:keepNext/>
      </w:pPr>
      <w:r>
        <w:t>E. Ethics and Data Handling</w:t>
      </w:r>
    </w:p>
    <w:p>
      <w:pPr>
        <w:pStyle w:val="IEEEParagraph"/>
        <w:keepLines/>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pStyle w:val="IEEEParagraph"/>
        <w:keepLines/>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IJSREDHeading1"/>
        <w:keepNext/>
      </w:pPr>
      <w:r>
        <w:t>VIII.  CONCLUSION AND FUTURE WORK</w:t>
      </w:r>
    </w:p>
    <w:p>
      <w:pPr>
        <w:pStyle w:val="IEEEParagraph"/>
        <w:keepLines/>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pStyle w:val="IEEEParagraph"/>
        <w:keepLines/>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IJSREDHeading1"/>
        <w:keepNext/>
        <w:spacing w:before="120"/>
      </w:pPr>
      <w:r>
        <w:t>REFERENCES</w:t>
      </w:r>
    </w:p>
    <w:p>
      <w:pPr>
        <w:pStyle w:val="IJSREDReference"/>
        <w:keepLines/>
      </w:pPr>
      <w:r>
        <w:t>[1] B. Andow, S. Y. Mahmud, J. Whitaker, W. Enck, B. Reaves, K. Singh, and S. Egelman, “Actions Speak Louder than Words: Entity-Sensitive Privacy Policy and Data Flow Analysis with PoliCheck,” 2020.</w:t>
      </w:r>
    </w:p>
    <w:p>
      <w:pPr>
        <w:pStyle w:val="IJSREDReference"/>
        <w:keepLines/>
      </w:pPr>
      <w:r>
        <w:t>[2] D. Bui, Y. Yao, K. Shin, J.-M. Choi, and J. Shin, “Consistency Analysis of Data-Usage Purposes in Mobile Apps,” in Proc. ACM SIGSAC Conf. Computer and Communications Security, 2021, doi: 10.1145/3460120.3484536.</w:t>
      </w:r>
    </w:p>
    <w:p>
      <w:pPr>
        <w:pStyle w:val="IJSREDReference"/>
        <w:keepLines/>
      </w:pPr>
      <w:r>
        <w:t>[3] R. Trimananda, H. Le, H. Cui, J. Ho, A. Shuba, and A. Markopoulou, “Auditing Network Traffic and Privacy Policies in Oculus VR,” 2021.</w:t>
      </w:r>
    </w:p>
    <w:p>
      <w:pPr>
        <w:pStyle w:val="IJSREDReference"/>
        <w:keepLines/>
      </w:pPr>
      <w:r>
        <w:t>[4] M. Fan, J. Shi, Y. Wang, L. Yu, X. Zhang, H. Wang, W. Jin, and T. Liu, “Giving without Notifying: Assessing Compliance of Data Transmission in Android Apps,” in Proc. IEEE/ACM Int. Conf. Automated Software Engineering, 2024, doi: 10.1145/3691620.3695528.</w:t>
      </w:r>
    </w:p>
    <w:p>
      <w:pPr>
        <w:pStyle w:val="IJSREDReference"/>
        <w:keepLines/>
      </w:pPr>
      <w:r>
        <w:t>[5] C. Ziepel, S. Escher, S. Rehms, and S. Köpsell, “mopri—An Analysis Framework for Unveiling Privacy Violations in Mobile Apps,” arXiv, 2026, doi: 10.48550/arxiv.2602.03671.</w:t>
      </w:r>
    </w:p>
    <w:p>
      <w:pPr>
        <w:pStyle w:val="IJSREDReference"/>
        <w:keepLines/>
      </w:pPr>
      <w:r>
        <w:t>[6] H. Cui, R. Trimananda, and A. Markopoulou, “PoliGraph: Automated Privacy Policy Analysis using Knowledge Graphs,” arXiv, 2022, doi: 10.48550/arxiv.2210.06746.</w:t>
      </w:r>
    </w:p>
    <w:p>
      <w:pPr>
        <w:pStyle w:val="IJSREDReference"/>
        <w:keepLines/>
      </w:pPr>
      <w:r>
        <w:t>[7] O. Amaral, S. Abualhaija, D. Torre, M. Sabetzadeh, and L. Briand, “AI-Enabled Automation for Completeness Checking of Privacy Policies,” IEEE Trans. Software Engineering, 2021, doi: 10.1109/TSE.2021.3124332.</w:t>
      </w:r>
    </w:p>
    <w:p>
      <w:pPr>
        <w:pStyle w:val="IJSREDReference"/>
        <w:keepLines/>
      </w:pPr>
      <w:r>
        <w:t>[8] D. Rodríguez Torrado, I. Yang, J. M. del Álamo, and N. Sadeh, “Large language models: a new approach for privacy policy analysis at scale,” Computing, 2024, doi: 10.1007/s00607-024-01331-9.</w:t>
      </w:r>
    </w:p>
    <w:p>
      <w:pPr>
        <w:pStyle w:val="IJSREDReference"/>
        <w:keepLines/>
      </w:pPr>
      <w:r>
        <w:t>[9] J. M. del Alamo, D. S. Guamán, B. García, and A. Diez, “A systematic mapping study on automated analysis of privacy policies,” Computing, 2022, doi: 10.1007/s00607-022-01076-3.</w:t>
      </w:r>
    </w:p>
    <w:p>
      <w:pPr>
        <w:pStyle w:val="IJSREDReference"/>
        <w:keepLines/>
      </w:pPr>
      <w:r>
        <w:t>[10] T. A. Rahat, M. Long, and Y. Tian, “Is Your Policy Compliant? A Deep Learning-based Empirical Study of Privacy Policies’ Compliance with GDPR,” in Proc. Workshop on Privacy in the Electronic Society, 2022, doi: 10.1145/3559613.3563195.</w:t>
      </w:r>
    </w:p>
    <w:p>
      <w:pPr>
        <w:pStyle w:val="IJSREDReference"/>
        <w:keepLines/>
      </w:pPr>
      <w:r>
        <w:t>[11] S. Liu, B. Zhao, R. Guo, G. Meng, F. Zhang, and M. Zhang, “Have You been Properly Notified? Automatic Compliance Analysis of Privacy Policy Text with GDPR Article 13,” in Proc. Web Conf., 2021, doi: 10.1145/3442381.3450022.</w:t>
      </w:r>
    </w:p>
    <w:p>
      <w:pPr>
        <w:pStyle w:val="IJSREDReference"/>
        <w:keepLines/>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IJSREDReference"/>
        <w:keepLines/>
      </w:pPr>
      <w:r>
        <w:t>[13] H. Cui, G. Meng, Y. Zhang, W. Wang, D. Zhu, T. Su, X. Zhang, and Y. Li, “TraceDroid: A Robust Network Traffic Analysis Framework for Privacy Leakage in Android Apps,” 2022, doi: 10.1007/978-3-031-17551-0_35.</w:t>
      </w:r>
    </w:p>
    <w:p>
      <w:pPr>
        <w:pStyle w:val="IJSREDReference"/>
        <w:keepLines/>
      </w:pPr>
      <w:r>
        <w:t>[14] Y. Li, H. Cui, J. Sun, Y. Zhang, Y. Li, G. Meng, and W. Wang, “Automated Privacy Network Traffic Detection via Self-labeling and Learning,” in Proc. IEEE Symp. Computers and Communications, 2022, doi: 10.1109/ISCC55528.2022.9912471.</w:t>
      </w:r>
    </w:p>
    <w:p>
      <w:pPr>
        <w:pStyle w:val="IJSREDReference"/>
        <w:keepLines/>
      </w:pPr>
      <w:r>
        <w:t>[15] M. Shen, K. Ye, X. Liu, L. Zhu, J. Kang, S. Yu, Q. Li, and K. Xu, “Machine Learning-Powered Encrypted Network Traffic Analysis: A Comprehensive Survey,” IEEE Commun. Surveys &amp; Tutorials, 2023, doi: 10.1109/COMST.2022.3208196.</w:t>
      </w:r>
    </w:p>
    <w:p>
      <w:pPr>
        <w:pStyle w:val="IJSREDReference"/>
        <w:keepLines/>
      </w:pPr>
      <w:r>
        <w:t>[16] E. Papadogiannaki and S. Ioannidis, “A Survey on Encrypted Network Traffic Analysis Applications, Techniques, and Countermeasures,” ACM Computing Surveys, 2021, doi: 10.1145/3457904.</w:t>
      </w:r>
    </w:p>
    <w:p>
      <w:pPr>
        <w:pStyle w:val="IJSREDReference"/>
        <w:keepLines/>
      </w:pPr>
      <w:r>
        <w:t>[17] B. Yu, Y. Liu, S. Ren, Z. Zhou, and J. Liu, “METAseen: analyzing network traffic and privacy policies in Web 3.0 based Metaverse,” Digital Communications and Networks, 2023, doi: 10.1016/j.dcan.2023.11.006.</w:t>
      </w:r>
    </w:p>
    <w:p>
      <w:pPr>
        <w:pStyle w:val="IJSREDReference"/>
        <w:keepLines/>
      </w:pPr>
      <w:r>
        <w:t>[18] A. Markopoulou, R. Trimananda, and H. Cui, “A CI-based Auditing Framework for Data Collection Practices,” arXiv, 2023, doi: 10.48550/arxiv.2303.17740.</w:t>
      </w:r>
    </w:p>
    <w:p>
      <w:pPr>
        <w:pStyle w:val="IJSREDReference"/>
        <w:keepLines/>
      </w:pPr>
      <w:r>
        <w:t>[19] M. Mastroianni, F. Palmieri, M. Ficco, R. Kozik, and M. Choraś, “Privacy risk analysis and metrics in capturing and storing network traffic,” in Proc. Int. Conf. Control Systems and Computer Science, 2023, doi: 10.1109/CSCS59211.2023.00097.</w:t>
      </w:r>
    </w:p>
    <w:p>
      <w:pPr>
        <w:pStyle w:val="IJSREDReference"/>
        <w:keepLines/>
      </w:pPr>
      <w:r>
        <w:t>[20] T. Heino, R. Carlsson, S. Rauti, and V. Leppänen, “Assessing discrepancies between network traffic and privacy policies of public sector web services,” in Proc. Int. Conf. Availability, Reliability and Security, 2022, doi: 10.1145/3538969.3539003.</w:t>
      </w:r>
    </w:p>
    <w:p>
      <w:pPr>
        <w:pStyle w:val="IJSREDReference"/>
        <w:keepLines/>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IJSREDReference"/>
        <w:keepLines/>
      </w:pPr>
      <w:r>
        <w:t>[22] D. Sánchez, A. Viejo, and M. Batet, “Automatic Assessment of Privacy Policies under the GDPR,” Applied Sciences, vol. 11, 2021, doi: 10.3390/app11041762.</w:t>
      </w:r>
    </w:p>
    <w:p>
      <w:pPr>
        <w:pStyle w:val="IJSREDReference"/>
        <w:keepLines/>
      </w:pPr>
      <w:r>
        <w:t>[23] H. Ou, Y. Fang, Y. Guo, W. Guo, and C. Huang, “Viopolicy-Detector: An Automated Approach to Detecting GDPR Suspected Compliance Violations in Websites,” in Proc. Int. Symp. Research in Attacks, Intrusions and Defenses, 2022, doi: 10.1145/3545948.3545952.</w:t>
      </w:r>
    </w:p>
    <w:p>
      <w:pPr>
        <w:pStyle w:val="IJSREDReference"/>
        <w:keepLines/>
      </w:pPr>
      <w:r>
        <w:t>[24] M. Farhadi, G. Pierre, and D. Miorandi, “Towards automated privacy compliance checking of applications in Cloud and Fog environments,” in Proc. Int. Conf. Future Internet of Things and Cloud, 2021, doi: 10.1109/FiCloud49777.2021.00010.</w:t>
      </w:r>
    </w:p>
    <w:p>
      <w:pPr>
        <w:pStyle w:val="IJSREDReference"/>
        <w:keepLines/>
      </w:pPr>
      <w:r>
        <w:t>[25] I. A. Alharbi, C. Zou, and R. N. Alharbi, “Encrypted Network Traffic Analysis and Classification Utilizing Machine Learning,” Sensors, vol. 24, 2024, doi: 10.3390/s24113509.</w:t>
      </w:r>
    </w:p>
    <w:p>
      <w:pPr>
        <w:pStyle w:val="IJSREDReference"/>
        <w:keepLines/>
      </w:pPr>
      <w:r>
        <w:t>[26] L. Chaddad, A. Chehab, and A. Kayssi, “OPriv: Optimizing Privacy Protection for Network Traffic,” Journal of Sensor and Actuator Networks, vol. 10, 2021, doi: 10.3390/jsan10030038.</w:t>
      </w:r>
    </w:p>
    <w:p>
      <w:pPr>
        <w:pStyle w:val="IJSREDReference"/>
        <w:keepLines/>
      </w:pPr>
      <w:r>
        <w:t>[27] G. Baldini, J. L. Hernández-Ramos, S. Nowak, R. Neisse, and M. Nowak, “Mitigation of Privacy Threats due to Encrypted Traffic Analysis through a Policy-Based Framework and MUD Profiles,” Symmetry, vol. 12, 2020, doi: 10.3390/sym12091576.</w:t>
      </w:r>
    </w:p>
    <w:p>
      <w:pPr>
        <w:pStyle w:val="IJSREDReference"/>
        <w:keepLines/>
      </w:pPr>
      <w:r>
        <w:t>[28] B. Sedlak, I. Murturi, P. K. Donta, and S. Dustdar, “A Privacy Enforcing Framework for Data Streams on the Edge,” IEEE Transactions on Emerging Topics in Computing, 2024, doi: 10.1109/TETC.2023.3315131.</w:t>
      </w:r>
    </w:p>
    <w:p>
      <w:pPr>
        <w:pStyle w:val="IJSREDReference"/>
        <w:keepLines/>
      </w:pPr>
      <w:r>
        <w:t>[29] M. Barati, G. Aujla, J. T. Llanos, K. A. Duodu, O. Rana, M. Carr, and R. Ranjan, “Privacy-Aware Cloud Auditing for GDPR Compliance Verification in Online Healthcare,” IEEE Transactions on Industrial Informatics, 2021, doi: 10.1109/TII.2021.3100152.</w:t>
      </w:r>
    </w:p>
    <w:p>
      <w:pPr>
        <w:pStyle w:val="IJSREDReference"/>
        <w:keepLines/>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6" w:h="16838"/>
          <w:pgMar w:top="1077" w:right="811" w:bottom="2438" w:left="811" w:header="708" w:footer="708" w:gutter="0"/>
          <w:cols w:space="245" w:num="2"/>
          <w:docGrid w:linePitch="360"/>
        </w:sectPr>
      </w:pPr>
    </w:p>
    <w:sectPr w:rsidR="00CE2472" w:rsidRPr="00CE2472" w:rsidSect="00DA1D8F">
      <w:type w:val="continuous"/>
      <w:pgSz w:w="11906" w:h="16838"/>
      <w:pgMar w:top="1077" w:right="811" w:bottom="2438" w:left="811" w:header="708" w:footer="708" w:gutter="0"/>
      <w:cols w:space="245" w:num="1"/>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C27" w:rsidRDefault="00201C27" w:rsidP="00032CB6">
      <w:r>
        <w:separator/>
      </w:r>
    </w:p>
  </w:endnote>
  <w:endnote w:type="continuationSeparator" w:id="1">
    <w:p w:rsidR="00201C27" w:rsidRDefault="00201C27"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F77" w:rsidRPr="00327EA5" w:rsidRDefault="00FD4FAF" w:rsidP="00C52F77">
    <w:pPr>
      <w:pStyle w:val="Footer"/>
      <w:pBdr>
        <w:top w:val="thinThickSmallGap" w:sz="24" w:space="1" w:color="622423" w:themeColor="accent2" w:themeShade="7F"/>
      </w:pBdr>
      <w:tabs>
        <w:tab w:val="clear" w:pos="4680"/>
        <w:tab w:val="clear" w:pos="9360"/>
        <w:tab w:val="right" w:pos="10284"/>
      </w:tabs>
    </w:pPr>
    <w:r w:rsidRPr="00327EA5">
      <w:t xml:space="preserve">ISSN : 2581-7175       </w:t>
    </w:r>
    <w:r w:rsidR="00A86001" w:rsidRPr="00327EA5">
      <w:t xml:space="preserve">                     </w:t>
    </w:r>
    <w:r w:rsidRPr="00327EA5">
      <w:t xml:space="preserve"> </w:t>
    </w:r>
    <w:r w:rsidR="006A00A4" w:rsidRPr="000B3EFF">
      <w:rPr>
        <w:rFonts w:asciiTheme="minorHAnsi" w:hAnsiTheme="minorHAnsi" w:cstheme="minorHAnsi"/>
      </w:rPr>
      <w:t>©</w:t>
    </w:r>
    <w:r w:rsidR="00F01273" w:rsidRPr="000B3EFF">
      <w:rPr>
        <w:rFonts w:asciiTheme="minorHAnsi" w:hAnsiTheme="minorHAnsi" w:cstheme="minorHAnsi"/>
      </w:rPr>
      <w:t>IJSRED:</w:t>
    </w:r>
    <w:r w:rsidR="00DA1D8F" w:rsidRPr="000B3EFF">
      <w:rPr>
        <w:rFonts w:asciiTheme="minorHAnsi" w:hAnsiTheme="minorHAnsi" w:cstheme="minorHAnsi"/>
      </w:rPr>
      <w:t xml:space="preserve"> </w:t>
    </w:r>
    <w:r w:rsidR="006A00A4" w:rsidRPr="000B3EFF">
      <w:rPr>
        <w:rFonts w:asciiTheme="minorHAnsi" w:hAnsiTheme="minorHAnsi" w:cstheme="minorHAnsi"/>
      </w:rPr>
      <w:t>All Rights are Reserved</w:t>
    </w:r>
    <w:r w:rsidR="00C52F77" w:rsidRPr="00327EA5">
      <w:tab/>
      <w:t xml:space="preserve">Page </w:t>
    </w:r>
    <w:fldSimple w:instr=" PAGE   \* MERGEFORMAT ">
      <w:r w:rsidR="000B3EFF">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Pr="00C52F77" w:rsidRDefault="000B3EFF" w:rsidP="00C52F77">
    <w:pPr>
      <w:pStyle w:val="Footer"/>
      <w:pBdr>
        <w:top w:val="thinThickSmallGap" w:sz="24" w:space="1" w:color="622423" w:themeColor="accent2" w:themeShade="7F"/>
      </w:pBd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sidR="00CE2472">
      <w:rPr>
        <w:rFonts w:asciiTheme="majorHAnsi" w:hAnsiTheme="majorHAnsi"/>
      </w:rPr>
      <w:tab/>
      <w:t xml:space="preserve">Page </w:t>
    </w:r>
    <w:fldSimple w:instr=" PAGE   \* MERGEFORMAT ">
      <w:r w:rsidRPr="000B3EFF">
        <w:rPr>
          <w:rFonts w:asciiTheme="majorHAnsi" w:hAnsiTheme="majorHAnsi"/>
          <w:noProof/>
        </w:rPr>
        <w:t>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C27" w:rsidRDefault="00201C27" w:rsidP="00032CB6">
      <w:r>
        <w:separator/>
      </w:r>
    </w:p>
  </w:footnote>
  <w:footnote w:type="continuationSeparator" w:id="1">
    <w:p w:rsidR="00201C27" w:rsidRDefault="00201C27"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B6" w:rsidRDefault="00C73004" w:rsidP="007E17D7">
    <w:pPr>
      <w:spacing w:after="120"/>
      <w:ind w:left="-90"/>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00AB2CDF" w:rsidRPr="00AB2CDF">
      <w:rPr>
        <w:rFonts w:ascii="Calibri" w:eastAsia="Calibri" w:hAnsi="Calibri"/>
        <w:b/>
        <w:bCs/>
        <w:i/>
        <w:iCs/>
        <w:color w:val="FF0000"/>
        <w:sz w:val="23"/>
        <w:szCs w:val="23"/>
        <w:lang w:val="en-US" w:eastAsia="en-US"/>
      </w:rPr>
      <w:t>-</w:t>
    </w:r>
    <w:r w:rsidR="007E17D7">
      <w:rPr>
        <w:rFonts w:ascii="Calibri" w:eastAsia="Calibri" w:hAnsi="Calibri"/>
        <w:b/>
        <w:bCs/>
        <w:i/>
        <w:iCs/>
        <w:color w:val="FF0000"/>
        <w:sz w:val="23"/>
        <w:szCs w:val="23"/>
        <w:lang w:val="en-US" w:eastAsia="en-US"/>
      </w:rPr>
      <w:t>– Volume X Issue X</w:t>
    </w:r>
    <w:r w:rsidR="007E17D7" w:rsidRPr="00F2764A">
      <w:rPr>
        <w:rFonts w:ascii="Calibri" w:eastAsia="Calibri" w:hAnsi="Calibri"/>
        <w:b/>
        <w:bCs/>
        <w:i/>
        <w:iCs/>
        <w:color w:val="FF0000"/>
        <w:sz w:val="23"/>
        <w:szCs w:val="23"/>
        <w:lang w:val="en-US" w:eastAsia="en-US"/>
      </w:rPr>
      <w:t>,</w:t>
    </w:r>
    <w:r w:rsidR="007E17D7">
      <w:rPr>
        <w:rFonts w:ascii="Calibri" w:eastAsia="Calibri" w:hAnsi="Calibri"/>
        <w:b/>
        <w:bCs/>
        <w:i/>
        <w:iCs/>
        <w:color w:val="FF0000"/>
        <w:sz w:val="23"/>
        <w:szCs w:val="23"/>
        <w:lang w:val="en-US" w:eastAsia="en-US"/>
      </w:rPr>
      <w:t xml:space="preserve"> Year</w:t>
    </w:r>
    <w:r w:rsidR="007E17D7" w:rsidRPr="00F2764A">
      <w:rPr>
        <w:rFonts w:ascii="Calibri" w:eastAsia="Calibri" w:hAnsi="Calibri"/>
        <w:b/>
        <w:bCs/>
        <w:i/>
        <w:iCs/>
        <w:color w:val="FF0000"/>
        <w:sz w:val="23"/>
        <w:szCs w:val="23"/>
        <w:lang w:val="en-US" w:eastAsia="en-US"/>
      </w:rPr>
      <w:t xml:space="preserve"> </w:t>
    </w:r>
  </w:p>
  <w:p w:rsidR="006A00A4" w:rsidRPr="009F0231" w:rsidRDefault="009F0231"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r w:rsidR="006A00A4"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006A00A4" w:rsidRPr="009F0231">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231" w:rsidRDefault="009F0231"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CE2472" w:rsidRPr="009F0231" w:rsidRDefault="009733F7"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sidR="009F0231">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328273D7"/>
    <w:multiLevelType w:val="multilevel"/>
    <w:tmpl w:val="9C8E938C"/>
    <w:numStyleLink w:val="IEEEBullet1"/>
  </w:abstractNum>
  <w:abstractNum w:abstractNumId="3">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0"/>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22530"/>
  </w:hdrShapeDefaults>
  <w:footnotePr>
    <w:footnote w:id="0"/>
    <w:footnote w:id="1"/>
  </w:footnotePr>
  <w:endnotePr>
    <w:endnote w:id="0"/>
    <w:endnote w:id="1"/>
  </w:endnotePr>
  <w:compat>
    <w:applyBreakingRules/>
    <w:useFELayout/>
  </w:compat>
  <w:rsids>
    <w:rsidRoot w:val="00426FBB"/>
    <w:rsid w:val="000002E1"/>
    <w:rsid w:val="00017719"/>
    <w:rsid w:val="00027F1D"/>
    <w:rsid w:val="0003296C"/>
    <w:rsid w:val="00032CB6"/>
    <w:rsid w:val="000348E4"/>
    <w:rsid w:val="00054421"/>
    <w:rsid w:val="00062E46"/>
    <w:rsid w:val="000644A7"/>
    <w:rsid w:val="00074AC8"/>
    <w:rsid w:val="00081408"/>
    <w:rsid w:val="00081EBE"/>
    <w:rsid w:val="00086EDC"/>
    <w:rsid w:val="000B36A3"/>
    <w:rsid w:val="000B3EFF"/>
    <w:rsid w:val="000C013C"/>
    <w:rsid w:val="000C733C"/>
    <w:rsid w:val="000D56DF"/>
    <w:rsid w:val="000E3F84"/>
    <w:rsid w:val="001056DF"/>
    <w:rsid w:val="00114025"/>
    <w:rsid w:val="001160D2"/>
    <w:rsid w:val="001348A5"/>
    <w:rsid w:val="00151B8E"/>
    <w:rsid w:val="001928FB"/>
    <w:rsid w:val="00192BC7"/>
    <w:rsid w:val="001956ED"/>
    <w:rsid w:val="001A50EA"/>
    <w:rsid w:val="001E43F8"/>
    <w:rsid w:val="001F16CD"/>
    <w:rsid w:val="001F47D2"/>
    <w:rsid w:val="00201C27"/>
    <w:rsid w:val="00206E9B"/>
    <w:rsid w:val="00217BBC"/>
    <w:rsid w:val="0022285A"/>
    <w:rsid w:val="00224C61"/>
    <w:rsid w:val="00234148"/>
    <w:rsid w:val="0025734F"/>
    <w:rsid w:val="00257E6D"/>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A6605"/>
    <w:rsid w:val="004C45FA"/>
    <w:rsid w:val="004E1BD8"/>
    <w:rsid w:val="004E452A"/>
    <w:rsid w:val="004E78E3"/>
    <w:rsid w:val="004F0670"/>
    <w:rsid w:val="004F3D40"/>
    <w:rsid w:val="005004BF"/>
    <w:rsid w:val="00502E89"/>
    <w:rsid w:val="00510E95"/>
    <w:rsid w:val="00517B98"/>
    <w:rsid w:val="00527D56"/>
    <w:rsid w:val="0053221F"/>
    <w:rsid w:val="00536FAE"/>
    <w:rsid w:val="00542C85"/>
    <w:rsid w:val="00552CF7"/>
    <w:rsid w:val="00553510"/>
    <w:rsid w:val="00554186"/>
    <w:rsid w:val="00585769"/>
    <w:rsid w:val="00591130"/>
    <w:rsid w:val="005A3F28"/>
    <w:rsid w:val="005A40BE"/>
    <w:rsid w:val="005B13E2"/>
    <w:rsid w:val="005B47D7"/>
    <w:rsid w:val="005C5526"/>
    <w:rsid w:val="005C62C6"/>
    <w:rsid w:val="005D7B9E"/>
    <w:rsid w:val="005F0834"/>
    <w:rsid w:val="005F3075"/>
    <w:rsid w:val="005F6DC3"/>
    <w:rsid w:val="00601A8E"/>
    <w:rsid w:val="00614D65"/>
    <w:rsid w:val="006168B8"/>
    <w:rsid w:val="0062033E"/>
    <w:rsid w:val="00624482"/>
    <w:rsid w:val="0064799C"/>
    <w:rsid w:val="00654156"/>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B6AE3"/>
    <w:rsid w:val="008D1045"/>
    <w:rsid w:val="008E110F"/>
    <w:rsid w:val="008E5996"/>
    <w:rsid w:val="00901AE1"/>
    <w:rsid w:val="009205B4"/>
    <w:rsid w:val="00934F97"/>
    <w:rsid w:val="00955B59"/>
    <w:rsid w:val="009733F7"/>
    <w:rsid w:val="00992262"/>
    <w:rsid w:val="009926BC"/>
    <w:rsid w:val="009A4319"/>
    <w:rsid w:val="009A6C3F"/>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D335D"/>
    <w:rsid w:val="00AD6438"/>
    <w:rsid w:val="00AD7E8E"/>
    <w:rsid w:val="00AF792B"/>
    <w:rsid w:val="00B02D06"/>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6CA4"/>
    <w:rsid w:val="00CC3A1B"/>
    <w:rsid w:val="00CD4F3F"/>
    <w:rsid w:val="00CE2472"/>
    <w:rsid w:val="00D016EF"/>
    <w:rsid w:val="00D02314"/>
    <w:rsid w:val="00D311F8"/>
    <w:rsid w:val="00D36B52"/>
    <w:rsid w:val="00D377C8"/>
    <w:rsid w:val="00D41274"/>
    <w:rsid w:val="00D43BF3"/>
    <w:rsid w:val="00D767BB"/>
    <w:rsid w:val="00D939B0"/>
    <w:rsid w:val="00DA1D8F"/>
    <w:rsid w:val="00DB16E0"/>
    <w:rsid w:val="00DB2DF9"/>
    <w:rsid w:val="00DB7E63"/>
    <w:rsid w:val="00DC2055"/>
    <w:rsid w:val="00DC64EC"/>
    <w:rsid w:val="00DD4470"/>
    <w:rsid w:val="00DD4DEB"/>
    <w:rsid w:val="00DD71E8"/>
    <w:rsid w:val="00DD7F83"/>
    <w:rsid w:val="00E0641E"/>
    <w:rsid w:val="00E06664"/>
    <w:rsid w:val="00E304BC"/>
    <w:rsid w:val="00E32853"/>
    <w:rsid w:val="00E401F8"/>
    <w:rsid w:val="00E46425"/>
    <w:rsid w:val="00E47D0E"/>
    <w:rsid w:val="00E65018"/>
    <w:rsid w:val="00E72D69"/>
    <w:rsid w:val="00E75E79"/>
    <w:rsid w:val="00E94339"/>
    <w:rsid w:val="00E97563"/>
    <w:rsid w:val="00EB0B63"/>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rFonts w:ascii="Times New Roman" w:hAnsi="Times New Roman"/>
      <w:sz w:val="20"/>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0" w:after="0" w:line="240" w:lineRule="auto"/>
      <w:jc w:val="center"/>
    </w:pPr>
    <w:rPr>
      <w:rFonts w:eastAsia="Times New Roman" w:ascii="Times New Roman" w:hAnsi="Times New Roman"/>
      <w:b w:val="0"/>
      <w:i w:val="0"/>
      <w:color w:val="000000"/>
      <w:sz w:val="22"/>
      <w:lang w:val="en-GB" w:eastAsia="en-GB"/>
    </w:rPr>
  </w:style>
  <w:style w:type="paragraph" w:customStyle="1" w:styleId="IEEEAuthorAffiliation">
    <w:name w:val="IEEE Author Affiliation"/>
    <w:basedOn w:val="Normal"/>
    <w:next w:val="Normal"/>
    <w:rsid w:val="00081EBE"/>
    <w:pPr>
      <w:spacing w:after="0" w:line="240" w:lineRule="auto" w:before="0"/>
      <w:jc w:val="center"/>
    </w:pPr>
    <w:rPr>
      <w:rFonts w:eastAsia="Times New Roman" w:ascii="Times New Roman" w:hAnsi="Times New Roman"/>
      <w:b w:val="0"/>
      <w:i/>
      <w:color w:val="000000"/>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80" w:after="20" w:line="240" w:lineRule="auto"/>
      <w:jc w:val="left"/>
    </w:pPr>
    <w:rPr>
      <w:rFonts w:ascii="Times New Roman" w:hAnsi="Times New Roman"/>
      <w:b/>
      <w:i/>
      <w:color w:val="000000"/>
      <w:sz w:val="20"/>
    </w:rPr>
  </w:style>
  <w:style w:type="paragraph" w:customStyle="1" w:styleId="IEEEAuthorEmail">
    <w:name w:val="IEEE Author Email"/>
    <w:next w:val="IEEEAuthorAffiliation"/>
    <w:rsid w:val="00081EBE"/>
    <w:pPr>
      <w:spacing w:after="0" w:line="240" w:lineRule="auto" w:before="0"/>
      <w:jc w:val="center"/>
    </w:pPr>
    <w:rPr>
      <w:rFonts w:ascii="Times New Roman" w:eastAsia="Times New Roman" w:hAnsi="Times New Roman"/>
      <w:b w:val="0"/>
      <w:i w:val="0"/>
      <w:color w:val="000000"/>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spacing w:line="240" w:lineRule="auto" w:before="0" w:after="40"/>
      <w:ind w:firstLine="245"/>
      <w:jc w:val="both"/>
    </w:pPr>
    <w:rPr>
      <w:rFonts w:ascii="Times New Roman" w:hAnsi="Times New Roman"/>
      <w:b w:val="0"/>
      <w:i w:val="0"/>
      <w:color w:val="000000"/>
      <w:sz w:val="20"/>
    </w:rPr>
  </w:style>
  <w:style w:type="paragraph" w:customStyle="1" w:styleId="IEEEHeading1">
    <w:name w:val="IEEE Heading 1"/>
    <w:basedOn w:val="Normal"/>
    <w:next w:val="IEEEParagraph"/>
    <w:rsid w:val="00273D2C"/>
    <w:pPr>
      <w:numPr>
        <w:numId w:val="6"/>
      </w:numPr>
      <w:adjustRightInd w:val="0"/>
      <w:snapToGrid w:val="0"/>
      <w:spacing w:before="120" w:after="60" w:line="240" w:lineRule="auto"/>
      <w:jc w:val="center"/>
    </w:pPr>
    <w:rPr>
      <w:rFonts w:ascii="Times New Roman" w:hAnsi="Times New Roman"/>
      <w:b/>
      <w:i w:val="0"/>
      <w:smallCaps/>
      <w:color w:val="000000"/>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spacing w:line="240" w:lineRule="auto" w:before="0" w:after="0"/>
      <w:jc w:val="center"/>
    </w:pPr>
    <w:rPr>
      <w:rFonts w:ascii="Times New Roman" w:hAnsi="Times New Roman"/>
      <w:b/>
      <w:i w:val="0"/>
      <w:color w:val="000000"/>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0" w:after="0" w:line="240" w:lineRule="auto"/>
      <w:jc w:val="center"/>
    </w:pPr>
    <w:rPr>
      <w:rFonts w:ascii="Times New Roman" w:hAnsi="Times New Roman"/>
      <w:b w:val="0"/>
      <w:i w:val="0"/>
      <w:smallCaps/>
      <w:color w:val="000000"/>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pPr>
      <w:spacing w:line="240" w:lineRule="auto" w:before="0" w:after="0"/>
      <w:jc w:val="center"/>
    </w:pPr>
    <w:rPr>
      <w:rFonts w:ascii="Times New Roman" w:hAnsi="Times New Roman"/>
      <w:b w:val="0"/>
      <w:i w:val="0"/>
      <w:smallCaps w:val="0"/>
      <w:color w:val="000000"/>
      <w:sz w:val="16"/>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spacing w:line="240" w:lineRule="auto" w:before="0" w:after="20"/>
      <w:ind w:left="259" w:hanging="259"/>
      <w:jc w:val="left"/>
    </w:pPr>
    <w:rPr>
      <w:rFonts w:ascii="Times New Roman" w:hAnsi="Times New Roman"/>
      <w:b w:val="0"/>
      <w:i w:val="0"/>
      <w:color w:val="000000"/>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customStyle="1" w:styleId="IJSREDHeading1">
    <w:name w:val="IJSRED Heading 1"/>
    <w:pPr>
      <w:spacing w:line="240" w:lineRule="auto" w:before="120" w:after="60"/>
      <w:jc w:val="center"/>
    </w:pPr>
    <w:rPr>
      <w:rFonts w:ascii="Times New Roman" w:hAnsi="Times New Roman"/>
      <w:b/>
      <w:i w:val="0"/>
      <w:smallCaps/>
      <w:color w:val="000000"/>
      <w:sz w:val="20"/>
    </w:rPr>
  </w:style>
  <w:style w:type="paragraph" w:customStyle="1" w:styleId="IJSREDHeading2">
    <w:name w:val="IJSRED Heading 2"/>
    <w:pPr>
      <w:spacing w:line="240" w:lineRule="auto" w:before="80" w:after="20"/>
      <w:jc w:val="left"/>
    </w:pPr>
    <w:rPr>
      <w:rFonts w:ascii="Times New Roman" w:hAnsi="Times New Roman"/>
      <w:b/>
      <w:i/>
      <w:color w:val="000000"/>
      <w:sz w:val="20"/>
    </w:rPr>
  </w:style>
  <w:style w:type="paragraph" w:customStyle="1" w:styleId="IJSREDReference">
    <w:name w:val="IJSRED Reference"/>
    <w:pPr>
      <w:spacing w:line="240" w:lineRule="auto" w:before="0" w:after="20"/>
      <w:ind w:left="259" w:hanging="259"/>
      <w:jc w:val="left"/>
    </w:pPr>
    <w:rPr>
      <w:rFonts w:ascii="Times New Roman" w:hAnsi="Times New Roman"/>
      <w:b w:val="0"/>
      <w:i w:val="0"/>
      <w:color w:val="000000"/>
      <w:sz w:val="16"/>
    </w:rPr>
  </w:style>
  <w:style w:type="paragraph" w:customStyle="1" w:styleId="IJSREDAuthorEmail">
    <w:name w:val="IJSRED Author Email"/>
    <w:pPr>
      <w:spacing w:line="240" w:lineRule="auto" w:before="0" w:after="0"/>
      <w:jc w:val="center"/>
    </w:pPr>
    <w:rPr>
      <w:rFonts w:ascii="Courier New" w:hAnsi="Courier New"/>
      <w:b w:val="0"/>
      <w:i w:val="0"/>
      <w:color w:val="000000"/>
      <w:sz w:val="18"/>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1C1E-E99B-408C-A887-B91988FB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Best Online Journal-IJCST</vt:lpstr>
    </vt:vector>
  </TitlesOfParts>
  <Company/>
  <LinksUpToDate>false</LinksUpToDate>
  <CharactersWithSpaces>10834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Dynamic network traffic and privacy-policy analysis</dc:subject>
  <dc:creator>Vimlesh Mourya; Maya Nair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 </dc:description>
  <cp:lastModifiedBy>LENOVO</cp:lastModifiedBy>
  <cp:revision>67</cp:revision>
  <cp:lastPrinted>2008-12-23T10:18:00Z</cp:lastPrinted>
  <dcterms:created xsi:type="dcterms:W3CDTF">2014-12-14T12:08:00Z</dcterms:created>
  <dcterms:modified xsi:type="dcterms:W3CDTF">2018-11-25T00:51:00Z</dcterms:modified>
</cp:coreProperties>
</file>