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CA" w:rsidRPr="00C268CA" w:rsidRDefault="00C268CA" w:rsidP="00C268CA">
      <w:pPr>
        <w:shd w:val="clear" w:color="auto" w:fill="FFFFFF"/>
        <w:spacing w:after="0" w:line="324" w:lineRule="atLeast"/>
        <w:outlineLvl w:val="0"/>
        <w:rPr>
          <w:rFonts w:ascii="helvetica-neue" w:eastAsia="Times New Roman" w:hAnsi="helvetica-neue" w:cs="Times New Roman"/>
          <w:b/>
          <w:bCs/>
          <w:color w:val="474747"/>
          <w:kern w:val="36"/>
          <w:sz w:val="42"/>
          <w:szCs w:val="42"/>
        </w:rPr>
      </w:pPr>
      <w:r w:rsidRPr="00C268CA">
        <w:rPr>
          <w:rFonts w:ascii="helvetica-neue" w:eastAsia="Times New Roman" w:hAnsi="helvetica-neue" w:cs="Times New Roman"/>
          <w:b/>
          <w:bCs/>
          <w:color w:val="474747"/>
          <w:kern w:val="36"/>
          <w:sz w:val="42"/>
          <w:szCs w:val="42"/>
        </w:rPr>
        <w:t>Different types of Data Types and field types</w:t>
      </w:r>
    </w:p>
    <w:p w:rsidR="00C268CA" w:rsidRPr="00C268CA" w:rsidRDefault="00C268CA" w:rsidP="00C268CA">
      <w:pPr>
        <w:spacing w:before="150" w:after="150" w:line="360" w:lineRule="atLeast"/>
        <w:jc w:val="both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There are different kinds of </w:t>
      </w:r>
      <w:hyperlink r:id="rId6" w:tgtFrame="_blank" w:history="1">
        <w:r w:rsidRPr="00C268CA">
          <w:rPr>
            <w:rFonts w:ascii="helvetica-neue" w:eastAsia="Times New Roman" w:hAnsi="helvetica-neue" w:cs="Times New Roman"/>
            <w:color w:val="3A3A3A"/>
            <w:sz w:val="21"/>
            <w:szCs w:val="21"/>
          </w:rPr>
          <w:t>data types</w:t>
        </w:r>
      </w:hyperlink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 depending on conditions. There are five different data types in API –</w:t>
      </w:r>
    </w:p>
    <w:p w:rsidR="00C268CA" w:rsidRPr="00C268CA" w:rsidRDefault="00C268CA" w:rsidP="00C268CA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ID</w:t>
      </w:r>
    </w:p>
    <w:p w:rsidR="00C268CA" w:rsidRPr="00C268CA" w:rsidRDefault="00C268CA" w:rsidP="00C268CA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String</w:t>
      </w:r>
    </w:p>
    <w:p w:rsidR="00C268CA" w:rsidRPr="00C268CA" w:rsidRDefault="00C268CA" w:rsidP="00C268CA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Boolean</w:t>
      </w:r>
    </w:p>
    <w:p w:rsidR="00C268CA" w:rsidRPr="00C268CA" w:rsidRDefault="00C268CA" w:rsidP="00C268CA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Double</w:t>
      </w:r>
    </w:p>
    <w:p w:rsidR="00C268CA" w:rsidRPr="00C268CA" w:rsidRDefault="00C268CA" w:rsidP="00C268CA">
      <w:pPr>
        <w:numPr>
          <w:ilvl w:val="0"/>
          <w:numId w:val="1"/>
        </w:numPr>
        <w:spacing w:before="100" w:beforeAutospacing="1" w:after="100" w:afterAutospacing="1" w:line="240" w:lineRule="auto"/>
        <w:ind w:left="225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Varies by type</w:t>
      </w:r>
    </w:p>
    <w:p w:rsidR="00C268CA" w:rsidRPr="00C268CA" w:rsidRDefault="00C268CA" w:rsidP="00C268CA">
      <w:pPr>
        <w:spacing w:after="150" w:line="360" w:lineRule="atLeast"/>
        <w:jc w:val="both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Different field types depending on the data types –</w:t>
      </w:r>
      <w:r>
        <w:rPr>
          <w:rFonts w:ascii="helvetica-neue" w:eastAsia="Times New Roman" w:hAnsi="helvetica-neue" w:cs="Times New Roman"/>
          <w:noProof/>
          <w:color w:val="3A3A3A"/>
          <w:sz w:val="21"/>
          <w:szCs w:val="21"/>
        </w:rPr>
        <w:drawing>
          <wp:inline distT="0" distB="0" distL="0" distR="0">
            <wp:extent cx="5146675" cy="164719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8CA" w:rsidRPr="00C268CA" w:rsidRDefault="00C268CA" w:rsidP="00C268CA">
      <w:pPr>
        <w:spacing w:before="150" w:after="150" w:line="360" w:lineRule="atLeast"/>
        <w:jc w:val="both"/>
        <w:rPr>
          <w:rFonts w:ascii="helvetica-neue" w:eastAsia="Times New Roman" w:hAnsi="helvetica-neue" w:cs="Times New Roman"/>
          <w:color w:val="3A3A3A"/>
          <w:sz w:val="21"/>
          <w:szCs w:val="21"/>
        </w:rPr>
      </w:pPr>
      <w:r w:rsidRPr="00C268CA">
        <w:rPr>
          <w:rFonts w:ascii="helvetica-neue" w:eastAsia="Times New Roman" w:hAnsi="helvetica-neue" w:cs="Times New Roman"/>
          <w:color w:val="3A3A3A"/>
          <w:sz w:val="21"/>
          <w:szCs w:val="21"/>
        </w:rPr>
        <w:t>Different Field Types –</w:t>
      </w:r>
    </w:p>
    <w:tbl>
      <w:tblPr>
        <w:tblW w:w="74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4257"/>
      </w:tblGrid>
      <w:tr w:rsidR="00C268CA" w:rsidRPr="00C268CA" w:rsidTr="00C268CA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What the Field Contains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A compound data type that contains address field data.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AnyType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Polymorphic data type that returns string, picklist, reference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,  Boolean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currency, </w:t>
            </w: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double, percent, ID, date, </w:t>
            </w: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,  or email data depending on the kind of field involved.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Fields that are defined by a formula.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</w:t>
            </w: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which includes a set of enumerated values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and  allows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to specify a value not in the list.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Currency values.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DataCategoryGroupReference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Reference to a data category group or a category unique name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Email addresses.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Encrypted text fields contain any combination of letters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,  numbers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symbols that are stored in encrypted form. You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can  set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maximum length of up to 175 characters.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 in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APIversions</w:t>
            </w:r>
            <w:proofErr w:type="spell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11.0 and later.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Primary key field for the object.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JunctionIdList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A string array of referenced ID values that represent the many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-  to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-many relationship of an underlying junction entity.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Query  and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manipulate the string array to query and manipulate the  underlying junction entities in a single API call.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 compound data type that contains latitude and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 values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geolocation fields.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Masterrecord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When records are merged, the ID of the record that is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saved  (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the other records are deleted).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Multipicklist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Multi-select picklists, which include a set of enumerated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values  from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</w:t>
            </w: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multiple values can be selected.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Percent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Percentage values.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Phone numbers. Values can include alphabetic characters.  Client applications are responsible for phone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number  formatting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Picklist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Picklists, which include a set of enumerated values from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which  one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can be selected.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Cross-references to a different object. Analogous to a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foreign  key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in SQL..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 String that is displayed as a multiline text field.</w:t>
            </w:r>
          </w:p>
        </w:tc>
      </w:tr>
      <w:tr w:rsidR="00C268CA" w:rsidRPr="00C268CA" w:rsidTr="00C268C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8CA" w:rsidRPr="00C268CA" w:rsidRDefault="00C268CA" w:rsidP="00C268C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URL values. Client applications should commonly display </w:t>
            </w:r>
            <w:proofErr w:type="gramStart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>these  as</w:t>
            </w:r>
            <w:proofErr w:type="gramEnd"/>
            <w:r w:rsidRPr="00C268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hyperlinks.</w:t>
            </w:r>
          </w:p>
        </w:tc>
      </w:tr>
    </w:tbl>
    <w:p w:rsidR="002242DC" w:rsidRDefault="002242DC"/>
    <w:sectPr w:rsidR="0022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1D3"/>
    <w:multiLevelType w:val="multilevel"/>
    <w:tmpl w:val="085E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CA"/>
    <w:rsid w:val="002242DC"/>
    <w:rsid w:val="00C2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8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8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dn.intellipaat.com/wp-content/uploads/2015/12/Untitle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tutorial/java-tutorial/basic-datatypes-variables-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Company>UnitedHealth Group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2018-06-01T13:17:00Z</dcterms:created>
  <dcterms:modified xsi:type="dcterms:W3CDTF">2018-06-01T13:18:00Z</dcterms:modified>
</cp:coreProperties>
</file>