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C8" w:rsidRDefault="008C14C8" w:rsidP="008C14C8">
      <w:pPr>
        <w:pStyle w:val="Heading1"/>
        <w:spacing w:before="0" w:line="300" w:lineRule="atLeast"/>
        <w:textAlignment w:val="baseline"/>
        <w:rPr>
          <w:rFonts w:ascii="Arial" w:hAnsi="Arial" w:cs="Arial"/>
          <w:b w:val="0"/>
          <w:bCs w:val="0"/>
          <w:color w:val="FFFFFF"/>
          <w:sz w:val="45"/>
          <w:szCs w:val="45"/>
        </w:rPr>
      </w:pPr>
      <w:r>
        <w:rPr>
          <w:rFonts w:ascii="Arial" w:hAnsi="Arial" w:cs="Arial"/>
          <w:b w:val="0"/>
          <w:bCs w:val="0"/>
          <w:color w:val="FFFFFF"/>
          <w:sz w:val="45"/>
          <w:szCs w:val="45"/>
        </w:rPr>
        <w:t>Bollinger Bands</w:t>
      </w:r>
    </w:p>
    <w:p w:rsidR="008C14C8" w:rsidRPr="008C14C8" w:rsidRDefault="008C14C8" w:rsidP="00AB2ED0">
      <w:pPr>
        <w:shd w:val="clear" w:color="auto" w:fill="FFFFFF"/>
        <w:spacing w:after="330" w:line="240" w:lineRule="auto"/>
        <w:textAlignment w:val="baseline"/>
        <w:rPr>
          <w:rFonts w:ascii="Arial" w:eastAsia="Times New Roman" w:hAnsi="Arial" w:cs="Arial"/>
          <w:b/>
          <w:color w:val="666666"/>
          <w:sz w:val="24"/>
          <w:szCs w:val="24"/>
          <w:u w:val="single"/>
        </w:rPr>
      </w:pPr>
      <w:bookmarkStart w:id="0" w:name="_GoBack"/>
      <w:r w:rsidRPr="008C14C8">
        <w:rPr>
          <w:rFonts w:ascii="Arial" w:eastAsia="Times New Roman" w:hAnsi="Arial" w:cs="Arial"/>
          <w:b/>
          <w:color w:val="666666"/>
          <w:sz w:val="24"/>
          <w:szCs w:val="24"/>
          <w:u w:val="single"/>
        </w:rPr>
        <w:t>Bollinger Bands</w:t>
      </w:r>
    </w:p>
    <w:bookmarkEnd w:id="0"/>
    <w:p w:rsidR="00AB2ED0" w:rsidRPr="00AB2ED0" w:rsidRDefault="00AB2ED0" w:rsidP="00AB2ED0">
      <w:pPr>
        <w:shd w:val="clear" w:color="auto" w:fill="FFFFFF"/>
        <w:spacing w:after="33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There isn’t really anything special about this technique. If you understand how to compute moving average and standard deviation, you can make a Bollinger Band. Here’s a finished time series chart that analyzes the S&amp;P500 Index:</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This dashboard utilizes a web data connector (WDC) to pull data from Google. You can find a variety of web data connectors on our </w:t>
      </w:r>
      <w:r w:rsidRPr="00AB2ED0">
        <w:rPr>
          <w:rFonts w:ascii="Arial" w:eastAsia="Times New Roman" w:hAnsi="Arial" w:cs="Arial"/>
          <w:color w:val="1ABBB4"/>
          <w:sz w:val="24"/>
          <w:szCs w:val="24"/>
          <w:u w:val="single"/>
          <w:bdr w:val="none" w:sz="0" w:space="0" w:color="auto" w:frame="1"/>
        </w:rPr>
        <w:t>WDC POC website</w:t>
      </w:r>
      <w:r w:rsidRPr="00AB2ED0">
        <w:rPr>
          <w:rFonts w:ascii="Arial" w:eastAsia="Times New Roman" w:hAnsi="Arial" w:cs="Arial"/>
          <w:color w:val="666666"/>
          <w:sz w:val="24"/>
          <w:szCs w:val="24"/>
        </w:rPr>
        <w:t>. I used the stock price history web data connector to pull the daily closing prices going back to 2001. You can use this connector to analyze a wide variety of stocks simply by editing the connection, entering a different stock or index and updating the data source. The dashboard information will change to reflect the new data source selected.</w:t>
      </w:r>
    </w:p>
    <w:p w:rsidR="00AB2ED0" w:rsidRPr="00AB2ED0" w:rsidRDefault="00AB2ED0" w:rsidP="00AB2ED0">
      <w:pPr>
        <w:shd w:val="clear" w:color="auto" w:fill="FFFFFF"/>
        <w:spacing w:after="33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The chart at the bottom of the dashboard shows the daily trading volume. It’s a simple time series using an Area mark type. The time series at the top plots four different metrics on the selected stock:</w:t>
      </w:r>
    </w:p>
    <w:p w:rsidR="00AB2ED0" w:rsidRPr="00AB2ED0" w:rsidRDefault="00AB2ED0" w:rsidP="00AB2ED0">
      <w:pPr>
        <w:numPr>
          <w:ilvl w:val="0"/>
          <w:numId w:val="1"/>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Daily closing price</w:t>
      </w:r>
    </w:p>
    <w:p w:rsidR="00AB2ED0" w:rsidRPr="00AB2ED0" w:rsidRDefault="00AB2ED0" w:rsidP="00AB2ED0">
      <w:pPr>
        <w:numPr>
          <w:ilvl w:val="0"/>
          <w:numId w:val="1"/>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Moving average closing price (using a table calculation)</w:t>
      </w:r>
    </w:p>
    <w:p w:rsidR="00AB2ED0" w:rsidRPr="00AB2ED0" w:rsidRDefault="00AB2ED0" w:rsidP="00AB2ED0">
      <w:pPr>
        <w:numPr>
          <w:ilvl w:val="0"/>
          <w:numId w:val="1"/>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Upper Bollinger Bands</w:t>
      </w:r>
    </w:p>
    <w:p w:rsidR="00AB2ED0" w:rsidRPr="00AB2ED0" w:rsidRDefault="00AB2ED0" w:rsidP="00AB2ED0">
      <w:pPr>
        <w:numPr>
          <w:ilvl w:val="0"/>
          <w:numId w:val="1"/>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Lower Bollinger Bands</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Create the time series by first plotting the </w:t>
      </w:r>
      <w:r w:rsidRPr="00AB2ED0">
        <w:rPr>
          <w:rFonts w:ascii="Arial" w:eastAsia="Times New Roman" w:hAnsi="Arial" w:cs="Arial"/>
          <w:b/>
          <w:bCs/>
          <w:color w:val="666666"/>
          <w:sz w:val="24"/>
          <w:szCs w:val="24"/>
          <w:bdr w:val="none" w:sz="0" w:space="0" w:color="auto" w:frame="1"/>
        </w:rPr>
        <w:t>Close</w:t>
      </w:r>
      <w:r w:rsidRPr="00AB2ED0">
        <w:rPr>
          <w:rFonts w:ascii="Arial" w:eastAsia="Times New Roman" w:hAnsi="Arial" w:cs="Arial"/>
          <w:color w:val="666666"/>
          <w:sz w:val="24"/>
          <w:szCs w:val="24"/>
        </w:rPr>
        <w:t> values using a continuous day date. I decided to parameterize the number of days used to compute the moving average and provided another parameter to allow you to change the number of standard deviations used for computing the Bollinger Bands. Normally, I use 20 days and two standard deviations for building Bollinger Bands.</w:t>
      </w:r>
    </w:p>
    <w:p w:rsidR="00AB2ED0" w:rsidRPr="00AB2ED0" w:rsidRDefault="00AB2ED0" w:rsidP="00AB2ED0">
      <w:pPr>
        <w:shd w:val="clear" w:color="auto" w:fill="FFFFFF"/>
        <w:spacing w:after="75" w:line="240" w:lineRule="auto"/>
        <w:textAlignment w:val="baseline"/>
        <w:outlineLvl w:val="1"/>
        <w:rPr>
          <w:rFonts w:ascii="Arial" w:eastAsia="Times New Roman" w:hAnsi="Arial" w:cs="Arial"/>
          <w:color w:val="1ABBB4"/>
          <w:sz w:val="48"/>
          <w:szCs w:val="48"/>
        </w:rPr>
      </w:pPr>
      <w:r w:rsidRPr="00AB2ED0">
        <w:rPr>
          <w:rFonts w:ascii="Arial" w:eastAsia="Times New Roman" w:hAnsi="Arial" w:cs="Arial"/>
          <w:color w:val="1ABBB4"/>
          <w:sz w:val="48"/>
          <w:szCs w:val="48"/>
        </w:rPr>
        <w:t>The Parameter Controls</w:t>
      </w:r>
    </w:p>
    <w:p w:rsidR="00AB2ED0" w:rsidRPr="00AB2ED0" w:rsidRDefault="00AB2ED0" w:rsidP="00AB2ED0">
      <w:pPr>
        <w:shd w:val="clear" w:color="auto" w:fill="FFFFFF"/>
        <w:spacing w:after="33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Here’s how I define the parameter controls:</w:t>
      </w:r>
    </w:p>
    <w:p w:rsidR="00AB2ED0" w:rsidRPr="00AB2ED0" w:rsidRDefault="00AB2ED0" w:rsidP="00AB2ED0">
      <w:pPr>
        <w:shd w:val="clear" w:color="auto" w:fill="FFFFFF"/>
        <w:spacing w:after="330" w:line="240" w:lineRule="auto"/>
        <w:jc w:val="center"/>
        <w:textAlignment w:val="baseline"/>
        <w:rPr>
          <w:rFonts w:ascii="Arial" w:eastAsia="Times New Roman" w:hAnsi="Arial" w:cs="Arial"/>
          <w:color w:val="666666"/>
          <w:sz w:val="24"/>
          <w:szCs w:val="24"/>
        </w:rPr>
      </w:pPr>
      <w:r>
        <w:rPr>
          <w:rFonts w:ascii="Arial" w:eastAsia="Times New Roman" w:hAnsi="Arial" w:cs="Arial"/>
          <w:noProof/>
          <w:color w:val="666666"/>
          <w:sz w:val="24"/>
          <w:szCs w:val="24"/>
        </w:rPr>
        <w:lastRenderedPageBreak/>
        <w:drawing>
          <wp:inline distT="0" distB="0" distL="0" distR="0">
            <wp:extent cx="11114405" cy="4599305"/>
            <wp:effectExtent l="0" t="0" r="0" b="0"/>
            <wp:docPr id="3" name="Picture 3" descr="Define parameter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parameter contr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4405" cy="4599305"/>
                    </a:xfrm>
                    <a:prstGeom prst="rect">
                      <a:avLst/>
                    </a:prstGeom>
                    <a:noFill/>
                    <a:ln>
                      <a:noFill/>
                    </a:ln>
                  </pic:spPr>
                </pic:pic>
              </a:graphicData>
            </a:graphic>
          </wp:inline>
        </w:drawing>
      </w:r>
    </w:p>
    <w:p w:rsidR="00AB2ED0" w:rsidRPr="00AB2ED0" w:rsidRDefault="00AB2ED0" w:rsidP="00AB2ED0">
      <w:pPr>
        <w:shd w:val="clear" w:color="auto" w:fill="FFFFFF"/>
        <w:spacing w:after="33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The parameter control on the left will be used to determine how many days will be used in the table calculation for computing the moving average. The parameter control shown on the right allows you to change the number of standard deviations used to compute the Bollinger Bands.</w:t>
      </w:r>
    </w:p>
    <w:p w:rsidR="00AB2ED0" w:rsidRPr="00AB2ED0" w:rsidRDefault="00AB2ED0" w:rsidP="00AB2ED0">
      <w:pPr>
        <w:shd w:val="clear" w:color="auto" w:fill="FFFFFF"/>
        <w:spacing w:after="33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If you don’t use parameters often, there are a few steps you follow to enable them:</w:t>
      </w:r>
    </w:p>
    <w:p w:rsidR="00AB2ED0" w:rsidRPr="00AB2ED0" w:rsidRDefault="00AB2ED0" w:rsidP="00AB2ED0">
      <w:pPr>
        <w:numPr>
          <w:ilvl w:val="0"/>
          <w:numId w:val="2"/>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Create the parameter control</w:t>
      </w:r>
    </w:p>
    <w:p w:rsidR="00AB2ED0" w:rsidRPr="00AB2ED0" w:rsidRDefault="00AB2ED0" w:rsidP="00AB2ED0">
      <w:pPr>
        <w:numPr>
          <w:ilvl w:val="0"/>
          <w:numId w:val="2"/>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Expose the parameter on the desktop</w:t>
      </w:r>
    </w:p>
    <w:p w:rsidR="00AB2ED0" w:rsidRPr="00AB2ED0" w:rsidRDefault="00AB2ED0" w:rsidP="00AB2ED0">
      <w:pPr>
        <w:numPr>
          <w:ilvl w:val="0"/>
          <w:numId w:val="2"/>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Use the parameter in a calculated value</w:t>
      </w:r>
    </w:p>
    <w:p w:rsidR="00AB2ED0" w:rsidRPr="00AB2ED0" w:rsidRDefault="00AB2ED0" w:rsidP="00AB2ED0">
      <w:pPr>
        <w:numPr>
          <w:ilvl w:val="0"/>
          <w:numId w:val="2"/>
        </w:numPr>
        <w:shd w:val="clear" w:color="auto" w:fill="FFFFFF"/>
        <w:spacing w:after="0" w:line="240" w:lineRule="auto"/>
        <w:ind w:left="0"/>
        <w:textAlignment w:val="baseline"/>
        <w:rPr>
          <w:rFonts w:ascii="Arial" w:eastAsia="Times New Roman" w:hAnsi="Arial" w:cs="Arial"/>
          <w:color w:val="818181"/>
          <w:sz w:val="21"/>
          <w:szCs w:val="21"/>
        </w:rPr>
      </w:pPr>
      <w:r w:rsidRPr="00AB2ED0">
        <w:rPr>
          <w:rFonts w:ascii="Arial" w:eastAsia="Times New Roman" w:hAnsi="Arial" w:cs="Arial"/>
          <w:color w:val="818181"/>
          <w:sz w:val="21"/>
          <w:szCs w:val="21"/>
        </w:rPr>
        <w:t>Use the calculated value in #3 in your view</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To expose the parameter control, point at it in the bottom of the </w:t>
      </w:r>
      <w:r w:rsidRPr="00AB2ED0">
        <w:rPr>
          <w:rFonts w:ascii="Arial" w:eastAsia="Times New Roman" w:hAnsi="Arial" w:cs="Arial"/>
          <w:b/>
          <w:bCs/>
          <w:color w:val="666666"/>
          <w:sz w:val="24"/>
          <w:szCs w:val="24"/>
          <w:bdr w:val="none" w:sz="0" w:space="0" w:color="auto" w:frame="1"/>
        </w:rPr>
        <w:t>Data</w:t>
      </w:r>
      <w:r w:rsidRPr="00AB2ED0">
        <w:rPr>
          <w:rFonts w:ascii="Arial" w:eastAsia="Times New Roman" w:hAnsi="Arial" w:cs="Arial"/>
          <w:color w:val="666666"/>
          <w:sz w:val="24"/>
          <w:szCs w:val="24"/>
        </w:rPr>
        <w:t> pane, right-click and then select the </w:t>
      </w:r>
      <w:r w:rsidRPr="00AB2ED0">
        <w:rPr>
          <w:rFonts w:ascii="Arial" w:eastAsia="Times New Roman" w:hAnsi="Arial" w:cs="Arial"/>
          <w:b/>
          <w:bCs/>
          <w:color w:val="666666"/>
          <w:sz w:val="24"/>
          <w:szCs w:val="24"/>
          <w:bdr w:val="none" w:sz="0" w:space="0" w:color="auto" w:frame="1"/>
        </w:rPr>
        <w:t>Show Parameter Control </w:t>
      </w:r>
      <w:r w:rsidRPr="00AB2ED0">
        <w:rPr>
          <w:rFonts w:ascii="Arial" w:eastAsia="Times New Roman" w:hAnsi="Arial" w:cs="Arial"/>
          <w:color w:val="666666"/>
          <w:sz w:val="24"/>
          <w:szCs w:val="24"/>
        </w:rPr>
        <w:t>option in the menu.</w:t>
      </w:r>
    </w:p>
    <w:p w:rsidR="00AB2ED0" w:rsidRPr="00AB2ED0" w:rsidRDefault="00AB2ED0" w:rsidP="00AB2ED0">
      <w:pPr>
        <w:shd w:val="clear" w:color="auto" w:fill="FFFFFF"/>
        <w:spacing w:after="75" w:line="240" w:lineRule="auto"/>
        <w:textAlignment w:val="baseline"/>
        <w:outlineLvl w:val="1"/>
        <w:rPr>
          <w:rFonts w:ascii="Arial" w:eastAsia="Times New Roman" w:hAnsi="Arial" w:cs="Arial"/>
          <w:color w:val="1ABBB4"/>
          <w:sz w:val="48"/>
          <w:szCs w:val="48"/>
        </w:rPr>
      </w:pPr>
      <w:r w:rsidRPr="00AB2ED0">
        <w:rPr>
          <w:rFonts w:ascii="Arial" w:eastAsia="Times New Roman" w:hAnsi="Arial" w:cs="Arial"/>
          <w:color w:val="1ABBB4"/>
          <w:sz w:val="48"/>
          <w:szCs w:val="48"/>
        </w:rPr>
        <w:t>Make the Moving Average</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To create the moving average line, right-click on the </w:t>
      </w:r>
      <w:proofErr w:type="gramStart"/>
      <w:r w:rsidRPr="00AB2ED0">
        <w:rPr>
          <w:rFonts w:ascii="Arial" w:eastAsia="Times New Roman" w:hAnsi="Arial" w:cs="Arial"/>
          <w:b/>
          <w:bCs/>
          <w:color w:val="666666"/>
          <w:sz w:val="24"/>
          <w:szCs w:val="24"/>
          <w:bdr w:val="none" w:sz="0" w:space="0" w:color="auto" w:frame="1"/>
        </w:rPr>
        <w:t>AVG(</w:t>
      </w:r>
      <w:proofErr w:type="gramEnd"/>
      <w:r w:rsidRPr="00AB2ED0">
        <w:rPr>
          <w:rFonts w:ascii="Arial" w:eastAsia="Times New Roman" w:hAnsi="Arial" w:cs="Arial"/>
          <w:b/>
          <w:bCs/>
          <w:color w:val="666666"/>
          <w:sz w:val="24"/>
          <w:szCs w:val="24"/>
          <w:bdr w:val="none" w:sz="0" w:space="0" w:color="auto" w:frame="1"/>
        </w:rPr>
        <w:t>Close)</w:t>
      </w:r>
      <w:r w:rsidRPr="00AB2ED0">
        <w:rPr>
          <w:rFonts w:ascii="Arial" w:eastAsia="Times New Roman" w:hAnsi="Arial" w:cs="Arial"/>
          <w:color w:val="666666"/>
          <w:sz w:val="24"/>
          <w:szCs w:val="24"/>
        </w:rPr>
        <w:t> field pill on the </w:t>
      </w:r>
      <w:r w:rsidRPr="00AB2ED0">
        <w:rPr>
          <w:rFonts w:ascii="Arial" w:eastAsia="Times New Roman" w:hAnsi="Arial" w:cs="Arial"/>
          <w:b/>
          <w:bCs/>
          <w:color w:val="666666"/>
          <w:sz w:val="24"/>
          <w:szCs w:val="24"/>
          <w:bdr w:val="none" w:sz="0" w:space="0" w:color="auto" w:frame="1"/>
        </w:rPr>
        <w:t>Row</w:t>
      </w:r>
      <w:r w:rsidRPr="00AB2ED0">
        <w:rPr>
          <w:rFonts w:ascii="Arial" w:eastAsia="Times New Roman" w:hAnsi="Arial" w:cs="Arial"/>
          <w:color w:val="666666"/>
          <w:sz w:val="24"/>
          <w:szCs w:val="24"/>
        </w:rPr>
        <w:t> shelf and select </w:t>
      </w:r>
      <w:r w:rsidRPr="00AB2ED0">
        <w:rPr>
          <w:rFonts w:ascii="Arial" w:eastAsia="Times New Roman" w:hAnsi="Arial" w:cs="Arial"/>
          <w:b/>
          <w:bCs/>
          <w:color w:val="666666"/>
          <w:sz w:val="24"/>
          <w:szCs w:val="24"/>
          <w:bdr w:val="none" w:sz="0" w:space="0" w:color="auto" w:frame="1"/>
        </w:rPr>
        <w:t>Create table calculation</w:t>
      </w:r>
      <w:r w:rsidRPr="00AB2ED0">
        <w:rPr>
          <w:rFonts w:ascii="Arial" w:eastAsia="Times New Roman" w:hAnsi="Arial" w:cs="Arial"/>
          <w:color w:val="666666"/>
          <w:sz w:val="24"/>
          <w:szCs w:val="24"/>
        </w:rPr>
        <w:t>. Just select the </w:t>
      </w:r>
      <w:r w:rsidRPr="00AB2ED0">
        <w:rPr>
          <w:rFonts w:ascii="Arial" w:eastAsia="Times New Roman" w:hAnsi="Arial" w:cs="Arial"/>
          <w:b/>
          <w:bCs/>
          <w:color w:val="666666"/>
          <w:sz w:val="24"/>
          <w:szCs w:val="24"/>
          <w:bdr w:val="none" w:sz="0" w:space="0" w:color="auto" w:frame="1"/>
        </w:rPr>
        <w:t>moving average</w:t>
      </w:r>
      <w:r w:rsidRPr="00AB2ED0">
        <w:rPr>
          <w:rFonts w:ascii="Arial" w:eastAsia="Times New Roman" w:hAnsi="Arial" w:cs="Arial"/>
          <w:color w:val="666666"/>
          <w:sz w:val="24"/>
          <w:szCs w:val="24"/>
        </w:rPr>
        <w:t> option and pick </w:t>
      </w:r>
      <w:r w:rsidRPr="00AB2ED0">
        <w:rPr>
          <w:rFonts w:ascii="Arial" w:eastAsia="Times New Roman" w:hAnsi="Arial" w:cs="Arial"/>
          <w:b/>
          <w:bCs/>
          <w:color w:val="666666"/>
          <w:sz w:val="24"/>
          <w:szCs w:val="24"/>
          <w:bdr w:val="none" w:sz="0" w:space="0" w:color="auto" w:frame="1"/>
        </w:rPr>
        <w:t>20 days.</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lastRenderedPageBreak/>
        <w:t>Once you’ve done that, the line will now be plotting a 20-day moving average of the closing price. Drag the close field from the </w:t>
      </w:r>
      <w:r w:rsidRPr="00AB2ED0">
        <w:rPr>
          <w:rFonts w:ascii="Arial" w:eastAsia="Times New Roman" w:hAnsi="Arial" w:cs="Arial"/>
          <w:b/>
          <w:bCs/>
          <w:color w:val="666666"/>
          <w:sz w:val="24"/>
          <w:szCs w:val="24"/>
          <w:bdr w:val="none" w:sz="0" w:space="0" w:color="auto" w:frame="1"/>
        </w:rPr>
        <w:t>Data</w:t>
      </w:r>
      <w:r w:rsidRPr="00AB2ED0">
        <w:rPr>
          <w:rFonts w:ascii="Arial" w:eastAsia="Times New Roman" w:hAnsi="Arial" w:cs="Arial"/>
          <w:color w:val="666666"/>
          <w:sz w:val="24"/>
          <w:szCs w:val="24"/>
        </w:rPr>
        <w:t> pane into the </w:t>
      </w:r>
      <w:r w:rsidRPr="00AB2ED0">
        <w:rPr>
          <w:rFonts w:ascii="Arial" w:eastAsia="Times New Roman" w:hAnsi="Arial" w:cs="Arial"/>
          <w:b/>
          <w:bCs/>
          <w:color w:val="666666"/>
          <w:sz w:val="24"/>
          <w:szCs w:val="24"/>
          <w:bdr w:val="none" w:sz="0" w:space="0" w:color="auto" w:frame="1"/>
        </w:rPr>
        <w:t>Row</w:t>
      </w:r>
      <w:r w:rsidRPr="00AB2ED0">
        <w:rPr>
          <w:rFonts w:ascii="Arial" w:eastAsia="Times New Roman" w:hAnsi="Arial" w:cs="Arial"/>
          <w:color w:val="666666"/>
          <w:sz w:val="24"/>
          <w:szCs w:val="24"/>
        </w:rPr>
        <w:t> shelf again to plot the average daily close amount, then make a dual axis chart with the left axis plotting the </w:t>
      </w:r>
      <w:r w:rsidRPr="00AB2ED0">
        <w:rPr>
          <w:rFonts w:ascii="Arial" w:eastAsia="Times New Roman" w:hAnsi="Arial" w:cs="Arial"/>
          <w:b/>
          <w:bCs/>
          <w:color w:val="666666"/>
          <w:sz w:val="24"/>
          <w:szCs w:val="24"/>
          <w:bdr w:val="none" w:sz="0" w:space="0" w:color="auto" w:frame="1"/>
        </w:rPr>
        <w:t>AVG(Close) </w:t>
      </w:r>
      <w:r w:rsidRPr="00AB2ED0">
        <w:rPr>
          <w:rFonts w:ascii="Arial" w:eastAsia="Times New Roman" w:hAnsi="Arial" w:cs="Arial"/>
          <w:color w:val="666666"/>
          <w:sz w:val="24"/>
          <w:szCs w:val="24"/>
        </w:rPr>
        <w:t>value and the right axis plotting the </w:t>
      </w:r>
      <w:r w:rsidRPr="00AB2ED0">
        <w:rPr>
          <w:rFonts w:ascii="Arial" w:eastAsia="Times New Roman" w:hAnsi="Arial" w:cs="Arial"/>
          <w:b/>
          <w:bCs/>
          <w:color w:val="666666"/>
          <w:sz w:val="24"/>
          <w:szCs w:val="24"/>
          <w:bdr w:val="none" w:sz="0" w:space="0" w:color="auto" w:frame="1"/>
        </w:rPr>
        <w:t>moving average</w:t>
      </w:r>
      <w:r w:rsidRPr="00AB2ED0">
        <w:rPr>
          <w:rFonts w:ascii="Arial" w:eastAsia="Times New Roman" w:hAnsi="Arial" w:cs="Arial"/>
          <w:color w:val="666666"/>
          <w:sz w:val="24"/>
          <w:szCs w:val="24"/>
        </w:rPr>
        <w:t>. Change the mark type of the </w:t>
      </w:r>
      <w:proofErr w:type="gramStart"/>
      <w:r w:rsidRPr="00AB2ED0">
        <w:rPr>
          <w:rFonts w:ascii="Arial" w:eastAsia="Times New Roman" w:hAnsi="Arial" w:cs="Arial"/>
          <w:b/>
          <w:bCs/>
          <w:color w:val="666666"/>
          <w:sz w:val="24"/>
          <w:szCs w:val="24"/>
          <w:bdr w:val="none" w:sz="0" w:space="0" w:color="auto" w:frame="1"/>
        </w:rPr>
        <w:t>AVG(</w:t>
      </w:r>
      <w:proofErr w:type="gramEnd"/>
      <w:r w:rsidRPr="00AB2ED0">
        <w:rPr>
          <w:rFonts w:ascii="Arial" w:eastAsia="Times New Roman" w:hAnsi="Arial" w:cs="Arial"/>
          <w:b/>
          <w:bCs/>
          <w:color w:val="666666"/>
          <w:sz w:val="24"/>
          <w:szCs w:val="24"/>
          <w:bdr w:val="none" w:sz="0" w:space="0" w:color="auto" w:frame="1"/>
        </w:rPr>
        <w:t>Close)</w:t>
      </w:r>
      <w:r w:rsidRPr="00AB2ED0">
        <w:rPr>
          <w:rFonts w:ascii="Arial" w:eastAsia="Times New Roman" w:hAnsi="Arial" w:cs="Arial"/>
          <w:color w:val="666666"/>
          <w:sz w:val="24"/>
          <w:szCs w:val="24"/>
        </w:rPr>
        <w:t> plot to a </w:t>
      </w:r>
      <w:r w:rsidRPr="00AB2ED0">
        <w:rPr>
          <w:rFonts w:ascii="Arial" w:eastAsia="Times New Roman" w:hAnsi="Arial" w:cs="Arial"/>
          <w:b/>
          <w:bCs/>
          <w:color w:val="666666"/>
          <w:sz w:val="24"/>
          <w:szCs w:val="24"/>
          <w:bdr w:val="none" w:sz="0" w:space="0" w:color="auto" w:frame="1"/>
        </w:rPr>
        <w:t>Shape (filled circle)</w:t>
      </w:r>
      <w:r w:rsidRPr="00AB2ED0">
        <w:rPr>
          <w:rFonts w:ascii="Arial" w:eastAsia="Times New Roman" w:hAnsi="Arial" w:cs="Arial"/>
          <w:color w:val="666666"/>
          <w:sz w:val="24"/>
          <w:szCs w:val="24"/>
        </w:rPr>
        <w:t>.</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You should now have circles being plotted from the left axis that shows the average daily closing price. From the right axis, you will have a line that is plotting the 20-day moving average. I suggest you control-drag the </w:t>
      </w:r>
      <w:r w:rsidRPr="00AB2ED0">
        <w:rPr>
          <w:rFonts w:ascii="Arial" w:eastAsia="Times New Roman" w:hAnsi="Arial" w:cs="Arial"/>
          <w:b/>
          <w:bCs/>
          <w:color w:val="666666"/>
          <w:sz w:val="24"/>
          <w:szCs w:val="24"/>
          <w:bdr w:val="none" w:sz="0" w:space="0" w:color="auto" w:frame="1"/>
        </w:rPr>
        <w:t>table calculation</w:t>
      </w:r>
      <w:r w:rsidRPr="00AB2ED0">
        <w:rPr>
          <w:rFonts w:ascii="Arial" w:eastAsia="Times New Roman" w:hAnsi="Arial" w:cs="Arial"/>
          <w:color w:val="666666"/>
          <w:sz w:val="24"/>
          <w:szCs w:val="24"/>
        </w:rPr>
        <w:t> pill for the </w:t>
      </w:r>
      <w:r w:rsidRPr="00AB2ED0">
        <w:rPr>
          <w:rFonts w:ascii="Arial" w:eastAsia="Times New Roman" w:hAnsi="Arial" w:cs="Arial"/>
          <w:b/>
          <w:bCs/>
          <w:color w:val="666666"/>
          <w:sz w:val="24"/>
          <w:szCs w:val="24"/>
          <w:bdr w:val="none" w:sz="0" w:space="0" w:color="auto" w:frame="1"/>
        </w:rPr>
        <w:t>moving average</w:t>
      </w:r>
      <w:r w:rsidRPr="00AB2ED0">
        <w:rPr>
          <w:rFonts w:ascii="Arial" w:eastAsia="Times New Roman" w:hAnsi="Arial" w:cs="Arial"/>
          <w:color w:val="666666"/>
          <w:sz w:val="24"/>
          <w:szCs w:val="24"/>
        </w:rPr>
        <w:t> to the </w:t>
      </w:r>
      <w:r w:rsidRPr="00AB2ED0">
        <w:rPr>
          <w:rFonts w:ascii="Arial" w:eastAsia="Times New Roman" w:hAnsi="Arial" w:cs="Arial"/>
          <w:b/>
          <w:bCs/>
          <w:color w:val="666666"/>
          <w:sz w:val="24"/>
          <w:szCs w:val="24"/>
          <w:bdr w:val="none" w:sz="0" w:space="0" w:color="auto" w:frame="1"/>
        </w:rPr>
        <w:t>Measures </w:t>
      </w:r>
      <w:r w:rsidRPr="00AB2ED0">
        <w:rPr>
          <w:rFonts w:ascii="Arial" w:eastAsia="Times New Roman" w:hAnsi="Arial" w:cs="Arial"/>
          <w:color w:val="666666"/>
          <w:sz w:val="24"/>
          <w:szCs w:val="24"/>
        </w:rPr>
        <w:t>shelf and name the field </w:t>
      </w:r>
      <w:r w:rsidRPr="00AB2ED0">
        <w:rPr>
          <w:rFonts w:ascii="Arial" w:eastAsia="Times New Roman" w:hAnsi="Arial" w:cs="Arial"/>
          <w:b/>
          <w:bCs/>
          <w:color w:val="666666"/>
          <w:sz w:val="24"/>
          <w:szCs w:val="24"/>
          <w:bdr w:val="none" w:sz="0" w:space="0" w:color="auto" w:frame="1"/>
        </w:rPr>
        <w:t>Moving Average Close</w:t>
      </w:r>
      <w:r w:rsidRPr="00AB2ED0">
        <w:rPr>
          <w:rFonts w:ascii="Arial" w:eastAsia="Times New Roman" w:hAnsi="Arial" w:cs="Arial"/>
          <w:color w:val="666666"/>
          <w:sz w:val="24"/>
          <w:szCs w:val="24"/>
        </w:rPr>
        <w:t>.</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Next, edit the </w:t>
      </w:r>
      <w:r w:rsidRPr="00AB2ED0">
        <w:rPr>
          <w:rFonts w:ascii="Arial" w:eastAsia="Times New Roman" w:hAnsi="Arial" w:cs="Arial"/>
          <w:b/>
          <w:bCs/>
          <w:color w:val="666666"/>
          <w:sz w:val="24"/>
          <w:szCs w:val="24"/>
          <w:bdr w:val="none" w:sz="0" w:space="0" w:color="auto" w:frame="1"/>
        </w:rPr>
        <w:t>Moving Average Close</w:t>
      </w:r>
      <w:r w:rsidRPr="00AB2ED0">
        <w:rPr>
          <w:rFonts w:ascii="Arial" w:eastAsia="Times New Roman" w:hAnsi="Arial" w:cs="Arial"/>
          <w:color w:val="666666"/>
          <w:sz w:val="24"/>
          <w:szCs w:val="24"/>
        </w:rPr>
        <w:t> calculated value—replacing the </w:t>
      </w:r>
      <w:r w:rsidRPr="00AB2ED0">
        <w:rPr>
          <w:rFonts w:ascii="Arial" w:eastAsia="Times New Roman" w:hAnsi="Arial" w:cs="Arial"/>
          <w:b/>
          <w:bCs/>
          <w:color w:val="666666"/>
          <w:sz w:val="24"/>
          <w:szCs w:val="24"/>
          <w:bdr w:val="none" w:sz="0" w:space="0" w:color="auto" w:frame="1"/>
        </w:rPr>
        <w:t>20</w:t>
      </w:r>
      <w:r w:rsidRPr="00AB2ED0">
        <w:rPr>
          <w:rFonts w:ascii="Arial" w:eastAsia="Times New Roman" w:hAnsi="Arial" w:cs="Arial"/>
          <w:color w:val="666666"/>
          <w:sz w:val="24"/>
          <w:szCs w:val="24"/>
        </w:rPr>
        <w:t> with the parameter </w:t>
      </w:r>
      <w:r w:rsidRPr="00AB2ED0">
        <w:rPr>
          <w:rFonts w:ascii="Arial" w:eastAsia="Times New Roman" w:hAnsi="Arial" w:cs="Arial"/>
          <w:b/>
          <w:bCs/>
          <w:color w:val="666666"/>
          <w:sz w:val="24"/>
          <w:szCs w:val="24"/>
          <w:bdr w:val="none" w:sz="0" w:space="0" w:color="auto" w:frame="1"/>
        </w:rPr>
        <w:t>Pick Days for Moving Average</w:t>
      </w:r>
      <w:r w:rsidRPr="00AB2ED0">
        <w:rPr>
          <w:rFonts w:ascii="Arial" w:eastAsia="Times New Roman" w:hAnsi="Arial" w:cs="Arial"/>
          <w:color w:val="666666"/>
          <w:sz w:val="24"/>
          <w:szCs w:val="24"/>
        </w:rPr>
        <w:t>. </w:t>
      </w:r>
    </w:p>
    <w:p w:rsidR="00AB2ED0" w:rsidRPr="00AB2ED0" w:rsidRDefault="00AB2ED0" w:rsidP="00AB2ED0">
      <w:pPr>
        <w:shd w:val="clear" w:color="auto" w:fill="FFFFFF"/>
        <w:spacing w:after="330" w:line="240" w:lineRule="auto"/>
        <w:jc w:val="center"/>
        <w:textAlignment w:val="baseline"/>
        <w:rPr>
          <w:rFonts w:ascii="Arial" w:eastAsia="Times New Roman" w:hAnsi="Arial" w:cs="Arial"/>
          <w:color w:val="666666"/>
          <w:sz w:val="24"/>
          <w:szCs w:val="24"/>
        </w:rPr>
      </w:pPr>
      <w:r>
        <w:rPr>
          <w:rFonts w:ascii="Arial" w:eastAsia="Times New Roman" w:hAnsi="Arial" w:cs="Arial"/>
          <w:noProof/>
          <w:color w:val="666666"/>
          <w:sz w:val="24"/>
          <w:szCs w:val="24"/>
        </w:rPr>
        <w:drawing>
          <wp:inline distT="0" distB="0" distL="0" distR="0">
            <wp:extent cx="5268595" cy="1888490"/>
            <wp:effectExtent l="0" t="0" r="8255" b="0"/>
            <wp:docPr id="2" name="Picture 2" descr="Moving Average calculation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ing Average calculation in Table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1888490"/>
                    </a:xfrm>
                    <a:prstGeom prst="rect">
                      <a:avLst/>
                    </a:prstGeom>
                    <a:noFill/>
                    <a:ln>
                      <a:noFill/>
                    </a:ln>
                  </pic:spPr>
                </pic:pic>
              </a:graphicData>
            </a:graphic>
          </wp:inline>
        </w:drawing>
      </w:r>
    </w:p>
    <w:p w:rsidR="00AB2ED0" w:rsidRPr="00AB2ED0" w:rsidRDefault="00AB2ED0" w:rsidP="00AB2ED0">
      <w:pPr>
        <w:shd w:val="clear" w:color="auto" w:fill="FFFFFF"/>
        <w:spacing w:after="33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The parameter should now be operating that controls the number of days to use for the moving average calculation.</w:t>
      </w:r>
    </w:p>
    <w:p w:rsidR="00AB2ED0" w:rsidRPr="00AB2ED0" w:rsidRDefault="00AB2ED0" w:rsidP="00AB2ED0">
      <w:pPr>
        <w:shd w:val="clear" w:color="auto" w:fill="FFFFFF"/>
        <w:spacing w:after="75" w:line="240" w:lineRule="auto"/>
        <w:textAlignment w:val="baseline"/>
        <w:outlineLvl w:val="1"/>
        <w:rPr>
          <w:rFonts w:ascii="Arial" w:eastAsia="Times New Roman" w:hAnsi="Arial" w:cs="Arial"/>
          <w:color w:val="1ABBB4"/>
          <w:sz w:val="48"/>
          <w:szCs w:val="48"/>
        </w:rPr>
      </w:pPr>
      <w:r w:rsidRPr="00AB2ED0">
        <w:rPr>
          <w:rFonts w:ascii="Arial" w:eastAsia="Times New Roman" w:hAnsi="Arial" w:cs="Arial"/>
          <w:color w:val="1ABBB4"/>
          <w:sz w:val="48"/>
          <w:szCs w:val="48"/>
        </w:rPr>
        <w:t>Creating the Bollinger Bands</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Next create the </w:t>
      </w:r>
      <w:r w:rsidRPr="00AB2ED0">
        <w:rPr>
          <w:rFonts w:ascii="Arial" w:eastAsia="Times New Roman" w:hAnsi="Arial" w:cs="Arial"/>
          <w:b/>
          <w:bCs/>
          <w:color w:val="666666"/>
          <w:sz w:val="24"/>
          <w:szCs w:val="24"/>
          <w:bdr w:val="none" w:sz="0" w:space="0" w:color="auto" w:frame="1"/>
        </w:rPr>
        <w:t>Bollinger Band – Lower</w:t>
      </w:r>
      <w:r w:rsidRPr="00AB2ED0">
        <w:rPr>
          <w:rFonts w:ascii="Arial" w:eastAsia="Times New Roman" w:hAnsi="Arial" w:cs="Arial"/>
          <w:color w:val="666666"/>
          <w:sz w:val="24"/>
          <w:szCs w:val="24"/>
        </w:rPr>
        <w:t> field by making a calculated value that looks like the image below:</w:t>
      </w:r>
    </w:p>
    <w:p w:rsidR="00AB2ED0" w:rsidRPr="00AB2ED0" w:rsidRDefault="00AB2ED0" w:rsidP="00AB2ED0">
      <w:pPr>
        <w:shd w:val="clear" w:color="auto" w:fill="FFFFFF"/>
        <w:spacing w:after="330" w:line="240" w:lineRule="auto"/>
        <w:jc w:val="center"/>
        <w:textAlignment w:val="baseline"/>
        <w:rPr>
          <w:rFonts w:ascii="Arial" w:eastAsia="Times New Roman" w:hAnsi="Arial" w:cs="Arial"/>
          <w:color w:val="666666"/>
          <w:sz w:val="24"/>
          <w:szCs w:val="24"/>
        </w:rPr>
      </w:pPr>
      <w:r>
        <w:rPr>
          <w:rFonts w:ascii="Arial" w:eastAsia="Times New Roman" w:hAnsi="Arial" w:cs="Arial"/>
          <w:noProof/>
          <w:color w:val="666666"/>
          <w:sz w:val="24"/>
          <w:szCs w:val="24"/>
        </w:rPr>
        <w:drawing>
          <wp:inline distT="0" distB="0" distL="0" distR="0">
            <wp:extent cx="5589905" cy="1877695"/>
            <wp:effectExtent l="0" t="0" r="0" b="8255"/>
            <wp:docPr id="1" name="Picture 1" descr="Bollinger Band - Lower calculation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llinger Band - Lower calculation in Table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9905" cy="1877695"/>
                    </a:xfrm>
                    <a:prstGeom prst="rect">
                      <a:avLst/>
                    </a:prstGeom>
                    <a:noFill/>
                    <a:ln>
                      <a:noFill/>
                    </a:ln>
                  </pic:spPr>
                </pic:pic>
              </a:graphicData>
            </a:graphic>
          </wp:inline>
        </w:drawing>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 xml:space="preserve">The formula utilizes the moving average calculated earlier along with the parameter controls that enable you to change the number of standard deviations plotted from the average closing price and the number of days to use for the moving average calculation. Once you have the lower Bollinger Band created, duplicate the field and edit </w:t>
      </w:r>
      <w:r w:rsidRPr="00AB2ED0">
        <w:rPr>
          <w:rFonts w:ascii="Arial" w:eastAsia="Times New Roman" w:hAnsi="Arial" w:cs="Arial"/>
          <w:color w:val="666666"/>
          <w:sz w:val="24"/>
          <w:szCs w:val="24"/>
        </w:rPr>
        <w:lastRenderedPageBreak/>
        <w:t>it to create the upper Bollinger Band by adding the </w:t>
      </w:r>
      <w:r w:rsidRPr="00AB2ED0">
        <w:rPr>
          <w:rFonts w:ascii="Arial" w:eastAsia="Times New Roman" w:hAnsi="Arial" w:cs="Arial"/>
          <w:b/>
          <w:bCs/>
          <w:color w:val="666666"/>
          <w:sz w:val="24"/>
          <w:szCs w:val="24"/>
          <w:bdr w:val="none" w:sz="0" w:space="0" w:color="auto" w:frame="1"/>
        </w:rPr>
        <w:t>standard deviation</w:t>
      </w:r>
      <w:r w:rsidRPr="00AB2ED0">
        <w:rPr>
          <w:rFonts w:ascii="Arial" w:eastAsia="Times New Roman" w:hAnsi="Arial" w:cs="Arial"/>
          <w:color w:val="666666"/>
          <w:sz w:val="24"/>
          <w:szCs w:val="24"/>
        </w:rPr>
        <w:t> to the </w:t>
      </w:r>
      <w:r w:rsidRPr="00AB2ED0">
        <w:rPr>
          <w:rFonts w:ascii="Arial" w:eastAsia="Times New Roman" w:hAnsi="Arial" w:cs="Arial"/>
          <w:b/>
          <w:bCs/>
          <w:color w:val="666666"/>
          <w:sz w:val="24"/>
          <w:szCs w:val="24"/>
          <w:bdr w:val="none" w:sz="0" w:space="0" w:color="auto" w:frame="1"/>
        </w:rPr>
        <w:t>moving average</w:t>
      </w:r>
      <w:r w:rsidRPr="00AB2ED0">
        <w:rPr>
          <w:rFonts w:ascii="Arial" w:eastAsia="Times New Roman" w:hAnsi="Arial" w:cs="Arial"/>
          <w:color w:val="666666"/>
          <w:sz w:val="24"/>
          <w:szCs w:val="24"/>
        </w:rPr>
        <w:t xml:space="preserve"> instead of deducting it, </w:t>
      </w:r>
      <w:proofErr w:type="gramStart"/>
      <w:r w:rsidRPr="00AB2ED0">
        <w:rPr>
          <w:rFonts w:ascii="Arial" w:eastAsia="Times New Roman" w:hAnsi="Arial" w:cs="Arial"/>
          <w:color w:val="666666"/>
          <w:sz w:val="24"/>
          <w:szCs w:val="24"/>
        </w:rPr>
        <w:t>then</w:t>
      </w:r>
      <w:proofErr w:type="gramEnd"/>
      <w:r w:rsidRPr="00AB2ED0">
        <w:rPr>
          <w:rFonts w:ascii="Arial" w:eastAsia="Times New Roman" w:hAnsi="Arial" w:cs="Arial"/>
          <w:color w:val="666666"/>
          <w:sz w:val="24"/>
          <w:szCs w:val="24"/>
        </w:rPr>
        <w:t xml:space="preserve"> add both of the fields to the right axis with the </w:t>
      </w:r>
      <w:r w:rsidRPr="00AB2ED0">
        <w:rPr>
          <w:rFonts w:ascii="Arial" w:eastAsia="Times New Roman" w:hAnsi="Arial" w:cs="Arial"/>
          <w:b/>
          <w:bCs/>
          <w:color w:val="666666"/>
          <w:sz w:val="24"/>
          <w:szCs w:val="24"/>
          <w:bdr w:val="none" w:sz="0" w:space="0" w:color="auto" w:frame="1"/>
        </w:rPr>
        <w:t>Moving Average Close</w:t>
      </w:r>
      <w:r w:rsidRPr="00AB2ED0">
        <w:rPr>
          <w:rFonts w:ascii="Arial" w:eastAsia="Times New Roman" w:hAnsi="Arial" w:cs="Arial"/>
          <w:color w:val="666666"/>
          <w:sz w:val="24"/>
          <w:szCs w:val="24"/>
        </w:rPr>
        <w:t> field. Edit the color of the lines and the circle marks to your taste.</w:t>
      </w:r>
    </w:p>
    <w:p w:rsidR="00AB2ED0" w:rsidRPr="00AB2ED0" w:rsidRDefault="00AB2ED0" w:rsidP="00AB2ED0">
      <w:pPr>
        <w:shd w:val="clear" w:color="auto" w:fill="FFFFFF"/>
        <w:spacing w:after="75" w:line="240" w:lineRule="auto"/>
        <w:textAlignment w:val="baseline"/>
        <w:outlineLvl w:val="1"/>
        <w:rPr>
          <w:rFonts w:ascii="Arial" w:eastAsia="Times New Roman" w:hAnsi="Arial" w:cs="Arial"/>
          <w:color w:val="1ABBB4"/>
          <w:sz w:val="48"/>
          <w:szCs w:val="48"/>
        </w:rPr>
      </w:pPr>
      <w:r w:rsidRPr="00AB2ED0">
        <w:rPr>
          <w:rFonts w:ascii="Arial" w:eastAsia="Times New Roman" w:hAnsi="Arial" w:cs="Arial"/>
          <w:color w:val="1ABBB4"/>
          <w:sz w:val="48"/>
          <w:szCs w:val="48"/>
        </w:rPr>
        <w:t>The Dashboard</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After finishing the Stock Trend time-series worksheet, I edited the title of the quick filter and the parameter controls to be more descriptive then set the </w:t>
      </w:r>
      <w:r w:rsidRPr="00AB2ED0">
        <w:rPr>
          <w:rFonts w:ascii="Arial" w:eastAsia="Times New Roman" w:hAnsi="Arial" w:cs="Arial"/>
          <w:b/>
          <w:bCs/>
          <w:color w:val="666666"/>
          <w:sz w:val="24"/>
          <w:szCs w:val="24"/>
          <w:bdr w:val="none" w:sz="0" w:space="0" w:color="auto" w:frame="1"/>
        </w:rPr>
        <w:t>Pick Date Range</w:t>
      </w:r>
      <w:r w:rsidRPr="00AB2ED0">
        <w:rPr>
          <w:rFonts w:ascii="Arial" w:eastAsia="Times New Roman" w:hAnsi="Arial" w:cs="Arial"/>
          <w:color w:val="666666"/>
          <w:sz w:val="24"/>
          <w:szCs w:val="24"/>
        </w:rPr>
        <w:t> filter to apply it to all worksheets using this data source.</w:t>
      </w:r>
    </w:p>
    <w:p w:rsidR="00AB2ED0" w:rsidRPr="00AB2ED0" w:rsidRDefault="00AB2ED0" w:rsidP="00AB2ED0">
      <w:pPr>
        <w:shd w:val="clear" w:color="auto" w:fill="FFFFFF"/>
        <w:spacing w:after="75" w:line="240" w:lineRule="auto"/>
        <w:textAlignment w:val="baseline"/>
        <w:outlineLvl w:val="1"/>
        <w:rPr>
          <w:rFonts w:ascii="Arial" w:eastAsia="Times New Roman" w:hAnsi="Arial" w:cs="Arial"/>
          <w:color w:val="1ABBB4"/>
          <w:sz w:val="48"/>
          <w:szCs w:val="48"/>
        </w:rPr>
      </w:pPr>
      <w:r w:rsidRPr="00AB2ED0">
        <w:rPr>
          <w:rFonts w:ascii="Arial" w:eastAsia="Times New Roman" w:hAnsi="Arial" w:cs="Arial"/>
          <w:color w:val="1ABBB4"/>
          <w:sz w:val="48"/>
          <w:szCs w:val="48"/>
        </w:rPr>
        <w:t>Conclusion</w:t>
      </w:r>
    </w:p>
    <w:p w:rsidR="00AB2ED0" w:rsidRPr="00AB2ED0" w:rsidRDefault="00AB2ED0" w:rsidP="00AB2ED0">
      <w:pPr>
        <w:shd w:val="clear" w:color="auto" w:fill="FFFFFF"/>
        <w:spacing w:after="0" w:line="240" w:lineRule="auto"/>
        <w:textAlignment w:val="baseline"/>
        <w:rPr>
          <w:rFonts w:ascii="Arial" w:eastAsia="Times New Roman" w:hAnsi="Arial" w:cs="Arial"/>
          <w:color w:val="666666"/>
          <w:sz w:val="24"/>
          <w:szCs w:val="24"/>
        </w:rPr>
      </w:pPr>
      <w:r w:rsidRPr="00AB2ED0">
        <w:rPr>
          <w:rFonts w:ascii="Arial" w:eastAsia="Times New Roman" w:hAnsi="Arial" w:cs="Arial"/>
          <w:color w:val="666666"/>
          <w:sz w:val="24"/>
          <w:szCs w:val="24"/>
        </w:rPr>
        <w:t>I decided to stylize my tooltips after placing the Bollinger Band trading volume charts into a dashboard. I also created a highlight action that you can view by looking at the menu for dashboard/actions. This action highlights the chart marks by selecting marks in either chart. Bollinger Bands may help you determine when to buy or sell a particular stock, index mutual fund or ETF. Next week, I’ll take a look at candlestick charts.</w:t>
      </w:r>
    </w:p>
    <w:p w:rsidR="0078382C" w:rsidRDefault="0078382C"/>
    <w:sectPr w:rsidR="0078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A9B"/>
    <w:multiLevelType w:val="multilevel"/>
    <w:tmpl w:val="4004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C1772"/>
    <w:multiLevelType w:val="multilevel"/>
    <w:tmpl w:val="425A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A2"/>
    <w:rsid w:val="0078382C"/>
    <w:rsid w:val="008C14C8"/>
    <w:rsid w:val="00A36AA2"/>
    <w:rsid w:val="00AB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B2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E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2E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ED0"/>
    <w:rPr>
      <w:color w:val="0000FF"/>
      <w:u w:val="single"/>
    </w:rPr>
  </w:style>
  <w:style w:type="character" w:styleId="Strong">
    <w:name w:val="Strong"/>
    <w:basedOn w:val="DefaultParagraphFont"/>
    <w:uiPriority w:val="22"/>
    <w:qFormat/>
    <w:rsid w:val="00AB2ED0"/>
    <w:rPr>
      <w:b/>
      <w:bCs/>
    </w:rPr>
  </w:style>
  <w:style w:type="paragraph" w:styleId="BalloonText">
    <w:name w:val="Balloon Text"/>
    <w:basedOn w:val="Normal"/>
    <w:link w:val="BalloonTextChar"/>
    <w:uiPriority w:val="99"/>
    <w:semiHidden/>
    <w:unhideWhenUsed/>
    <w:rsid w:val="00AB2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ED0"/>
    <w:rPr>
      <w:rFonts w:ascii="Tahoma" w:hAnsi="Tahoma" w:cs="Tahoma"/>
      <w:sz w:val="16"/>
      <w:szCs w:val="16"/>
    </w:rPr>
  </w:style>
  <w:style w:type="character" w:customStyle="1" w:styleId="Heading1Char">
    <w:name w:val="Heading 1 Char"/>
    <w:basedOn w:val="DefaultParagraphFont"/>
    <w:link w:val="Heading1"/>
    <w:uiPriority w:val="9"/>
    <w:rsid w:val="008C14C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B2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E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2E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ED0"/>
    <w:rPr>
      <w:color w:val="0000FF"/>
      <w:u w:val="single"/>
    </w:rPr>
  </w:style>
  <w:style w:type="character" w:styleId="Strong">
    <w:name w:val="Strong"/>
    <w:basedOn w:val="DefaultParagraphFont"/>
    <w:uiPriority w:val="22"/>
    <w:qFormat/>
    <w:rsid w:val="00AB2ED0"/>
    <w:rPr>
      <w:b/>
      <w:bCs/>
    </w:rPr>
  </w:style>
  <w:style w:type="paragraph" w:styleId="BalloonText">
    <w:name w:val="Balloon Text"/>
    <w:basedOn w:val="Normal"/>
    <w:link w:val="BalloonTextChar"/>
    <w:uiPriority w:val="99"/>
    <w:semiHidden/>
    <w:unhideWhenUsed/>
    <w:rsid w:val="00AB2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ED0"/>
    <w:rPr>
      <w:rFonts w:ascii="Tahoma" w:hAnsi="Tahoma" w:cs="Tahoma"/>
      <w:sz w:val="16"/>
      <w:szCs w:val="16"/>
    </w:rPr>
  </w:style>
  <w:style w:type="character" w:customStyle="1" w:styleId="Heading1Char">
    <w:name w:val="Heading 1 Char"/>
    <w:basedOn w:val="DefaultParagraphFont"/>
    <w:link w:val="Heading1"/>
    <w:uiPriority w:val="9"/>
    <w:rsid w:val="008C14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4540">
      <w:bodyDiv w:val="1"/>
      <w:marLeft w:val="0"/>
      <w:marRight w:val="0"/>
      <w:marTop w:val="0"/>
      <w:marBottom w:val="0"/>
      <w:divBdr>
        <w:top w:val="none" w:sz="0" w:space="0" w:color="auto"/>
        <w:left w:val="none" w:sz="0" w:space="0" w:color="auto"/>
        <w:bottom w:val="none" w:sz="0" w:space="0" w:color="auto"/>
        <w:right w:val="none" w:sz="0" w:space="0" w:color="auto"/>
      </w:divBdr>
    </w:div>
    <w:div w:id="61467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4082</Characters>
  <Application>Microsoft Office Word</Application>
  <DocSecurity>0</DocSecurity>
  <Lines>34</Lines>
  <Paragraphs>9</Paragraphs>
  <ScaleCrop>false</ScaleCrop>
  <Company>UnitedHealth Group</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2018-07-07T01:10:00Z</dcterms:created>
  <dcterms:modified xsi:type="dcterms:W3CDTF">2018-07-07T01:11:00Z</dcterms:modified>
</cp:coreProperties>
</file>